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53F9" w:rsidRPr="009802C3" w:rsidRDefault="009802C3" w:rsidP="00062CBC">
      <w:pPr>
        <w:jc w:val="center"/>
        <w:rPr>
          <w:b/>
        </w:rPr>
      </w:pPr>
      <w:r w:rsidRPr="009802C3">
        <w:rPr>
          <w:b/>
        </w:rPr>
        <w:t>ECOR</w:t>
      </w:r>
      <w:r w:rsidR="00062CBC" w:rsidRPr="009802C3">
        <w:rPr>
          <w:b/>
        </w:rPr>
        <w:t xml:space="preserve"> 1010 – Introduction to Engineering </w:t>
      </w:r>
    </w:p>
    <w:p w:rsidR="00062CBC" w:rsidRDefault="00062CBC" w:rsidP="00062CBC">
      <w:pPr>
        <w:jc w:val="center"/>
      </w:pPr>
    </w:p>
    <w:p w:rsidR="00062CBC" w:rsidRDefault="00062CBC" w:rsidP="00062CBC">
      <w:pPr>
        <w:jc w:val="center"/>
      </w:pPr>
    </w:p>
    <w:p w:rsidR="00062CBC" w:rsidRDefault="00062CBC" w:rsidP="00062CBC">
      <w:pPr>
        <w:jc w:val="center"/>
      </w:pPr>
    </w:p>
    <w:p w:rsidR="00062CBC" w:rsidRDefault="00062CBC" w:rsidP="00062CBC">
      <w:pPr>
        <w:jc w:val="center"/>
      </w:pPr>
    </w:p>
    <w:p w:rsidR="00062CBC" w:rsidRPr="009802C3" w:rsidRDefault="00062CBC" w:rsidP="00062CBC">
      <w:pPr>
        <w:jc w:val="center"/>
        <w:rPr>
          <w:b/>
          <w:sz w:val="28"/>
          <w:szCs w:val="28"/>
        </w:rPr>
      </w:pPr>
      <w:r w:rsidRPr="009802C3">
        <w:rPr>
          <w:b/>
          <w:sz w:val="28"/>
          <w:szCs w:val="28"/>
        </w:rPr>
        <w:t>Laboratory #1</w:t>
      </w:r>
    </w:p>
    <w:p w:rsidR="00062CBC" w:rsidRDefault="00062CBC" w:rsidP="00062CBC">
      <w:pPr>
        <w:jc w:val="center"/>
      </w:pPr>
      <w:r>
        <w:t xml:space="preserve">Engineering Reporting </w:t>
      </w:r>
    </w:p>
    <w:p w:rsidR="00062CBC" w:rsidRDefault="00062CBC" w:rsidP="00062CBC">
      <w:pPr>
        <w:jc w:val="center"/>
      </w:pPr>
    </w:p>
    <w:p w:rsidR="00062CBC" w:rsidRDefault="00062CBC" w:rsidP="00062CBC">
      <w:pPr>
        <w:jc w:val="center"/>
      </w:pPr>
    </w:p>
    <w:p w:rsidR="00062CBC" w:rsidRDefault="00062CBC" w:rsidP="00062CBC">
      <w:pPr>
        <w:jc w:val="center"/>
      </w:pPr>
    </w:p>
    <w:p w:rsidR="00062CBC" w:rsidRDefault="00062CBC" w:rsidP="00062CBC">
      <w:pPr>
        <w:jc w:val="center"/>
      </w:pPr>
    </w:p>
    <w:p w:rsidR="009802C3" w:rsidRDefault="009802C3" w:rsidP="00062CBC">
      <w:pPr>
        <w:jc w:val="center"/>
      </w:pPr>
    </w:p>
    <w:p w:rsidR="00062CBC" w:rsidRDefault="00062CBC" w:rsidP="009802C3">
      <w:pPr>
        <w:ind w:left="720"/>
        <w:jc w:val="center"/>
      </w:pPr>
    </w:p>
    <w:p w:rsidR="00062CBC" w:rsidRDefault="00062CBC" w:rsidP="009802C3">
      <w:pPr>
        <w:spacing w:after="0" w:line="240" w:lineRule="auto"/>
        <w:ind w:left="720"/>
        <w:rPr>
          <w:noProof/>
          <w:lang w:eastAsia="en-CA"/>
        </w:rPr>
      </w:pPr>
      <w:r>
        <w:rPr>
          <w:noProof/>
          <w:lang w:eastAsia="en-CA"/>
        </w:rPr>
        <w:t>To:</w:t>
      </w:r>
    </w:p>
    <w:p w:rsidR="00062CBC" w:rsidRDefault="00062CBC" w:rsidP="009802C3">
      <w:pPr>
        <w:spacing w:after="0" w:line="240" w:lineRule="auto"/>
        <w:ind w:left="720"/>
        <w:rPr>
          <w:noProof/>
          <w:lang w:eastAsia="en-CA"/>
        </w:rPr>
      </w:pPr>
      <w:r>
        <w:rPr>
          <w:noProof/>
          <w:lang w:eastAsia="en-CA"/>
        </w:rPr>
        <w:tab/>
        <w:t xml:space="preserve">TA Name:  </w:t>
      </w:r>
      <w:r w:rsidR="009802C3">
        <w:rPr>
          <w:noProof/>
          <w:lang w:eastAsia="en-CA"/>
        </w:rPr>
        <w:t xml:space="preserve">    </w:t>
      </w:r>
      <w:r>
        <w:rPr>
          <w:noProof/>
          <w:lang w:eastAsia="en-CA"/>
        </w:rPr>
        <w:t>Mr. Romualdez and Mr. Pant</w:t>
      </w:r>
    </w:p>
    <w:p w:rsidR="00062CBC" w:rsidRDefault="00062CBC" w:rsidP="009802C3">
      <w:pPr>
        <w:spacing w:after="0" w:line="240" w:lineRule="auto"/>
        <w:ind w:left="720"/>
        <w:rPr>
          <w:noProof/>
          <w:lang w:eastAsia="en-CA"/>
        </w:rPr>
      </w:pPr>
      <w:r>
        <w:rPr>
          <w:noProof/>
          <w:lang w:eastAsia="en-CA"/>
        </w:rPr>
        <w:tab/>
        <w:t xml:space="preserve">       Email: </w:t>
      </w:r>
      <w:r w:rsidR="009802C3">
        <w:rPr>
          <w:noProof/>
          <w:lang w:eastAsia="en-CA"/>
        </w:rPr>
        <w:t xml:space="preserve">    </w:t>
      </w:r>
      <w:hyperlink r:id="rId6" w:history="1">
        <w:r w:rsidRPr="00333A63">
          <w:rPr>
            <w:rStyle w:val="Hyperlink"/>
            <w:noProof/>
            <w:lang w:eastAsia="en-CA"/>
          </w:rPr>
          <w:t>jromuald@connect.carleton.ca</w:t>
        </w:r>
      </w:hyperlink>
      <w:r>
        <w:rPr>
          <w:noProof/>
          <w:lang w:eastAsia="en-CA"/>
        </w:rPr>
        <w:t xml:space="preserve"> and </w:t>
      </w:r>
      <w:hyperlink r:id="rId7" w:history="1">
        <w:r w:rsidRPr="00333A63">
          <w:rPr>
            <w:rStyle w:val="Hyperlink"/>
            <w:noProof/>
            <w:lang w:eastAsia="en-CA"/>
          </w:rPr>
          <w:t>spant@connect.carleton.ca</w:t>
        </w:r>
      </w:hyperlink>
      <w:r>
        <w:rPr>
          <w:noProof/>
          <w:lang w:eastAsia="en-CA"/>
        </w:rPr>
        <w:t xml:space="preserve"> </w:t>
      </w:r>
    </w:p>
    <w:p w:rsidR="00062CBC" w:rsidRDefault="00062CBC" w:rsidP="009802C3">
      <w:pPr>
        <w:spacing w:after="0" w:line="240" w:lineRule="auto"/>
        <w:ind w:left="720"/>
        <w:rPr>
          <w:noProof/>
          <w:lang w:eastAsia="en-CA"/>
        </w:rPr>
      </w:pPr>
      <w:r>
        <w:rPr>
          <w:noProof/>
          <w:lang w:eastAsia="en-CA"/>
        </w:rPr>
        <w:t xml:space="preserve">          Lab Section:  </w:t>
      </w:r>
      <w:r w:rsidR="009802C3">
        <w:rPr>
          <w:noProof/>
          <w:lang w:eastAsia="en-CA"/>
        </w:rPr>
        <w:t xml:space="preserve">    </w:t>
      </w:r>
      <w:r>
        <w:rPr>
          <w:noProof/>
          <w:lang w:eastAsia="en-CA"/>
        </w:rPr>
        <w:t>A5</w:t>
      </w:r>
      <w:r>
        <w:rPr>
          <w:noProof/>
          <w:lang w:eastAsia="en-CA"/>
        </w:rPr>
        <w:tab/>
      </w:r>
    </w:p>
    <w:p w:rsidR="00062CBC" w:rsidRDefault="00062CBC" w:rsidP="009802C3">
      <w:pPr>
        <w:spacing w:after="0" w:line="240" w:lineRule="auto"/>
        <w:ind w:left="720"/>
        <w:rPr>
          <w:noProof/>
          <w:lang w:eastAsia="en-CA"/>
        </w:rPr>
      </w:pPr>
      <w:r>
        <w:rPr>
          <w:noProof/>
          <w:lang w:eastAsia="en-CA"/>
        </w:rPr>
        <w:t xml:space="preserve">                    Room:  </w:t>
      </w:r>
      <w:r w:rsidR="009802C3">
        <w:rPr>
          <w:noProof/>
          <w:lang w:eastAsia="en-CA"/>
        </w:rPr>
        <w:t xml:space="preserve">    </w:t>
      </w:r>
      <w:r>
        <w:rPr>
          <w:noProof/>
          <w:lang w:eastAsia="en-CA"/>
        </w:rPr>
        <w:t xml:space="preserve">2256ME – Carleton University </w:t>
      </w:r>
    </w:p>
    <w:p w:rsidR="00062CBC" w:rsidRDefault="00062CBC" w:rsidP="009802C3">
      <w:pPr>
        <w:spacing w:after="0" w:line="240" w:lineRule="auto"/>
        <w:ind w:left="720"/>
        <w:rPr>
          <w:noProof/>
          <w:lang w:eastAsia="en-CA"/>
        </w:rPr>
      </w:pPr>
    </w:p>
    <w:p w:rsidR="009802C3" w:rsidRDefault="009802C3" w:rsidP="009802C3">
      <w:pPr>
        <w:spacing w:after="0" w:line="240" w:lineRule="auto"/>
        <w:ind w:left="720"/>
        <w:rPr>
          <w:noProof/>
          <w:lang w:eastAsia="en-CA"/>
        </w:rPr>
      </w:pPr>
    </w:p>
    <w:p w:rsidR="009802C3" w:rsidRDefault="009802C3" w:rsidP="009802C3">
      <w:pPr>
        <w:spacing w:after="0" w:line="240" w:lineRule="auto"/>
        <w:ind w:left="720"/>
        <w:rPr>
          <w:noProof/>
          <w:lang w:eastAsia="en-CA"/>
        </w:rPr>
      </w:pPr>
    </w:p>
    <w:p w:rsidR="009802C3" w:rsidRDefault="009802C3" w:rsidP="009802C3">
      <w:pPr>
        <w:spacing w:after="0" w:line="240" w:lineRule="auto"/>
        <w:ind w:left="720"/>
        <w:rPr>
          <w:noProof/>
          <w:lang w:eastAsia="en-CA"/>
        </w:rPr>
      </w:pPr>
    </w:p>
    <w:p w:rsidR="00062CBC" w:rsidRDefault="00062CBC" w:rsidP="009802C3">
      <w:pPr>
        <w:spacing w:after="0" w:line="240" w:lineRule="auto"/>
        <w:ind w:left="720"/>
        <w:rPr>
          <w:noProof/>
          <w:lang w:eastAsia="en-CA"/>
        </w:rPr>
      </w:pPr>
      <w:r>
        <w:rPr>
          <w:noProof/>
          <w:lang w:eastAsia="en-CA"/>
        </w:rPr>
        <w:t>From:</w:t>
      </w:r>
    </w:p>
    <w:p w:rsidR="00062CBC" w:rsidRDefault="00062CBC" w:rsidP="009802C3">
      <w:pPr>
        <w:spacing w:after="0" w:line="240" w:lineRule="auto"/>
        <w:ind w:left="720"/>
        <w:rPr>
          <w:noProof/>
          <w:lang w:eastAsia="en-CA"/>
        </w:rPr>
      </w:pPr>
      <w:r>
        <w:rPr>
          <w:noProof/>
          <w:lang w:eastAsia="en-CA"/>
        </w:rPr>
        <w:t xml:space="preserve">    Student name:  </w:t>
      </w:r>
      <w:r w:rsidR="009802C3">
        <w:rPr>
          <w:noProof/>
          <w:lang w:eastAsia="en-CA"/>
        </w:rPr>
        <w:t xml:space="preserve">    </w:t>
      </w:r>
      <w:r>
        <w:rPr>
          <w:noProof/>
          <w:lang w:eastAsia="en-CA"/>
        </w:rPr>
        <w:t>Abdulrahman Almalki</w:t>
      </w:r>
    </w:p>
    <w:p w:rsidR="00062CBC" w:rsidRDefault="00062CBC" w:rsidP="009802C3">
      <w:pPr>
        <w:spacing w:after="0" w:line="240" w:lineRule="auto"/>
        <w:ind w:left="720"/>
        <w:rPr>
          <w:noProof/>
          <w:lang w:eastAsia="en-CA"/>
        </w:rPr>
      </w:pPr>
      <w:r>
        <w:rPr>
          <w:noProof/>
          <w:lang w:eastAsia="en-CA"/>
        </w:rPr>
        <w:t xml:space="preserve">Student number:  </w:t>
      </w:r>
      <w:r w:rsidR="009802C3">
        <w:rPr>
          <w:noProof/>
          <w:lang w:eastAsia="en-CA"/>
        </w:rPr>
        <w:t xml:space="preserve">    </w:t>
      </w:r>
      <w:r>
        <w:rPr>
          <w:noProof/>
          <w:lang w:eastAsia="en-CA"/>
        </w:rPr>
        <w:t xml:space="preserve">100 854 </w:t>
      </w:r>
      <w:r w:rsidR="009802C3">
        <w:rPr>
          <w:noProof/>
          <w:lang w:eastAsia="en-CA"/>
        </w:rPr>
        <w:t>570</w:t>
      </w:r>
    </w:p>
    <w:p w:rsidR="009802C3" w:rsidRDefault="00062CBC" w:rsidP="009802C3">
      <w:pPr>
        <w:spacing w:after="0" w:line="240" w:lineRule="auto"/>
        <w:ind w:left="720" w:firstLine="720"/>
        <w:rPr>
          <w:noProof/>
          <w:lang w:eastAsia="en-CA"/>
        </w:rPr>
      </w:pPr>
      <w:r>
        <w:rPr>
          <w:noProof/>
          <w:lang w:eastAsia="en-CA"/>
        </w:rPr>
        <w:t xml:space="preserve">      Email:</w:t>
      </w:r>
      <w:r w:rsidR="009802C3">
        <w:rPr>
          <w:noProof/>
          <w:lang w:eastAsia="en-CA"/>
        </w:rPr>
        <w:t xml:space="preserve">      </w:t>
      </w:r>
      <w:hyperlink r:id="rId8" w:history="1">
        <w:r w:rsidR="009802C3" w:rsidRPr="00333A63">
          <w:rPr>
            <w:rStyle w:val="Hyperlink"/>
            <w:noProof/>
            <w:lang w:eastAsia="en-CA"/>
          </w:rPr>
          <w:t>aalmalki@connect.carleton.ca</w:t>
        </w:r>
      </w:hyperlink>
      <w:r w:rsidR="009802C3">
        <w:rPr>
          <w:noProof/>
          <w:lang w:eastAsia="en-CA"/>
        </w:rPr>
        <w:t xml:space="preserve"> </w:t>
      </w:r>
    </w:p>
    <w:p w:rsidR="009802C3" w:rsidRPr="009802C3" w:rsidRDefault="009802C3" w:rsidP="009802C3">
      <w:pPr>
        <w:rPr>
          <w:lang w:eastAsia="en-CA"/>
        </w:rPr>
      </w:pPr>
    </w:p>
    <w:p w:rsidR="009802C3" w:rsidRDefault="009802C3" w:rsidP="009802C3">
      <w:pPr>
        <w:tabs>
          <w:tab w:val="left" w:pos="2385"/>
        </w:tabs>
        <w:rPr>
          <w:lang w:eastAsia="en-CA"/>
        </w:rPr>
      </w:pPr>
    </w:p>
    <w:p w:rsidR="009802C3" w:rsidRDefault="009802C3" w:rsidP="009802C3">
      <w:pPr>
        <w:tabs>
          <w:tab w:val="left" w:pos="2385"/>
        </w:tabs>
        <w:rPr>
          <w:lang w:eastAsia="en-CA"/>
        </w:rPr>
      </w:pPr>
    </w:p>
    <w:p w:rsidR="009802C3" w:rsidRDefault="009802C3" w:rsidP="009802C3">
      <w:pPr>
        <w:tabs>
          <w:tab w:val="left" w:pos="2385"/>
        </w:tabs>
        <w:rPr>
          <w:lang w:eastAsia="en-CA"/>
        </w:rPr>
      </w:pPr>
    </w:p>
    <w:p w:rsidR="00062CBC" w:rsidRDefault="009802C3" w:rsidP="009802C3">
      <w:pPr>
        <w:tabs>
          <w:tab w:val="left" w:pos="2385"/>
        </w:tabs>
        <w:rPr>
          <w:lang w:eastAsia="en-CA"/>
        </w:rPr>
      </w:pPr>
      <w:r>
        <w:rPr>
          <w:lang w:eastAsia="en-CA"/>
        </w:rPr>
        <w:t xml:space="preserve">                                  Date:      September 28</w:t>
      </w:r>
      <w:r w:rsidRPr="009802C3">
        <w:rPr>
          <w:vertAlign w:val="superscript"/>
          <w:lang w:eastAsia="en-CA"/>
        </w:rPr>
        <w:t>th</w:t>
      </w:r>
      <w:r>
        <w:rPr>
          <w:lang w:eastAsia="en-CA"/>
        </w:rPr>
        <w:t xml:space="preserve">, 2011 </w:t>
      </w:r>
    </w:p>
    <w:p w:rsidR="00C936A3" w:rsidRDefault="00C936A3" w:rsidP="009802C3">
      <w:pPr>
        <w:tabs>
          <w:tab w:val="left" w:pos="2385"/>
        </w:tabs>
        <w:rPr>
          <w:lang w:eastAsia="en-CA"/>
        </w:rPr>
      </w:pPr>
      <w:r w:rsidRPr="00C936A3">
        <w:rPr>
          <w:b/>
          <w:lang w:eastAsia="en-CA"/>
        </w:rPr>
        <w:lastRenderedPageBreak/>
        <w:t>Introduction:</w:t>
      </w:r>
      <w:r>
        <w:rPr>
          <w:b/>
          <w:lang w:eastAsia="en-CA"/>
        </w:rPr>
        <w:t xml:space="preserve"> </w:t>
      </w:r>
      <w:r>
        <w:rPr>
          <w:lang w:eastAsia="en-CA"/>
        </w:rPr>
        <w:t>The engineering reporting lab focuses on the fundamental goals of engineering. Its main focus is to illustrate the importance of design, materials, environmental impacts, and energ</w:t>
      </w:r>
      <w:r w:rsidR="00941920">
        <w:rPr>
          <w:lang w:eastAsia="en-CA"/>
        </w:rPr>
        <w:t>y.</w:t>
      </w:r>
      <w:r w:rsidR="00DE1177">
        <w:rPr>
          <w:lang w:eastAsia="en-CA"/>
        </w:rPr>
        <w:t xml:space="preserve"> The lab presents a situation where a skeleton (Body-in-White) of a car can be manufactured through four scenarios. The main focus is which metal is ideal for this situation; aluminum (expensive and light) or steel (cheap and heavy). Through the experiment</w:t>
      </w:r>
      <w:r w:rsidR="00C443A4">
        <w:rPr>
          <w:lang w:eastAsia="en-CA"/>
        </w:rPr>
        <w:t>,</w:t>
      </w:r>
      <w:r w:rsidR="00DE1177">
        <w:rPr>
          <w:lang w:eastAsia="en-CA"/>
        </w:rPr>
        <w:t xml:space="preserve"> information is gathered about fuel efficiency, initial energy required to produce the vehicles, and the “break-even point”.   Using the information gat</w:t>
      </w:r>
      <w:r w:rsidR="003117A5">
        <w:rPr>
          <w:lang w:eastAsia="en-CA"/>
        </w:rPr>
        <w:t xml:space="preserve">hered, an opinion will be made as to which is the better choice (aluminum vs. </w:t>
      </w:r>
      <w:r w:rsidR="00C443A4">
        <w:rPr>
          <w:lang w:eastAsia="en-CA"/>
        </w:rPr>
        <w:t>s</w:t>
      </w:r>
      <w:r w:rsidR="003117A5">
        <w:rPr>
          <w:lang w:eastAsia="en-CA"/>
        </w:rPr>
        <w:t>teel).</w:t>
      </w:r>
    </w:p>
    <w:p w:rsidR="00776EFF" w:rsidRDefault="003117A5" w:rsidP="009802C3">
      <w:pPr>
        <w:tabs>
          <w:tab w:val="left" w:pos="2385"/>
        </w:tabs>
        <w:rPr>
          <w:lang w:eastAsia="en-CA"/>
        </w:rPr>
      </w:pPr>
      <w:r w:rsidRPr="003117A5">
        <w:rPr>
          <w:b/>
          <w:lang w:eastAsia="en-CA"/>
        </w:rPr>
        <w:t>Method:</w:t>
      </w:r>
      <w:r>
        <w:rPr>
          <w:b/>
          <w:lang w:eastAsia="en-CA"/>
        </w:rPr>
        <w:t xml:space="preserve"> </w:t>
      </w:r>
      <w:r>
        <w:rPr>
          <w:lang w:eastAsia="en-CA"/>
        </w:rPr>
        <w:t>To form an informed and concise opinion as to which metal to choose; relevant data must be collected. Total energy required to manufacture an aluminum or steel BIW can be calculated using the different values giv</w:t>
      </w:r>
      <w:r w:rsidR="00776EFF">
        <w:rPr>
          <w:lang w:eastAsia="en-CA"/>
        </w:rPr>
        <w:t>en in Table 1. Such calculations include the amount of energy r</w:t>
      </w:r>
      <w:r w:rsidR="00C443A4">
        <w:rPr>
          <w:lang w:eastAsia="en-CA"/>
        </w:rPr>
        <w:t>equired to use scrap metal (as o</w:t>
      </w:r>
      <w:r w:rsidR="00776EFF">
        <w:rPr>
          <w:lang w:eastAsia="en-CA"/>
        </w:rPr>
        <w:t>ppose</w:t>
      </w:r>
      <w:r w:rsidR="00C443A4">
        <w:rPr>
          <w:lang w:eastAsia="en-CA"/>
        </w:rPr>
        <w:t>d</w:t>
      </w:r>
      <w:r w:rsidR="00776EFF">
        <w:rPr>
          <w:lang w:eastAsia="en-CA"/>
        </w:rPr>
        <w:t xml:space="preserve"> to manufacture “new” metal). Through this we get total energy required to manufacture each BIW for both aluminum and steel. The lab also focuses on fuel efficiency per kilometre, total energy over the life time, and break even points for the steel and aluminum BIW.</w:t>
      </w:r>
    </w:p>
    <w:p w:rsidR="00DE1177" w:rsidRDefault="00776EFF" w:rsidP="009802C3">
      <w:pPr>
        <w:tabs>
          <w:tab w:val="left" w:pos="2385"/>
        </w:tabs>
        <w:rPr>
          <w:lang w:eastAsia="en-CA"/>
        </w:rPr>
      </w:pPr>
      <w:r>
        <w:rPr>
          <w:b/>
          <w:lang w:eastAsia="en-CA"/>
        </w:rPr>
        <w:t>Results and Discussion:</w:t>
      </w:r>
      <w:r>
        <w:rPr>
          <w:lang w:eastAsia="en-CA"/>
        </w:rPr>
        <w:t xml:space="preserve">  Step 1 in the lab discusses the ratio associated with the manufacturing of the BIW. It includes the percent</w:t>
      </w:r>
      <w:r w:rsidR="00A76531">
        <w:rPr>
          <w:lang w:eastAsia="en-CA"/>
        </w:rPr>
        <w:t xml:space="preserve"> of recycled material; thus with this information the total initial energy to produce a single BIW can be calculated. This leads to the discovery of how aluminum consumes more than three times the amount of energy required to produce a single steel BIW. </w:t>
      </w:r>
      <w:r>
        <w:rPr>
          <w:lang w:eastAsia="en-CA"/>
        </w:rPr>
        <w:t xml:space="preserve"> </w:t>
      </w:r>
      <w:r w:rsidR="00A76531">
        <w:rPr>
          <w:lang w:eastAsia="en-CA"/>
        </w:rPr>
        <w:t xml:space="preserve">Step 3 focuses on long term efficiency throughout the life of the vehicles and leads to the breakeven point.  </w:t>
      </w:r>
      <w:r w:rsidR="007D7E8B">
        <w:rPr>
          <w:lang w:eastAsia="en-CA"/>
        </w:rPr>
        <w:t xml:space="preserve">This is important because now a conclusion can be formed as to which vehicle </w:t>
      </w:r>
      <w:r w:rsidR="00BA618B">
        <w:rPr>
          <w:lang w:eastAsia="en-CA"/>
        </w:rPr>
        <w:t xml:space="preserve">to pick compared to energy consumed (including the energy required to manufacture it). The breakeven point is 97 560 km. Thus, if a person drives less than 97 560km then they should pick the steel BIW because of the reduced total energy consumption. And if they drive over 97 560km then the aluminum BIW would be more ideal. However this only takes into account the total energy consumed vs. </w:t>
      </w:r>
      <w:r w:rsidR="00923D6D">
        <w:rPr>
          <w:lang w:eastAsia="en-CA"/>
        </w:rPr>
        <w:t>d</w:t>
      </w:r>
      <w:r w:rsidR="00BA618B">
        <w:rPr>
          <w:lang w:eastAsia="en-CA"/>
        </w:rPr>
        <w:t xml:space="preserve">istance traveled. It does not take into account the initial cost, the weight of the driver, driving habits/trends (city vs. </w:t>
      </w:r>
      <w:r w:rsidR="00923D6D">
        <w:rPr>
          <w:lang w:eastAsia="en-CA"/>
        </w:rPr>
        <w:t>h</w:t>
      </w:r>
      <w:r w:rsidR="00BA618B">
        <w:rPr>
          <w:lang w:eastAsia="en-CA"/>
        </w:rPr>
        <w:t xml:space="preserve">ighway), and many other factors. </w:t>
      </w:r>
      <w:r w:rsidR="004D03F2">
        <w:rPr>
          <w:lang w:eastAsia="en-CA"/>
        </w:rPr>
        <w:t xml:space="preserve"> Step 6 also discusses the ratio associated with the recycle material vs. new material. The difference here is that the recycled material is from a previous car, the new ratio is referred to as the 2</w:t>
      </w:r>
      <w:r w:rsidR="004D03F2" w:rsidRPr="004D03F2">
        <w:rPr>
          <w:vertAlign w:val="superscript"/>
          <w:lang w:eastAsia="en-CA"/>
        </w:rPr>
        <w:t>nd</w:t>
      </w:r>
      <w:r w:rsidR="004D03F2">
        <w:rPr>
          <w:lang w:eastAsia="en-CA"/>
        </w:rPr>
        <w:t xml:space="preserve"> gen cars. However not all the material can be recycled, 90% for aluminum and 95% for steel. Due to this change in amount of recycled material, the ratio also has changed (favouring more new manufactured metal). The change in ratios causes the breakeven point to be greater (109 300km)</w:t>
      </w:r>
      <w:r w:rsidR="00B313C5">
        <w:rPr>
          <w:lang w:eastAsia="en-CA"/>
        </w:rPr>
        <w:t xml:space="preserve">. This is due to the </w:t>
      </w:r>
      <w:r w:rsidR="004D03F2">
        <w:rPr>
          <w:lang w:eastAsia="en-CA"/>
        </w:rPr>
        <w:t xml:space="preserve">greater initial manufacturing energy consumption for both aluminum and steel. </w:t>
      </w:r>
      <w:r w:rsidR="00F246C8">
        <w:rPr>
          <w:lang w:eastAsia="en-CA"/>
        </w:rPr>
        <w:t xml:space="preserve"> Many tradeoffs are associated with steel and aluminum. Aluminum has a better “strength to weight ratio”, is less prone to corrosion,</w:t>
      </w:r>
      <w:r w:rsidR="00CD68DB">
        <w:rPr>
          <w:lang w:eastAsia="en-CA"/>
        </w:rPr>
        <w:t xml:space="preserve"> light,</w:t>
      </w:r>
      <w:r w:rsidR="00F246C8">
        <w:rPr>
          <w:lang w:eastAsia="en-CA"/>
        </w:rPr>
        <w:t xml:space="preserve"> however it is expensive. Steel is easier to weld, more ductile (</w:t>
      </w:r>
      <w:r w:rsidR="00CD68DB">
        <w:rPr>
          <w:lang w:eastAsia="en-CA"/>
        </w:rPr>
        <w:t xml:space="preserve">impact resistant), heavy and is cheaper by a couple of factors. Pertaining to energy consumption vs. </w:t>
      </w:r>
      <w:r w:rsidR="00923D6D">
        <w:rPr>
          <w:lang w:eastAsia="en-CA"/>
        </w:rPr>
        <w:t>k</w:t>
      </w:r>
      <w:r w:rsidR="00CD68DB">
        <w:rPr>
          <w:lang w:eastAsia="en-CA"/>
        </w:rPr>
        <w:t>m driven the 1st gen steel BIW consume less energy than 1</w:t>
      </w:r>
      <w:r w:rsidR="00CD68DB" w:rsidRPr="00CD68DB">
        <w:rPr>
          <w:vertAlign w:val="superscript"/>
          <w:lang w:eastAsia="en-CA"/>
        </w:rPr>
        <w:t>st</w:t>
      </w:r>
      <w:r w:rsidR="00CD68DB">
        <w:rPr>
          <w:lang w:eastAsia="en-CA"/>
        </w:rPr>
        <w:t xml:space="preserve"> gen aluminum BIW for the first 97 560km; after 97 560km aluminum consumes less energy.  In the 2</w:t>
      </w:r>
      <w:r w:rsidR="00CD68DB" w:rsidRPr="00CD68DB">
        <w:rPr>
          <w:vertAlign w:val="superscript"/>
          <w:lang w:eastAsia="en-CA"/>
        </w:rPr>
        <w:t>nd</w:t>
      </w:r>
      <w:r w:rsidR="00CD68DB">
        <w:rPr>
          <w:lang w:eastAsia="en-CA"/>
        </w:rPr>
        <w:t xml:space="preserve"> gen steel BIW consumes less energy than 2</w:t>
      </w:r>
      <w:r w:rsidR="00CD68DB" w:rsidRPr="00CD68DB">
        <w:rPr>
          <w:vertAlign w:val="superscript"/>
          <w:lang w:eastAsia="en-CA"/>
        </w:rPr>
        <w:t>nd</w:t>
      </w:r>
      <w:r w:rsidR="00CD68DB">
        <w:rPr>
          <w:lang w:eastAsia="en-CA"/>
        </w:rPr>
        <w:t xml:space="preserve"> gen aluminum for the first 109 300km. However aluminum consumes less energy after reaching the breakeven point. I would recommend the aluminum BIW because they are ultimately more energy efficient throughout the vehicles life (</w:t>
      </w:r>
      <w:r w:rsidR="00923D6D">
        <w:rPr>
          <w:lang w:eastAsia="en-CA"/>
        </w:rPr>
        <w:t>as the average</w:t>
      </w:r>
      <w:r w:rsidR="00CD68DB">
        <w:rPr>
          <w:lang w:eastAsia="en-CA"/>
        </w:rPr>
        <w:t xml:space="preserve"> lifetime is 283 000km).  </w:t>
      </w:r>
    </w:p>
    <w:p w:rsidR="00F246C8" w:rsidRDefault="00CD68DB" w:rsidP="009802C3">
      <w:pPr>
        <w:tabs>
          <w:tab w:val="left" w:pos="2385"/>
        </w:tabs>
        <w:rPr>
          <w:lang w:eastAsia="en-CA"/>
        </w:rPr>
      </w:pPr>
      <w:r w:rsidRPr="00CD68DB">
        <w:rPr>
          <w:b/>
          <w:lang w:eastAsia="en-CA"/>
        </w:rPr>
        <w:t>Conclusion:</w:t>
      </w:r>
      <w:r>
        <w:rPr>
          <w:b/>
          <w:lang w:eastAsia="en-CA"/>
        </w:rPr>
        <w:t xml:space="preserve"> </w:t>
      </w:r>
      <w:r>
        <w:rPr>
          <w:lang w:eastAsia="en-CA"/>
        </w:rPr>
        <w:t xml:space="preserve"> - aluminum body is more energy efficient for the lifetime of the vehicle</w:t>
      </w:r>
      <w:r w:rsidR="00941920">
        <w:rPr>
          <w:lang w:eastAsia="en-CA"/>
        </w:rPr>
        <w:t xml:space="preserve">                                                             – 1</w:t>
      </w:r>
      <w:r w:rsidR="00941920" w:rsidRPr="00941920">
        <w:rPr>
          <w:vertAlign w:val="superscript"/>
          <w:lang w:eastAsia="en-CA"/>
        </w:rPr>
        <w:t>st</w:t>
      </w:r>
      <w:r w:rsidR="00941920">
        <w:rPr>
          <w:lang w:eastAsia="en-CA"/>
        </w:rPr>
        <w:t xml:space="preserve"> gen vehicles are more efficient than 2</w:t>
      </w:r>
      <w:r w:rsidR="00941920" w:rsidRPr="00941920">
        <w:rPr>
          <w:vertAlign w:val="superscript"/>
          <w:lang w:eastAsia="en-CA"/>
        </w:rPr>
        <w:t>nd</w:t>
      </w:r>
      <w:r w:rsidR="00941920">
        <w:rPr>
          <w:lang w:eastAsia="en-CA"/>
        </w:rPr>
        <w:t xml:space="preserve"> gen vehicles </w:t>
      </w:r>
      <w:r>
        <w:rPr>
          <w:lang w:eastAsia="en-CA"/>
        </w:rPr>
        <w:t xml:space="preserve"> </w:t>
      </w:r>
    </w:p>
    <w:p w:rsidR="00B13D40" w:rsidRDefault="00B13D40" w:rsidP="00174A47">
      <w:pPr>
        <w:pStyle w:val="Title"/>
        <w:rPr>
          <w:lang w:eastAsia="en-CA"/>
        </w:rPr>
      </w:pPr>
      <w:r>
        <w:rPr>
          <w:lang w:eastAsia="en-CA"/>
        </w:rPr>
        <w:lastRenderedPageBreak/>
        <w:t>Ap</w:t>
      </w:r>
      <w:r w:rsidR="00174A47">
        <w:rPr>
          <w:lang w:eastAsia="en-CA"/>
        </w:rPr>
        <w:t xml:space="preserve">pendix </w:t>
      </w:r>
    </w:p>
    <w:p w:rsidR="00174A47" w:rsidRDefault="00720B15" w:rsidP="00B13D40">
      <w:pPr>
        <w:ind w:firstLine="720"/>
        <w:rPr>
          <w:lang w:eastAsia="en-CA"/>
        </w:rPr>
      </w:pPr>
      <w:r>
        <w:rPr>
          <w:lang w:eastAsia="en-CA"/>
        </w:rPr>
        <w:t>Table</w:t>
      </w:r>
      <w:r w:rsidR="00B13D40">
        <w:rPr>
          <w:lang w:eastAsia="en-CA"/>
        </w:rPr>
        <w:t xml:space="preserve">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90"/>
        <w:gridCol w:w="7"/>
        <w:gridCol w:w="3703"/>
        <w:gridCol w:w="2300"/>
        <w:gridCol w:w="2301"/>
      </w:tblGrid>
      <w:tr w:rsidR="00F3581C" w:rsidTr="002C4795">
        <w:tblPrEx>
          <w:tblCellMar>
            <w:top w:w="0" w:type="dxa"/>
            <w:bottom w:w="0" w:type="dxa"/>
          </w:tblCellMar>
        </w:tblPrEx>
        <w:trPr>
          <w:trHeight w:val="150"/>
        </w:trPr>
        <w:tc>
          <w:tcPr>
            <w:tcW w:w="9200" w:type="dxa"/>
            <w:gridSpan w:val="5"/>
          </w:tcPr>
          <w:p w:rsidR="00F3581C" w:rsidRDefault="00F3581C">
            <w:pPr>
              <w:pStyle w:val="Default"/>
              <w:rPr>
                <w:sz w:val="22"/>
                <w:szCs w:val="22"/>
              </w:rPr>
            </w:pPr>
            <w:r>
              <w:rPr>
                <w:sz w:val="22"/>
                <w:szCs w:val="22"/>
              </w:rPr>
              <w:t xml:space="preserve">Step No. </w:t>
            </w:r>
          </w:p>
        </w:tc>
      </w:tr>
      <w:tr w:rsidR="00F3581C" w:rsidTr="002C4795">
        <w:tblPrEx>
          <w:tblCellMar>
            <w:top w:w="0" w:type="dxa"/>
            <w:bottom w:w="0" w:type="dxa"/>
          </w:tblCellMar>
        </w:tblPrEx>
        <w:trPr>
          <w:trHeight w:val="66"/>
        </w:trPr>
        <w:tc>
          <w:tcPr>
            <w:tcW w:w="897" w:type="dxa"/>
            <w:gridSpan w:val="2"/>
          </w:tcPr>
          <w:p w:rsidR="00F3581C" w:rsidRDefault="00F3581C">
            <w:pPr>
              <w:pStyle w:val="Default"/>
              <w:rPr>
                <w:sz w:val="22"/>
                <w:szCs w:val="22"/>
              </w:rPr>
            </w:pPr>
            <w:r>
              <w:rPr>
                <w:sz w:val="22"/>
                <w:szCs w:val="22"/>
              </w:rPr>
              <w:t xml:space="preserve">1 </w:t>
            </w:r>
          </w:p>
        </w:tc>
        <w:tc>
          <w:tcPr>
            <w:tcW w:w="3702" w:type="dxa"/>
          </w:tcPr>
          <w:p w:rsidR="00F3581C" w:rsidRDefault="00F3581C">
            <w:pPr>
              <w:pStyle w:val="Default"/>
              <w:rPr>
                <w:sz w:val="22"/>
                <w:szCs w:val="22"/>
              </w:rPr>
            </w:pPr>
            <w:r>
              <w:rPr>
                <w:sz w:val="22"/>
                <w:szCs w:val="22"/>
              </w:rPr>
              <w:t xml:space="preserve">Energy to Manufacture Body-in-white </w:t>
            </w:r>
          </w:p>
        </w:tc>
        <w:tc>
          <w:tcPr>
            <w:tcW w:w="2300" w:type="dxa"/>
          </w:tcPr>
          <w:p w:rsidR="00F3581C" w:rsidRDefault="00F3581C">
            <w:pPr>
              <w:pStyle w:val="Default"/>
              <w:rPr>
                <w:sz w:val="22"/>
                <w:szCs w:val="22"/>
              </w:rPr>
            </w:pPr>
            <w:r>
              <w:rPr>
                <w:sz w:val="22"/>
                <w:szCs w:val="22"/>
              </w:rPr>
              <w:t xml:space="preserve">Al: </w:t>
            </w:r>
            <w:r w:rsidR="00A850B7">
              <w:rPr>
                <w:sz w:val="22"/>
                <w:szCs w:val="22"/>
              </w:rPr>
              <w:t>28 290 MJ</w:t>
            </w:r>
          </w:p>
        </w:tc>
        <w:tc>
          <w:tcPr>
            <w:tcW w:w="2301" w:type="dxa"/>
          </w:tcPr>
          <w:p w:rsidR="00F3581C" w:rsidRDefault="00F3581C">
            <w:pPr>
              <w:pStyle w:val="Default"/>
              <w:rPr>
                <w:sz w:val="22"/>
                <w:szCs w:val="22"/>
              </w:rPr>
            </w:pPr>
            <w:r>
              <w:rPr>
                <w:sz w:val="22"/>
                <w:szCs w:val="22"/>
              </w:rPr>
              <w:t xml:space="preserve">Steel: </w:t>
            </w:r>
            <w:r w:rsidR="00A850B7">
              <w:rPr>
                <w:sz w:val="22"/>
                <w:szCs w:val="22"/>
              </w:rPr>
              <w:t>8 978 MJ</w:t>
            </w:r>
          </w:p>
        </w:tc>
      </w:tr>
      <w:tr w:rsidR="00F3581C" w:rsidTr="002C4795">
        <w:tblPrEx>
          <w:tblCellMar>
            <w:top w:w="0" w:type="dxa"/>
            <w:bottom w:w="0" w:type="dxa"/>
          </w:tblCellMar>
        </w:tblPrEx>
        <w:trPr>
          <w:trHeight w:val="66"/>
        </w:trPr>
        <w:tc>
          <w:tcPr>
            <w:tcW w:w="897" w:type="dxa"/>
            <w:gridSpan w:val="2"/>
          </w:tcPr>
          <w:p w:rsidR="00F3581C" w:rsidRDefault="00F3581C">
            <w:pPr>
              <w:pStyle w:val="Default"/>
              <w:rPr>
                <w:sz w:val="22"/>
                <w:szCs w:val="22"/>
              </w:rPr>
            </w:pPr>
            <w:r>
              <w:rPr>
                <w:sz w:val="22"/>
                <w:szCs w:val="22"/>
              </w:rPr>
              <w:t xml:space="preserve">2 </w:t>
            </w:r>
          </w:p>
        </w:tc>
        <w:tc>
          <w:tcPr>
            <w:tcW w:w="3702" w:type="dxa"/>
          </w:tcPr>
          <w:p w:rsidR="00F3581C" w:rsidRDefault="00F3581C">
            <w:pPr>
              <w:pStyle w:val="Default"/>
              <w:rPr>
                <w:sz w:val="22"/>
                <w:szCs w:val="22"/>
              </w:rPr>
            </w:pPr>
            <w:r>
              <w:rPr>
                <w:sz w:val="22"/>
                <w:szCs w:val="22"/>
              </w:rPr>
              <w:t xml:space="preserve">Energy to drive one kilometre </w:t>
            </w:r>
          </w:p>
        </w:tc>
        <w:tc>
          <w:tcPr>
            <w:tcW w:w="2300" w:type="dxa"/>
          </w:tcPr>
          <w:p w:rsidR="00F3581C" w:rsidRDefault="00F3581C">
            <w:pPr>
              <w:pStyle w:val="Default"/>
              <w:rPr>
                <w:sz w:val="22"/>
                <w:szCs w:val="22"/>
              </w:rPr>
            </w:pPr>
            <w:r>
              <w:rPr>
                <w:sz w:val="22"/>
                <w:szCs w:val="22"/>
              </w:rPr>
              <w:t xml:space="preserve">Al: </w:t>
            </w:r>
            <w:r w:rsidR="00A850B7">
              <w:rPr>
                <w:sz w:val="22"/>
                <w:szCs w:val="22"/>
              </w:rPr>
              <w:t>3.39 MJ/Km</w:t>
            </w:r>
          </w:p>
        </w:tc>
        <w:tc>
          <w:tcPr>
            <w:tcW w:w="2301" w:type="dxa"/>
          </w:tcPr>
          <w:p w:rsidR="00F3581C" w:rsidRDefault="00F3581C">
            <w:pPr>
              <w:pStyle w:val="Default"/>
              <w:rPr>
                <w:sz w:val="22"/>
                <w:szCs w:val="22"/>
              </w:rPr>
            </w:pPr>
            <w:r>
              <w:rPr>
                <w:sz w:val="22"/>
                <w:szCs w:val="22"/>
              </w:rPr>
              <w:t xml:space="preserve">Steel: </w:t>
            </w:r>
            <w:r w:rsidR="00A850B7">
              <w:rPr>
                <w:sz w:val="22"/>
                <w:szCs w:val="22"/>
              </w:rPr>
              <w:t>3.59 MJ/Km</w:t>
            </w:r>
          </w:p>
        </w:tc>
      </w:tr>
      <w:tr w:rsidR="00A850B7" w:rsidTr="002C4795">
        <w:tblPrEx>
          <w:tblCellMar>
            <w:top w:w="0" w:type="dxa"/>
            <w:bottom w:w="0" w:type="dxa"/>
          </w:tblCellMar>
        </w:tblPrEx>
        <w:trPr>
          <w:trHeight w:val="150"/>
        </w:trPr>
        <w:tc>
          <w:tcPr>
            <w:tcW w:w="890" w:type="dxa"/>
          </w:tcPr>
          <w:p w:rsidR="00A850B7" w:rsidRDefault="00A850B7">
            <w:pPr>
              <w:pStyle w:val="Default"/>
              <w:rPr>
                <w:sz w:val="22"/>
                <w:szCs w:val="22"/>
              </w:rPr>
            </w:pPr>
            <w:r>
              <w:rPr>
                <w:sz w:val="22"/>
                <w:szCs w:val="22"/>
              </w:rPr>
              <w:t xml:space="preserve">3 </w:t>
            </w:r>
          </w:p>
        </w:tc>
        <w:tc>
          <w:tcPr>
            <w:tcW w:w="3710" w:type="dxa"/>
            <w:gridSpan w:val="2"/>
          </w:tcPr>
          <w:p w:rsidR="00A850B7" w:rsidRDefault="00A850B7" w:rsidP="00A850B7">
            <w:pPr>
              <w:pStyle w:val="Default"/>
              <w:rPr>
                <w:sz w:val="22"/>
                <w:szCs w:val="22"/>
              </w:rPr>
            </w:pPr>
            <w:r>
              <w:rPr>
                <w:sz w:val="22"/>
                <w:szCs w:val="22"/>
              </w:rPr>
              <w:t>Distance where the two vehicles have consumed the same energy</w:t>
            </w:r>
          </w:p>
        </w:tc>
        <w:tc>
          <w:tcPr>
            <w:tcW w:w="4601" w:type="dxa"/>
            <w:gridSpan w:val="2"/>
          </w:tcPr>
          <w:p w:rsidR="00A850B7" w:rsidRDefault="00A850B7">
            <w:pPr>
              <w:pStyle w:val="Default"/>
              <w:rPr>
                <w:sz w:val="22"/>
                <w:szCs w:val="22"/>
              </w:rPr>
            </w:pPr>
            <w:r>
              <w:rPr>
                <w:sz w:val="22"/>
                <w:szCs w:val="22"/>
              </w:rPr>
              <w:t>97 560 Km</w:t>
            </w:r>
          </w:p>
        </w:tc>
      </w:tr>
      <w:tr w:rsidR="00A850B7" w:rsidTr="002C4795">
        <w:tblPrEx>
          <w:tblCellMar>
            <w:top w:w="0" w:type="dxa"/>
            <w:bottom w:w="0" w:type="dxa"/>
          </w:tblCellMar>
        </w:tblPrEx>
        <w:trPr>
          <w:trHeight w:val="150"/>
        </w:trPr>
        <w:tc>
          <w:tcPr>
            <w:tcW w:w="890" w:type="dxa"/>
          </w:tcPr>
          <w:p w:rsidR="00A850B7" w:rsidRDefault="00A850B7">
            <w:pPr>
              <w:pStyle w:val="Default"/>
              <w:rPr>
                <w:sz w:val="22"/>
                <w:szCs w:val="22"/>
              </w:rPr>
            </w:pPr>
            <w:r>
              <w:rPr>
                <w:sz w:val="22"/>
                <w:szCs w:val="22"/>
              </w:rPr>
              <w:t xml:space="preserve">4 </w:t>
            </w:r>
          </w:p>
        </w:tc>
        <w:tc>
          <w:tcPr>
            <w:tcW w:w="3710" w:type="dxa"/>
            <w:gridSpan w:val="2"/>
          </w:tcPr>
          <w:p w:rsidR="00A850B7" w:rsidRDefault="00A850B7" w:rsidP="00A850B7">
            <w:pPr>
              <w:pStyle w:val="Default"/>
              <w:rPr>
                <w:sz w:val="22"/>
                <w:szCs w:val="22"/>
              </w:rPr>
            </w:pPr>
            <w:r>
              <w:rPr>
                <w:sz w:val="22"/>
                <w:szCs w:val="22"/>
              </w:rPr>
              <w:t>% increase or decrease for the aluminum vehicle relative to the steel vehicle after 283 000 km</w:t>
            </w:r>
          </w:p>
        </w:tc>
        <w:tc>
          <w:tcPr>
            <w:tcW w:w="4601" w:type="dxa"/>
            <w:gridSpan w:val="2"/>
          </w:tcPr>
          <w:p w:rsidR="00A850B7" w:rsidRDefault="00A850B7">
            <w:pPr>
              <w:pStyle w:val="Default"/>
              <w:rPr>
                <w:sz w:val="22"/>
                <w:szCs w:val="22"/>
              </w:rPr>
            </w:pPr>
            <w:r>
              <w:rPr>
                <w:sz w:val="22"/>
                <w:szCs w:val="22"/>
              </w:rPr>
              <w:t>3.62 %</w:t>
            </w:r>
          </w:p>
        </w:tc>
      </w:tr>
      <w:tr w:rsidR="00F3581C" w:rsidTr="002C4795">
        <w:tblPrEx>
          <w:tblCellMar>
            <w:top w:w="0" w:type="dxa"/>
            <w:bottom w:w="0" w:type="dxa"/>
          </w:tblCellMar>
        </w:tblPrEx>
        <w:trPr>
          <w:trHeight w:val="150"/>
        </w:trPr>
        <w:tc>
          <w:tcPr>
            <w:tcW w:w="897" w:type="dxa"/>
            <w:gridSpan w:val="2"/>
          </w:tcPr>
          <w:p w:rsidR="00F3581C" w:rsidRDefault="00F3581C">
            <w:pPr>
              <w:pStyle w:val="Default"/>
              <w:rPr>
                <w:sz w:val="22"/>
                <w:szCs w:val="22"/>
              </w:rPr>
            </w:pPr>
            <w:r>
              <w:rPr>
                <w:sz w:val="22"/>
                <w:szCs w:val="22"/>
              </w:rPr>
              <w:t xml:space="preserve">5 </w:t>
            </w:r>
          </w:p>
        </w:tc>
        <w:tc>
          <w:tcPr>
            <w:tcW w:w="3702" w:type="dxa"/>
          </w:tcPr>
          <w:p w:rsidR="00F3581C" w:rsidRDefault="00F3581C">
            <w:pPr>
              <w:pStyle w:val="Default"/>
              <w:rPr>
                <w:sz w:val="22"/>
                <w:szCs w:val="22"/>
              </w:rPr>
            </w:pPr>
            <w:r>
              <w:rPr>
                <w:sz w:val="22"/>
                <w:szCs w:val="22"/>
              </w:rPr>
              <w:t xml:space="preserve">Energy to re-manufacture the second generation BIW with recovered material </w:t>
            </w:r>
          </w:p>
        </w:tc>
        <w:tc>
          <w:tcPr>
            <w:tcW w:w="2300" w:type="dxa"/>
          </w:tcPr>
          <w:p w:rsidR="00F3581C" w:rsidRDefault="00F3581C">
            <w:pPr>
              <w:pStyle w:val="Default"/>
              <w:rPr>
                <w:sz w:val="22"/>
                <w:szCs w:val="22"/>
              </w:rPr>
            </w:pPr>
            <w:r>
              <w:rPr>
                <w:sz w:val="22"/>
                <w:szCs w:val="22"/>
              </w:rPr>
              <w:t xml:space="preserve">Al: </w:t>
            </w:r>
            <w:r w:rsidR="00A850B7">
              <w:rPr>
                <w:sz w:val="22"/>
                <w:szCs w:val="22"/>
              </w:rPr>
              <w:t>31 070 MJ</w:t>
            </w:r>
          </w:p>
        </w:tc>
        <w:tc>
          <w:tcPr>
            <w:tcW w:w="2301" w:type="dxa"/>
          </w:tcPr>
          <w:p w:rsidR="00F3581C" w:rsidRDefault="00F3581C">
            <w:pPr>
              <w:pStyle w:val="Default"/>
              <w:rPr>
                <w:sz w:val="22"/>
                <w:szCs w:val="22"/>
              </w:rPr>
            </w:pPr>
            <w:r>
              <w:rPr>
                <w:sz w:val="22"/>
                <w:szCs w:val="22"/>
              </w:rPr>
              <w:t>Steel:</w:t>
            </w:r>
            <w:r w:rsidR="00A850B7">
              <w:rPr>
                <w:sz w:val="22"/>
                <w:szCs w:val="22"/>
              </w:rPr>
              <w:t xml:space="preserve"> 9 203 MJ</w:t>
            </w:r>
            <w:r>
              <w:rPr>
                <w:sz w:val="22"/>
                <w:szCs w:val="22"/>
              </w:rPr>
              <w:t xml:space="preserve"> </w:t>
            </w:r>
          </w:p>
        </w:tc>
      </w:tr>
      <w:tr w:rsidR="00A850B7" w:rsidTr="002C4795">
        <w:tblPrEx>
          <w:tblCellMar>
            <w:top w:w="0" w:type="dxa"/>
            <w:bottom w:w="0" w:type="dxa"/>
          </w:tblCellMar>
        </w:tblPrEx>
        <w:trPr>
          <w:trHeight w:val="150"/>
        </w:trPr>
        <w:tc>
          <w:tcPr>
            <w:tcW w:w="890" w:type="dxa"/>
          </w:tcPr>
          <w:p w:rsidR="00A850B7" w:rsidRDefault="00A850B7">
            <w:pPr>
              <w:pStyle w:val="Default"/>
              <w:rPr>
                <w:sz w:val="22"/>
                <w:szCs w:val="22"/>
              </w:rPr>
            </w:pPr>
            <w:r>
              <w:rPr>
                <w:sz w:val="22"/>
                <w:szCs w:val="22"/>
              </w:rPr>
              <w:t>6</w:t>
            </w:r>
          </w:p>
        </w:tc>
        <w:tc>
          <w:tcPr>
            <w:tcW w:w="3710" w:type="dxa"/>
            <w:gridSpan w:val="2"/>
          </w:tcPr>
          <w:p w:rsidR="00A850B7" w:rsidRDefault="00A850B7" w:rsidP="00A850B7">
            <w:pPr>
              <w:pStyle w:val="Default"/>
              <w:rPr>
                <w:sz w:val="22"/>
                <w:szCs w:val="22"/>
              </w:rPr>
            </w:pPr>
            <w:r>
              <w:rPr>
                <w:sz w:val="22"/>
                <w:szCs w:val="22"/>
              </w:rPr>
              <w:t>Distance where the two second-generation vehicles have consumed the same energy</w:t>
            </w:r>
          </w:p>
        </w:tc>
        <w:tc>
          <w:tcPr>
            <w:tcW w:w="4601" w:type="dxa"/>
            <w:gridSpan w:val="2"/>
          </w:tcPr>
          <w:p w:rsidR="00A850B7" w:rsidRDefault="00A850B7">
            <w:pPr>
              <w:pStyle w:val="Default"/>
              <w:rPr>
                <w:sz w:val="22"/>
                <w:szCs w:val="22"/>
              </w:rPr>
            </w:pPr>
            <w:r>
              <w:rPr>
                <w:sz w:val="22"/>
                <w:szCs w:val="22"/>
              </w:rPr>
              <w:t>109 300 Km</w:t>
            </w:r>
          </w:p>
        </w:tc>
      </w:tr>
      <w:tr w:rsidR="00A850B7" w:rsidTr="002C4795">
        <w:tblPrEx>
          <w:tblCellMar>
            <w:top w:w="0" w:type="dxa"/>
            <w:bottom w:w="0" w:type="dxa"/>
          </w:tblCellMar>
        </w:tblPrEx>
        <w:trPr>
          <w:trHeight w:val="247"/>
        </w:trPr>
        <w:tc>
          <w:tcPr>
            <w:tcW w:w="890" w:type="dxa"/>
          </w:tcPr>
          <w:p w:rsidR="00A850B7" w:rsidRDefault="00A850B7">
            <w:pPr>
              <w:pStyle w:val="Default"/>
              <w:rPr>
                <w:sz w:val="22"/>
                <w:szCs w:val="22"/>
              </w:rPr>
            </w:pPr>
            <w:r>
              <w:rPr>
                <w:sz w:val="22"/>
                <w:szCs w:val="22"/>
              </w:rPr>
              <w:t xml:space="preserve">7 </w:t>
            </w:r>
          </w:p>
        </w:tc>
        <w:tc>
          <w:tcPr>
            <w:tcW w:w="3710" w:type="dxa"/>
            <w:gridSpan w:val="2"/>
          </w:tcPr>
          <w:p w:rsidR="00A850B7" w:rsidRDefault="00A850B7" w:rsidP="00A850B7">
            <w:pPr>
              <w:pStyle w:val="Default"/>
              <w:rPr>
                <w:sz w:val="22"/>
                <w:szCs w:val="22"/>
              </w:rPr>
            </w:pPr>
            <w:r>
              <w:rPr>
                <w:sz w:val="22"/>
                <w:szCs w:val="22"/>
              </w:rPr>
              <w:t>% increase or decrease for the 2</w:t>
            </w:r>
            <w:r>
              <w:rPr>
                <w:sz w:val="14"/>
                <w:szCs w:val="14"/>
              </w:rPr>
              <w:t xml:space="preserve">nd </w:t>
            </w:r>
            <w:r>
              <w:rPr>
                <w:sz w:val="22"/>
                <w:szCs w:val="22"/>
              </w:rPr>
              <w:t>generation aluminum vehicle relative to the 2</w:t>
            </w:r>
            <w:r>
              <w:rPr>
                <w:sz w:val="14"/>
                <w:szCs w:val="14"/>
              </w:rPr>
              <w:t xml:space="preserve">nd </w:t>
            </w:r>
            <w:r>
              <w:rPr>
                <w:sz w:val="22"/>
                <w:szCs w:val="22"/>
              </w:rPr>
              <w:t>generation steel vehicle after 283 000 km</w:t>
            </w:r>
          </w:p>
        </w:tc>
        <w:tc>
          <w:tcPr>
            <w:tcW w:w="4601" w:type="dxa"/>
            <w:gridSpan w:val="2"/>
          </w:tcPr>
          <w:p w:rsidR="00A850B7" w:rsidRDefault="00A850B7">
            <w:pPr>
              <w:pStyle w:val="Default"/>
              <w:rPr>
                <w:sz w:val="22"/>
                <w:szCs w:val="22"/>
              </w:rPr>
            </w:pPr>
            <w:r>
              <w:rPr>
                <w:sz w:val="22"/>
                <w:szCs w:val="22"/>
              </w:rPr>
              <w:t>3.39 %</w:t>
            </w:r>
          </w:p>
        </w:tc>
      </w:tr>
      <w:tr w:rsidR="00F3581C" w:rsidTr="002C4795">
        <w:tblPrEx>
          <w:tblCellMar>
            <w:top w:w="0" w:type="dxa"/>
            <w:bottom w:w="0" w:type="dxa"/>
          </w:tblCellMar>
        </w:tblPrEx>
        <w:trPr>
          <w:trHeight w:val="81"/>
        </w:trPr>
        <w:tc>
          <w:tcPr>
            <w:tcW w:w="897" w:type="dxa"/>
            <w:gridSpan w:val="2"/>
          </w:tcPr>
          <w:p w:rsidR="00F3581C" w:rsidRDefault="00F3581C">
            <w:pPr>
              <w:pStyle w:val="Default"/>
              <w:rPr>
                <w:sz w:val="22"/>
                <w:szCs w:val="22"/>
              </w:rPr>
            </w:pPr>
            <w:r>
              <w:rPr>
                <w:sz w:val="22"/>
                <w:szCs w:val="22"/>
              </w:rPr>
              <w:t xml:space="preserve">8 </w:t>
            </w:r>
          </w:p>
        </w:tc>
        <w:tc>
          <w:tcPr>
            <w:tcW w:w="3702" w:type="dxa"/>
          </w:tcPr>
          <w:p w:rsidR="00F3581C" w:rsidRDefault="00F3581C">
            <w:pPr>
              <w:pStyle w:val="Default"/>
              <w:rPr>
                <w:sz w:val="22"/>
                <w:szCs w:val="22"/>
              </w:rPr>
            </w:pPr>
            <w:r>
              <w:rPr>
                <w:sz w:val="22"/>
                <w:szCs w:val="22"/>
              </w:rPr>
              <w:t xml:space="preserve">Energy Cost Savings for 1st and 2nd generation vehicles </w:t>
            </w:r>
          </w:p>
        </w:tc>
        <w:tc>
          <w:tcPr>
            <w:tcW w:w="2300" w:type="dxa"/>
          </w:tcPr>
          <w:p w:rsidR="00F3581C" w:rsidRDefault="00F3581C">
            <w:pPr>
              <w:pStyle w:val="Default"/>
              <w:rPr>
                <w:sz w:val="22"/>
                <w:szCs w:val="22"/>
              </w:rPr>
            </w:pPr>
            <w:r>
              <w:rPr>
                <w:sz w:val="22"/>
                <w:szCs w:val="22"/>
              </w:rPr>
              <w:t xml:space="preserve">1st: </w:t>
            </w:r>
          </w:p>
        </w:tc>
        <w:tc>
          <w:tcPr>
            <w:tcW w:w="2301" w:type="dxa"/>
          </w:tcPr>
          <w:p w:rsidR="00F3581C" w:rsidRDefault="00F3581C">
            <w:pPr>
              <w:pStyle w:val="Default"/>
              <w:rPr>
                <w:sz w:val="22"/>
                <w:szCs w:val="22"/>
              </w:rPr>
            </w:pPr>
            <w:r>
              <w:rPr>
                <w:sz w:val="22"/>
                <w:szCs w:val="22"/>
              </w:rPr>
              <w:t xml:space="preserve">2nd: </w:t>
            </w:r>
          </w:p>
        </w:tc>
      </w:tr>
    </w:tbl>
    <w:p w:rsidR="00F3581C" w:rsidRDefault="00F3581C" w:rsidP="00F3581C">
      <w:pPr>
        <w:ind w:firstLine="720"/>
        <w:rPr>
          <w:lang w:eastAsia="en-CA"/>
        </w:rPr>
      </w:pPr>
    </w:p>
    <w:p w:rsidR="00720B15" w:rsidRDefault="00720B15" w:rsidP="00F3581C">
      <w:pPr>
        <w:ind w:firstLine="720"/>
        <w:rPr>
          <w:lang w:eastAsia="en-CA"/>
        </w:rPr>
      </w:pPr>
      <w:r>
        <w:rPr>
          <w:lang w:eastAsia="en-CA"/>
        </w:rPr>
        <w:t xml:space="preserve">Figure 1: </w:t>
      </w:r>
    </w:p>
    <w:p w:rsidR="00720B15" w:rsidRDefault="00720B15" w:rsidP="00F3581C">
      <w:pPr>
        <w:ind w:firstLine="720"/>
        <w:rPr>
          <w:lang w:eastAsia="en-CA"/>
        </w:rPr>
      </w:pPr>
    </w:p>
    <w:p w:rsidR="00720B15" w:rsidRDefault="002C4795" w:rsidP="00720B15">
      <w:pPr>
        <w:rPr>
          <w:lang w:eastAsia="en-CA"/>
        </w:rPr>
      </w:pPr>
      <w:r w:rsidRPr="002C4795">
        <w:rPr>
          <w:lang w:eastAsia="en-CA"/>
        </w:rPr>
        <w:drawing>
          <wp:inline distT="0" distB="0" distL="0" distR="0">
            <wp:extent cx="5857875" cy="2981325"/>
            <wp:effectExtent l="19050" t="0" r="9525" b="0"/>
            <wp:docPr id="8"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720B15" w:rsidRPr="00720B15" w:rsidRDefault="00720B15" w:rsidP="00720B15">
      <w:pPr>
        <w:rPr>
          <w:lang w:eastAsia="en-CA"/>
        </w:rPr>
      </w:pPr>
    </w:p>
    <w:p w:rsidR="00720B15" w:rsidRDefault="00720B15" w:rsidP="00720B15">
      <w:pPr>
        <w:rPr>
          <w:lang w:eastAsia="en-CA"/>
        </w:rPr>
      </w:pPr>
      <w:r>
        <w:rPr>
          <w:lang w:eastAsia="en-CA"/>
        </w:rPr>
        <w:t>Figure 2:</w:t>
      </w:r>
    </w:p>
    <w:p w:rsidR="00720B15" w:rsidRDefault="00720B15" w:rsidP="00720B15">
      <w:pPr>
        <w:tabs>
          <w:tab w:val="left" w:pos="3630"/>
        </w:tabs>
        <w:rPr>
          <w:lang w:eastAsia="en-CA"/>
        </w:rPr>
      </w:pPr>
      <w:r>
        <w:rPr>
          <w:lang w:eastAsia="en-CA"/>
        </w:rPr>
        <w:tab/>
      </w:r>
      <w:r w:rsidRPr="00720B15">
        <w:rPr>
          <w:lang w:eastAsia="en-CA"/>
        </w:rPr>
        <w:drawing>
          <wp:inline distT="0" distB="0" distL="0" distR="0">
            <wp:extent cx="5867400" cy="3305175"/>
            <wp:effectExtent l="19050" t="0" r="19050" b="0"/>
            <wp:docPr id="7"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720B15" w:rsidRDefault="00720B15" w:rsidP="00720B15">
      <w:pPr>
        <w:rPr>
          <w:lang w:eastAsia="en-CA"/>
        </w:rPr>
      </w:pPr>
    </w:p>
    <w:p w:rsidR="00720B15" w:rsidRDefault="00720B15" w:rsidP="00720B15">
      <w:pPr>
        <w:ind w:firstLine="720"/>
        <w:jc w:val="center"/>
        <w:rPr>
          <w:lang w:eastAsia="en-CA"/>
        </w:rPr>
      </w:pPr>
      <w:r>
        <w:rPr>
          <w:lang w:eastAsia="en-CA"/>
        </w:rPr>
        <w:t>Work Cited:</w:t>
      </w:r>
    </w:p>
    <w:p w:rsidR="00720B15" w:rsidRDefault="00720B15" w:rsidP="00720B15">
      <w:pPr>
        <w:widowControl w:val="0"/>
        <w:autoSpaceDE w:val="0"/>
        <w:autoSpaceDN w:val="0"/>
        <w:adjustRightInd w:val="0"/>
        <w:spacing w:after="0" w:line="550" w:lineRule="atLeast"/>
        <w:ind w:left="800" w:hanging="800"/>
        <w:rPr>
          <w:rFonts w:ascii="Times New Roman" w:hAnsi="Times New Roman" w:cs="Times New Roman"/>
          <w:sz w:val="24"/>
          <w:szCs w:val="24"/>
          <w:lang w:val="en-US"/>
        </w:rPr>
      </w:pPr>
      <w:proofErr w:type="gramStart"/>
      <w:r>
        <w:rPr>
          <w:rFonts w:ascii="Times New Roman" w:hAnsi="Times New Roman" w:cs="Times New Roman"/>
          <w:sz w:val="24"/>
          <w:szCs w:val="24"/>
          <w:lang w:val="en-US"/>
        </w:rPr>
        <w:t xml:space="preserve">"Aluminum Strength </w:t>
      </w:r>
      <w:proofErr w:type="spellStart"/>
      <w:r>
        <w:rPr>
          <w:rFonts w:ascii="Times New Roman" w:hAnsi="Times New Roman" w:cs="Times New Roman"/>
          <w:sz w:val="24"/>
          <w:szCs w:val="24"/>
          <w:lang w:val="en-US"/>
        </w:rPr>
        <w:t>vs</w:t>
      </w:r>
      <w:proofErr w:type="spellEnd"/>
      <w:r>
        <w:rPr>
          <w:rFonts w:ascii="Times New Roman" w:hAnsi="Times New Roman" w:cs="Times New Roman"/>
          <w:sz w:val="24"/>
          <w:szCs w:val="24"/>
          <w:lang w:val="en-US"/>
        </w:rPr>
        <w:t xml:space="preserve"> Steel Strength."</w:t>
      </w:r>
      <w:proofErr w:type="gramEnd"/>
      <w:r>
        <w:rPr>
          <w:rFonts w:ascii="Times New Roman" w:hAnsi="Times New Roman" w:cs="Times New Roman"/>
          <w:sz w:val="24"/>
          <w:szCs w:val="24"/>
          <w:lang w:val="en-US"/>
        </w:rPr>
        <w:t xml:space="preserve"> </w:t>
      </w:r>
      <w:proofErr w:type="spellStart"/>
      <w:r>
        <w:rPr>
          <w:rFonts w:ascii="Times New Roman" w:hAnsi="Times New Roman" w:cs="Times New Roman"/>
          <w:i/>
          <w:iCs/>
          <w:sz w:val="24"/>
          <w:szCs w:val="24"/>
          <w:lang w:val="en-US"/>
        </w:rPr>
        <w:t>Kasten</w:t>
      </w:r>
      <w:proofErr w:type="spellEnd"/>
      <w:r>
        <w:rPr>
          <w:rFonts w:ascii="Times New Roman" w:hAnsi="Times New Roman" w:cs="Times New Roman"/>
          <w:i/>
          <w:iCs/>
          <w:sz w:val="24"/>
          <w:szCs w:val="24"/>
          <w:lang w:val="en-US"/>
        </w:rPr>
        <w:t xml:space="preserve"> Marine Design - Custom sailing and motor yacht design</w:t>
      </w:r>
      <w:proofErr w:type="gramStart"/>
      <w:r>
        <w:rPr>
          <w:rFonts w:ascii="Times New Roman" w:hAnsi="Times New Roman" w:cs="Times New Roman"/>
          <w:i/>
          <w:iCs/>
          <w:sz w:val="24"/>
          <w:szCs w:val="24"/>
          <w:lang w:val="en-US"/>
        </w:rPr>
        <w:t>.</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w:t>
      </w:r>
      <w:proofErr w:type="spellStart"/>
      <w:proofErr w:type="gramStart"/>
      <w:r>
        <w:rPr>
          <w:rFonts w:ascii="Times New Roman" w:hAnsi="Times New Roman" w:cs="Times New Roman"/>
          <w:sz w:val="24"/>
          <w:szCs w:val="24"/>
          <w:lang w:val="en-US"/>
        </w:rPr>
        <w:t>N.p</w:t>
      </w:r>
      <w:proofErr w:type="spellEnd"/>
      <w:proofErr w:type="gram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n.d</w:t>
      </w:r>
      <w:proofErr w:type="spellEnd"/>
      <w:r>
        <w:rPr>
          <w:rFonts w:ascii="Times New Roman" w:hAnsi="Times New Roman" w:cs="Times New Roman"/>
          <w:sz w:val="24"/>
          <w:szCs w:val="24"/>
          <w:lang w:val="en-US"/>
        </w:rPr>
        <w:t>. Web. 27 Sept. 2011. &lt;http://www.kastenmarine.com/alumVSsteel.htm&gt;.</w:t>
      </w:r>
    </w:p>
    <w:p w:rsidR="00720B15" w:rsidRPr="00720B15" w:rsidRDefault="00720B15" w:rsidP="00720B15">
      <w:pPr>
        <w:ind w:firstLine="720"/>
        <w:rPr>
          <w:lang w:eastAsia="en-CA"/>
        </w:rPr>
      </w:pPr>
    </w:p>
    <w:sectPr w:rsidR="00720B15" w:rsidRPr="00720B15" w:rsidSect="003A53F9">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6BBB" w:rsidRDefault="00CA6BBB" w:rsidP="00720B15">
      <w:pPr>
        <w:spacing w:after="0" w:line="240" w:lineRule="auto"/>
      </w:pPr>
      <w:r>
        <w:separator/>
      </w:r>
    </w:p>
  </w:endnote>
  <w:endnote w:type="continuationSeparator" w:id="0">
    <w:p w:rsidR="00CA6BBB" w:rsidRDefault="00CA6BBB" w:rsidP="00720B1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altName w:val="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6BBB" w:rsidRDefault="00CA6BBB" w:rsidP="00720B15">
      <w:pPr>
        <w:spacing w:after="0" w:line="240" w:lineRule="auto"/>
      </w:pPr>
      <w:r>
        <w:separator/>
      </w:r>
    </w:p>
  </w:footnote>
  <w:footnote w:type="continuationSeparator" w:id="0">
    <w:p w:rsidR="00CA6BBB" w:rsidRDefault="00CA6BBB" w:rsidP="00720B15">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062CBC"/>
    <w:rsid w:val="00062CBC"/>
    <w:rsid w:val="00174A47"/>
    <w:rsid w:val="0023332F"/>
    <w:rsid w:val="0027000C"/>
    <w:rsid w:val="002C4795"/>
    <w:rsid w:val="00310D42"/>
    <w:rsid w:val="003117A5"/>
    <w:rsid w:val="003A53F9"/>
    <w:rsid w:val="004D03F2"/>
    <w:rsid w:val="00720B15"/>
    <w:rsid w:val="00776EFF"/>
    <w:rsid w:val="007D7E8B"/>
    <w:rsid w:val="00923D6D"/>
    <w:rsid w:val="00941920"/>
    <w:rsid w:val="009802C3"/>
    <w:rsid w:val="00A76531"/>
    <w:rsid w:val="00A850B7"/>
    <w:rsid w:val="00B13D40"/>
    <w:rsid w:val="00B313C5"/>
    <w:rsid w:val="00BA618B"/>
    <w:rsid w:val="00C11C18"/>
    <w:rsid w:val="00C443A4"/>
    <w:rsid w:val="00C936A3"/>
    <w:rsid w:val="00CA6BBB"/>
    <w:rsid w:val="00CD68DB"/>
    <w:rsid w:val="00DE1177"/>
    <w:rsid w:val="00F246C8"/>
    <w:rsid w:val="00F3581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53F9"/>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62C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2CBC"/>
    <w:rPr>
      <w:rFonts w:ascii="Tahoma" w:hAnsi="Tahoma" w:cs="Tahoma"/>
      <w:sz w:val="16"/>
      <w:szCs w:val="16"/>
    </w:rPr>
  </w:style>
  <w:style w:type="character" w:styleId="Hyperlink">
    <w:name w:val="Hyperlink"/>
    <w:basedOn w:val="DefaultParagraphFont"/>
    <w:uiPriority w:val="99"/>
    <w:unhideWhenUsed/>
    <w:rsid w:val="00062CBC"/>
    <w:rPr>
      <w:color w:val="0000FF" w:themeColor="hyperlink"/>
      <w:u w:val="single"/>
    </w:rPr>
  </w:style>
  <w:style w:type="paragraph" w:styleId="Title">
    <w:name w:val="Title"/>
    <w:basedOn w:val="Normal"/>
    <w:next w:val="Normal"/>
    <w:link w:val="TitleChar"/>
    <w:uiPriority w:val="10"/>
    <w:qFormat/>
    <w:rsid w:val="00174A4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74A47"/>
    <w:rPr>
      <w:rFonts w:asciiTheme="majorHAnsi" w:eastAsiaTheme="majorEastAsia" w:hAnsiTheme="majorHAnsi" w:cstheme="majorBidi"/>
      <w:color w:val="17365D" w:themeColor="text2" w:themeShade="BF"/>
      <w:spacing w:val="5"/>
      <w:kern w:val="28"/>
      <w:sz w:val="52"/>
      <w:szCs w:val="52"/>
    </w:rPr>
  </w:style>
  <w:style w:type="paragraph" w:customStyle="1" w:styleId="Default">
    <w:name w:val="Default"/>
    <w:rsid w:val="00F3581C"/>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semiHidden/>
    <w:unhideWhenUsed/>
    <w:rsid w:val="00720B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20B15"/>
  </w:style>
  <w:style w:type="paragraph" w:styleId="Footer">
    <w:name w:val="footer"/>
    <w:basedOn w:val="Normal"/>
    <w:link w:val="FooterChar"/>
    <w:uiPriority w:val="99"/>
    <w:semiHidden/>
    <w:unhideWhenUsed/>
    <w:rsid w:val="00720B1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20B15"/>
  </w:style>
</w:styles>
</file>

<file path=word/webSettings.xml><?xml version="1.0" encoding="utf-8"?>
<w:webSettings xmlns:r="http://schemas.openxmlformats.org/officeDocument/2006/relationships" xmlns:w="http://schemas.openxmlformats.org/wordprocessingml/2006/main">
  <w:divs>
    <w:div w:id="339161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almalki@connect.carleton.ca" TargetMode="External"/><Relationship Id="rId3" Type="http://schemas.openxmlformats.org/officeDocument/2006/relationships/webSettings" Target="webSettings.xml"/><Relationship Id="rId7" Type="http://schemas.openxmlformats.org/officeDocument/2006/relationships/hyperlink" Target="mailto:spant@connect.carleton.ca"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jromuald@connect.carleton.ca"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hart" Target="charts/chart2.xml"/><Relationship Id="rId4" Type="http://schemas.openxmlformats.org/officeDocument/2006/relationships/footnotes" Target="footnote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user3\Documents\Abdul%20Almalki%20(work)\University\ECOR%201010\Lab%201%20-%20excel%20graph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user3\Documents\Abdul%20Almalki%20(work)\University\ECOR%201010\Lab%201%20-%20excel%20graph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CA"/>
  <c:chart>
    <c:title>
      <c:tx>
        <c:rich>
          <a:bodyPr/>
          <a:lstStyle/>
          <a:p>
            <a:pPr>
              <a:defRPr/>
            </a:pPr>
            <a:r>
              <a:rPr lang="en-CA" sz="1800" b="1"/>
              <a:t>Energy Consumption vs. Km Driven for 1st gen Steel and Aluminum vehicles </a:t>
            </a:r>
            <a:endParaRPr lang="en-CA" sz="1800"/>
          </a:p>
        </c:rich>
      </c:tx>
      <c:layout>
        <c:manualLayout>
          <c:xMode val="edge"/>
          <c:yMode val="edge"/>
          <c:x val="0.12053654268826156"/>
          <c:y val="0"/>
        </c:manualLayout>
      </c:layout>
    </c:title>
    <c:plotArea>
      <c:layout>
        <c:manualLayout>
          <c:layoutTarget val="inner"/>
          <c:xMode val="edge"/>
          <c:yMode val="edge"/>
          <c:x val="0.18246966381949536"/>
          <c:y val="0.20569108152837048"/>
          <c:w val="0.55759041108872431"/>
          <c:h val="0.62428666502157315"/>
        </c:manualLayout>
      </c:layout>
      <c:lineChart>
        <c:grouping val="standard"/>
        <c:ser>
          <c:idx val="0"/>
          <c:order val="0"/>
          <c:tx>
            <c:v>Aluminum</c:v>
          </c:tx>
          <c:marker>
            <c:symbol val="none"/>
          </c:marker>
          <c:cat>
            <c:numRef>
              <c:f>Sheet1!$A$3:$A$4</c:f>
              <c:numCache>
                <c:formatCode>General</c:formatCode>
                <c:ptCount val="2"/>
                <c:pt idx="0">
                  <c:v>0</c:v>
                </c:pt>
                <c:pt idx="1">
                  <c:v>300000</c:v>
                </c:pt>
              </c:numCache>
            </c:numRef>
          </c:cat>
          <c:val>
            <c:numRef>
              <c:f>Sheet1!$B$3:$B$4</c:f>
              <c:numCache>
                <c:formatCode>General</c:formatCode>
                <c:ptCount val="2"/>
                <c:pt idx="0">
                  <c:v>28490</c:v>
                </c:pt>
                <c:pt idx="1">
                  <c:v>1040000</c:v>
                </c:pt>
              </c:numCache>
            </c:numRef>
          </c:val>
        </c:ser>
        <c:ser>
          <c:idx val="1"/>
          <c:order val="1"/>
          <c:tx>
            <c:v>Steel</c:v>
          </c:tx>
          <c:marker>
            <c:symbol val="none"/>
          </c:marker>
          <c:val>
            <c:numRef>
              <c:f>Sheet1!$C$3:$C$4</c:f>
              <c:numCache>
                <c:formatCode>General</c:formatCode>
                <c:ptCount val="2"/>
                <c:pt idx="0">
                  <c:v>8978</c:v>
                </c:pt>
                <c:pt idx="1">
                  <c:v>1090000</c:v>
                </c:pt>
              </c:numCache>
            </c:numRef>
          </c:val>
        </c:ser>
        <c:marker val="1"/>
        <c:axId val="150305792"/>
        <c:axId val="133493888"/>
      </c:lineChart>
      <c:catAx>
        <c:axId val="150305792"/>
        <c:scaling>
          <c:orientation val="minMax"/>
        </c:scaling>
        <c:axPos val="b"/>
        <c:title>
          <c:tx>
            <c:rich>
              <a:bodyPr/>
              <a:lstStyle/>
              <a:p>
                <a:pPr>
                  <a:defRPr/>
                </a:pPr>
                <a:r>
                  <a:rPr lang="en-CA"/>
                  <a:t>Km</a:t>
                </a:r>
                <a:r>
                  <a:rPr lang="en-CA" baseline="0"/>
                  <a:t> driven</a:t>
                </a:r>
                <a:endParaRPr lang="en-CA"/>
              </a:p>
            </c:rich>
          </c:tx>
        </c:title>
        <c:numFmt formatCode="General" sourceLinked="1"/>
        <c:tickLblPos val="nextTo"/>
        <c:crossAx val="133493888"/>
        <c:crosses val="autoZero"/>
        <c:auto val="1"/>
        <c:lblAlgn val="ctr"/>
        <c:lblOffset val="100"/>
      </c:catAx>
      <c:valAx>
        <c:axId val="133493888"/>
        <c:scaling>
          <c:orientation val="minMax"/>
        </c:scaling>
        <c:axPos val="l"/>
        <c:majorGridlines/>
        <c:title>
          <c:tx>
            <c:rich>
              <a:bodyPr rot="-5400000" vert="horz"/>
              <a:lstStyle/>
              <a:p>
                <a:pPr>
                  <a:defRPr/>
                </a:pPr>
                <a:r>
                  <a:rPr lang="en-CA"/>
                  <a:t>Energy</a:t>
                </a:r>
                <a:r>
                  <a:rPr lang="en-CA" baseline="0"/>
                  <a:t> COnsumed (MJ)</a:t>
                </a:r>
                <a:endParaRPr lang="en-CA"/>
              </a:p>
            </c:rich>
          </c:tx>
        </c:title>
        <c:numFmt formatCode="General" sourceLinked="1"/>
        <c:tickLblPos val="nextTo"/>
        <c:crossAx val="150305792"/>
        <c:crosses val="autoZero"/>
        <c:crossBetween val="between"/>
      </c:valAx>
    </c:plotArea>
    <c:legend>
      <c:legendPos val="r"/>
      <c:layout>
        <c:manualLayout>
          <c:xMode val="edge"/>
          <c:yMode val="edge"/>
          <c:x val="0.82950354609929078"/>
          <c:y val="0.41628280839895065"/>
          <c:w val="0.1509576138147567"/>
          <c:h val="0.11399784963103203"/>
        </c:manualLayout>
      </c:layout>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CA"/>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solidFill>
                <a:latin typeface="+mn-lt"/>
                <a:ea typeface="+mn-ea"/>
                <a:cs typeface="+mn-cs"/>
              </a:defRPr>
            </a:pPr>
            <a:r>
              <a:rPr lang="en-CA" sz="1800" b="1"/>
              <a:t>Energy Consumption vs. Km Driven for 2nd gen Steel and Aluminum vehicles </a:t>
            </a:r>
            <a:endParaRPr lang="en-CA" sz="1800"/>
          </a:p>
          <a:p>
            <a:pPr marL="0" marR="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solidFill>
                <a:latin typeface="+mn-lt"/>
                <a:ea typeface="+mn-ea"/>
                <a:cs typeface="+mn-cs"/>
              </a:defRPr>
            </a:pPr>
            <a:endParaRPr lang="en-CA"/>
          </a:p>
        </c:rich>
      </c:tx>
    </c:title>
    <c:plotArea>
      <c:layout>
        <c:manualLayout>
          <c:layoutTarget val="inner"/>
          <c:xMode val="edge"/>
          <c:yMode val="edge"/>
          <c:x val="0.16300533742007092"/>
          <c:y val="0.20172824550777327"/>
          <c:w val="0.50826159230096191"/>
          <c:h val="0.71364522511609196"/>
        </c:manualLayout>
      </c:layout>
      <c:lineChart>
        <c:grouping val="standard"/>
        <c:ser>
          <c:idx val="0"/>
          <c:order val="0"/>
          <c:tx>
            <c:v>Aluminum 2nd Gen</c:v>
          </c:tx>
          <c:marker>
            <c:symbol val="none"/>
          </c:marker>
          <c:cat>
            <c:numRef>
              <c:f>Sheet1!$A$14:$A$15</c:f>
              <c:numCache>
                <c:formatCode>General</c:formatCode>
                <c:ptCount val="2"/>
                <c:pt idx="0">
                  <c:v>0</c:v>
                </c:pt>
                <c:pt idx="1">
                  <c:v>300000</c:v>
                </c:pt>
              </c:numCache>
            </c:numRef>
          </c:cat>
          <c:val>
            <c:numRef>
              <c:f>Sheet1!$B$14:$B$15</c:f>
              <c:numCache>
                <c:formatCode>General</c:formatCode>
                <c:ptCount val="2"/>
                <c:pt idx="0">
                  <c:v>31070</c:v>
                </c:pt>
                <c:pt idx="1">
                  <c:v>1050000</c:v>
                </c:pt>
              </c:numCache>
            </c:numRef>
          </c:val>
        </c:ser>
        <c:ser>
          <c:idx val="1"/>
          <c:order val="1"/>
          <c:tx>
            <c:v>Steel 2nd Gen</c:v>
          </c:tx>
          <c:marker>
            <c:symbol val="none"/>
          </c:marker>
          <c:val>
            <c:numRef>
              <c:f>Sheet1!$C$14:$C$15</c:f>
              <c:numCache>
                <c:formatCode>General</c:formatCode>
                <c:ptCount val="2"/>
                <c:pt idx="0">
                  <c:v>9203</c:v>
                </c:pt>
                <c:pt idx="1">
                  <c:v>1090000</c:v>
                </c:pt>
              </c:numCache>
            </c:numRef>
          </c:val>
        </c:ser>
        <c:marker val="1"/>
        <c:axId val="136460160"/>
        <c:axId val="145334272"/>
      </c:lineChart>
      <c:catAx>
        <c:axId val="136460160"/>
        <c:scaling>
          <c:orientation val="minMax"/>
        </c:scaling>
        <c:axPos val="b"/>
        <c:title>
          <c:tx>
            <c:rich>
              <a:bodyPr/>
              <a:lstStyle/>
              <a:p>
                <a:pPr>
                  <a:defRPr/>
                </a:pPr>
                <a:r>
                  <a:rPr lang="en-CA"/>
                  <a:t>Km</a:t>
                </a:r>
                <a:r>
                  <a:rPr lang="en-CA" baseline="0"/>
                  <a:t> driven</a:t>
                </a:r>
                <a:endParaRPr lang="en-CA"/>
              </a:p>
            </c:rich>
          </c:tx>
        </c:title>
        <c:numFmt formatCode="General" sourceLinked="1"/>
        <c:tickLblPos val="nextTo"/>
        <c:crossAx val="145334272"/>
        <c:crosses val="autoZero"/>
        <c:auto val="1"/>
        <c:lblAlgn val="ctr"/>
        <c:lblOffset val="100"/>
      </c:catAx>
      <c:valAx>
        <c:axId val="145334272"/>
        <c:scaling>
          <c:orientation val="minMax"/>
        </c:scaling>
        <c:axPos val="l"/>
        <c:majorGridlines/>
        <c:title>
          <c:tx>
            <c:rich>
              <a:bodyPr rot="-5400000" vert="horz"/>
              <a:lstStyle/>
              <a:p>
                <a:pPr>
                  <a:defRPr/>
                </a:pPr>
                <a:r>
                  <a:rPr lang="en-CA"/>
                  <a:t>Energy Consumption (MJ)</a:t>
                </a:r>
              </a:p>
            </c:rich>
          </c:tx>
        </c:title>
        <c:numFmt formatCode="General" sourceLinked="1"/>
        <c:tickLblPos val="nextTo"/>
        <c:crossAx val="136460160"/>
        <c:crosses val="autoZero"/>
        <c:crossBetween val="between"/>
      </c:valAx>
    </c:plotArea>
    <c:legend>
      <c:legendPos val="r"/>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2381</TotalTime>
  <Pages>1</Pages>
  <Words>839</Words>
  <Characters>4788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dc:creator>
  <cp:lastModifiedBy>user3</cp:lastModifiedBy>
  <cp:revision>7</cp:revision>
  <cp:lastPrinted>2011-09-28T11:26:00Z</cp:lastPrinted>
  <dcterms:created xsi:type="dcterms:W3CDTF">2011-09-26T19:46:00Z</dcterms:created>
  <dcterms:modified xsi:type="dcterms:W3CDTF">2011-09-28T11:27:00Z</dcterms:modified>
</cp:coreProperties>
</file>