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01C" w:rsidRPr="00882C95" w:rsidRDefault="0077001C" w:rsidP="0077001C">
      <w:pPr>
        <w:rPr>
          <w:sz w:val="24"/>
          <w:szCs w:val="24"/>
        </w:rPr>
      </w:pPr>
      <w:bookmarkStart w:id="0" w:name="_GoBack"/>
      <w:r>
        <w:rPr>
          <w:sz w:val="24"/>
          <w:szCs w:val="24"/>
        </w:rPr>
        <w:t>Chapter 1 – Introduction and overview of audit and assurance</w:t>
      </w:r>
    </w:p>
    <w:bookmarkEnd w:id="0"/>
    <w:p w:rsidR="0077001C" w:rsidRPr="00882C95" w:rsidRDefault="0077001C" w:rsidP="0077001C">
      <w:pPr>
        <w:rPr>
          <w:sz w:val="24"/>
          <w:szCs w:val="24"/>
        </w:rPr>
      </w:pPr>
      <w:r w:rsidRPr="00882C95">
        <w:rPr>
          <w:sz w:val="24"/>
          <w:szCs w:val="24"/>
        </w:rPr>
        <w:t>Learning objectives</w:t>
      </w:r>
    </w:p>
    <w:p w:rsidR="0077001C" w:rsidRDefault="0077001C" w:rsidP="0077001C">
      <w:pPr>
        <w:pStyle w:val="ListParagraph"/>
        <w:numPr>
          <w:ilvl w:val="0"/>
          <w:numId w:val="1"/>
        </w:numPr>
        <w:rPr>
          <w:sz w:val="24"/>
          <w:szCs w:val="24"/>
        </w:rPr>
      </w:pPr>
      <w:r>
        <w:rPr>
          <w:sz w:val="24"/>
          <w:szCs w:val="24"/>
        </w:rPr>
        <w:t xml:space="preserve">Define an assurance engagement </w:t>
      </w:r>
    </w:p>
    <w:p w:rsidR="0077001C" w:rsidRDefault="0077001C" w:rsidP="0077001C">
      <w:pPr>
        <w:pStyle w:val="ListParagraph"/>
        <w:numPr>
          <w:ilvl w:val="0"/>
          <w:numId w:val="1"/>
        </w:numPr>
        <w:rPr>
          <w:sz w:val="24"/>
          <w:szCs w:val="24"/>
        </w:rPr>
      </w:pPr>
      <w:r>
        <w:rPr>
          <w:sz w:val="24"/>
          <w:szCs w:val="24"/>
        </w:rPr>
        <w:t>Differentiate between different types of assurance services</w:t>
      </w:r>
    </w:p>
    <w:p w:rsidR="0077001C" w:rsidRDefault="0077001C" w:rsidP="0077001C">
      <w:pPr>
        <w:pStyle w:val="ListParagraph"/>
        <w:numPr>
          <w:ilvl w:val="0"/>
          <w:numId w:val="1"/>
        </w:numPr>
        <w:rPr>
          <w:sz w:val="24"/>
          <w:szCs w:val="24"/>
        </w:rPr>
      </w:pPr>
      <w:r>
        <w:rPr>
          <w:sz w:val="24"/>
          <w:szCs w:val="24"/>
        </w:rPr>
        <w:t>Explain the different levels of assurance</w:t>
      </w:r>
    </w:p>
    <w:p w:rsidR="0077001C" w:rsidRDefault="0077001C" w:rsidP="0077001C">
      <w:pPr>
        <w:pStyle w:val="ListParagraph"/>
        <w:numPr>
          <w:ilvl w:val="0"/>
          <w:numId w:val="1"/>
        </w:numPr>
        <w:rPr>
          <w:sz w:val="24"/>
          <w:szCs w:val="24"/>
        </w:rPr>
      </w:pPr>
      <w:r>
        <w:rPr>
          <w:sz w:val="24"/>
          <w:szCs w:val="24"/>
        </w:rPr>
        <w:t>Outline different audit opinions</w:t>
      </w:r>
    </w:p>
    <w:p w:rsidR="0077001C" w:rsidRDefault="0077001C" w:rsidP="0077001C">
      <w:pPr>
        <w:pStyle w:val="ListParagraph"/>
        <w:numPr>
          <w:ilvl w:val="0"/>
          <w:numId w:val="1"/>
        </w:numPr>
        <w:rPr>
          <w:sz w:val="24"/>
          <w:szCs w:val="24"/>
        </w:rPr>
      </w:pPr>
      <w:r>
        <w:rPr>
          <w:sz w:val="24"/>
          <w:szCs w:val="24"/>
        </w:rPr>
        <w:t>Differentiate between the roles of the preparer and the auditor, and discuss the different firms that provide assurance services</w:t>
      </w:r>
    </w:p>
    <w:p w:rsidR="0077001C" w:rsidRDefault="0077001C" w:rsidP="0077001C">
      <w:pPr>
        <w:pStyle w:val="ListParagraph"/>
        <w:numPr>
          <w:ilvl w:val="0"/>
          <w:numId w:val="1"/>
        </w:numPr>
        <w:rPr>
          <w:sz w:val="24"/>
          <w:szCs w:val="24"/>
        </w:rPr>
      </w:pPr>
      <w:r>
        <w:rPr>
          <w:sz w:val="24"/>
          <w:szCs w:val="24"/>
        </w:rPr>
        <w:t>Explain why there is a demand for audit and assurance services</w:t>
      </w:r>
    </w:p>
    <w:p w:rsidR="0077001C" w:rsidRDefault="0077001C" w:rsidP="0077001C">
      <w:pPr>
        <w:pStyle w:val="ListParagraph"/>
        <w:numPr>
          <w:ilvl w:val="0"/>
          <w:numId w:val="1"/>
        </w:numPr>
        <w:rPr>
          <w:sz w:val="24"/>
          <w:szCs w:val="24"/>
        </w:rPr>
      </w:pPr>
      <w:r>
        <w:rPr>
          <w:sz w:val="24"/>
          <w:szCs w:val="24"/>
        </w:rPr>
        <w:t>Identify the different regulators, legislation, and regulations surrounding the assurance process</w:t>
      </w:r>
    </w:p>
    <w:p w:rsidR="0077001C" w:rsidRPr="00882C95" w:rsidRDefault="0077001C" w:rsidP="0077001C">
      <w:pPr>
        <w:pStyle w:val="ListParagraph"/>
        <w:numPr>
          <w:ilvl w:val="0"/>
          <w:numId w:val="1"/>
        </w:numPr>
        <w:rPr>
          <w:sz w:val="24"/>
          <w:szCs w:val="24"/>
        </w:rPr>
      </w:pPr>
      <w:r>
        <w:rPr>
          <w:sz w:val="24"/>
          <w:szCs w:val="24"/>
        </w:rPr>
        <w:t>Describe the audit expectation gap</w:t>
      </w:r>
    </w:p>
    <w:p w:rsidR="0077001C" w:rsidRDefault="0077001C" w:rsidP="0077001C">
      <w:pPr>
        <w:spacing w:after="0" w:line="240" w:lineRule="auto"/>
        <w:rPr>
          <w:sz w:val="24"/>
          <w:szCs w:val="24"/>
        </w:rPr>
      </w:pPr>
      <w:r>
        <w:rPr>
          <w:sz w:val="24"/>
          <w:szCs w:val="24"/>
        </w:rPr>
        <w:t>CAS 200 – overall objectives of the independent auditor, and the conduct of an audit in accordance with CAS</w:t>
      </w:r>
    </w:p>
    <w:p w:rsidR="0077001C" w:rsidRDefault="0077001C" w:rsidP="0077001C">
      <w:pPr>
        <w:spacing w:after="0" w:line="240" w:lineRule="auto"/>
        <w:rPr>
          <w:sz w:val="24"/>
          <w:szCs w:val="24"/>
        </w:rPr>
      </w:pPr>
      <w:r>
        <w:rPr>
          <w:sz w:val="24"/>
          <w:szCs w:val="24"/>
        </w:rPr>
        <w:t>CAS 210 – agreeing the terms of audit engagements</w:t>
      </w:r>
    </w:p>
    <w:p w:rsidR="0077001C" w:rsidRDefault="0077001C" w:rsidP="0077001C">
      <w:pPr>
        <w:spacing w:after="0" w:line="240" w:lineRule="auto"/>
        <w:rPr>
          <w:sz w:val="24"/>
          <w:szCs w:val="24"/>
        </w:rPr>
      </w:pPr>
      <w:r>
        <w:rPr>
          <w:sz w:val="24"/>
          <w:szCs w:val="24"/>
        </w:rPr>
        <w:t>CAS 220 – quality control for an audit of financial statements</w:t>
      </w:r>
    </w:p>
    <w:p w:rsidR="0077001C" w:rsidRPr="00882C95" w:rsidRDefault="0077001C" w:rsidP="0077001C">
      <w:pPr>
        <w:spacing w:after="0" w:line="240" w:lineRule="auto"/>
        <w:rPr>
          <w:sz w:val="24"/>
          <w:szCs w:val="24"/>
        </w:rPr>
      </w:pPr>
      <w:r w:rsidRPr="00882C95">
        <w:rPr>
          <w:sz w:val="24"/>
          <w:szCs w:val="24"/>
        </w:rPr>
        <w:t>CAS 240 – the auditor’s responsibilities relating to fraud in an audit of financial statements</w:t>
      </w:r>
    </w:p>
    <w:p w:rsidR="0077001C" w:rsidRDefault="0077001C" w:rsidP="0077001C">
      <w:pPr>
        <w:spacing w:after="0" w:line="240" w:lineRule="auto"/>
        <w:rPr>
          <w:sz w:val="24"/>
          <w:szCs w:val="24"/>
        </w:rPr>
      </w:pPr>
      <w:r>
        <w:rPr>
          <w:sz w:val="24"/>
          <w:szCs w:val="24"/>
        </w:rPr>
        <w:t>CAS 610 – using the work of internal auditors</w:t>
      </w:r>
    </w:p>
    <w:p w:rsidR="0077001C" w:rsidRDefault="0077001C" w:rsidP="0077001C">
      <w:pPr>
        <w:spacing w:after="0" w:line="240" w:lineRule="auto"/>
        <w:rPr>
          <w:sz w:val="24"/>
          <w:szCs w:val="24"/>
        </w:rPr>
      </w:pPr>
      <w:r>
        <w:rPr>
          <w:sz w:val="24"/>
          <w:szCs w:val="24"/>
        </w:rPr>
        <w:t>CAS 700 – forming an opinion and reporting on financial statements</w:t>
      </w:r>
    </w:p>
    <w:p w:rsidR="0077001C" w:rsidRDefault="0077001C" w:rsidP="0077001C">
      <w:pPr>
        <w:spacing w:after="0" w:line="240" w:lineRule="auto"/>
        <w:rPr>
          <w:sz w:val="24"/>
          <w:szCs w:val="24"/>
        </w:rPr>
      </w:pPr>
      <w:r>
        <w:rPr>
          <w:sz w:val="24"/>
          <w:szCs w:val="24"/>
        </w:rPr>
        <w:t>CAS 705 – modifications to the opinion in the independent auditor’s report</w:t>
      </w:r>
    </w:p>
    <w:p w:rsidR="0077001C" w:rsidRDefault="0077001C" w:rsidP="0077001C">
      <w:pPr>
        <w:spacing w:after="0" w:line="240" w:lineRule="auto"/>
        <w:rPr>
          <w:sz w:val="24"/>
          <w:szCs w:val="24"/>
        </w:rPr>
      </w:pPr>
      <w:r>
        <w:rPr>
          <w:sz w:val="24"/>
          <w:szCs w:val="24"/>
        </w:rPr>
        <w:t>CAS 706 – emphasis of matter paragraphs and other matter paragraphs in the independent auditor’s report</w:t>
      </w:r>
    </w:p>
    <w:p w:rsidR="0077001C" w:rsidRDefault="0077001C" w:rsidP="0077001C">
      <w:pPr>
        <w:spacing w:after="0" w:line="240" w:lineRule="auto"/>
        <w:rPr>
          <w:sz w:val="24"/>
          <w:szCs w:val="24"/>
        </w:rPr>
      </w:pPr>
    </w:p>
    <w:p w:rsidR="0077001C" w:rsidRPr="00882C95" w:rsidRDefault="0077001C" w:rsidP="0077001C">
      <w:pPr>
        <w:spacing w:after="0" w:line="240" w:lineRule="auto"/>
        <w:rPr>
          <w:sz w:val="24"/>
          <w:szCs w:val="24"/>
        </w:rPr>
      </w:pPr>
      <w:r>
        <w:rPr>
          <w:sz w:val="24"/>
          <w:szCs w:val="24"/>
        </w:rPr>
        <w:t>CSQC 1 – quality control for firms that perform audits and reviews of financial statements, other financial information, and other assurance engagements</w:t>
      </w:r>
    </w:p>
    <w:p w:rsidR="0077001C" w:rsidRPr="00882C95" w:rsidRDefault="0077001C" w:rsidP="0077001C">
      <w:pPr>
        <w:pBdr>
          <w:bottom w:val="single" w:sz="6" w:space="1" w:color="auto"/>
        </w:pBdr>
        <w:spacing w:after="0" w:line="240" w:lineRule="auto"/>
        <w:rPr>
          <w:sz w:val="24"/>
          <w:szCs w:val="24"/>
        </w:rPr>
      </w:pPr>
    </w:p>
    <w:p w:rsidR="0077001C" w:rsidRPr="00882C95" w:rsidRDefault="0077001C" w:rsidP="0077001C">
      <w:pPr>
        <w:spacing w:after="0" w:line="240" w:lineRule="auto"/>
        <w:rPr>
          <w:sz w:val="24"/>
          <w:szCs w:val="24"/>
        </w:rPr>
      </w:pPr>
    </w:p>
    <w:p w:rsidR="00D2530D" w:rsidRPr="0077001C" w:rsidRDefault="0077001C" w:rsidP="0077001C">
      <w:pPr>
        <w:pStyle w:val="ListParagraph"/>
        <w:numPr>
          <w:ilvl w:val="1"/>
          <w:numId w:val="13"/>
        </w:numPr>
        <w:rPr>
          <w:sz w:val="24"/>
          <w:szCs w:val="24"/>
        </w:rPr>
      </w:pPr>
      <w:r w:rsidRPr="0077001C">
        <w:rPr>
          <w:sz w:val="24"/>
          <w:szCs w:val="24"/>
        </w:rPr>
        <w:t>– auditing and assurance defined</w:t>
      </w:r>
    </w:p>
    <w:p w:rsidR="0077001C" w:rsidRDefault="0077001C" w:rsidP="0077001C">
      <w:pPr>
        <w:pStyle w:val="ListParagraph"/>
        <w:numPr>
          <w:ilvl w:val="0"/>
          <w:numId w:val="14"/>
        </w:numPr>
      </w:pPr>
      <w:r>
        <w:t>Assurance engagement – an engagement performed by an auditor or consultant to enhance the reliability of the subject matter</w:t>
      </w:r>
    </w:p>
    <w:p w:rsidR="0077001C" w:rsidRDefault="009748EB" w:rsidP="0077001C">
      <w:pPr>
        <w:pStyle w:val="ListParagraph"/>
        <w:numPr>
          <w:ilvl w:val="0"/>
          <w:numId w:val="14"/>
        </w:numPr>
      </w:pPr>
      <w:r>
        <w:rPr>
          <w:noProof/>
        </w:rPr>
        <mc:AlternateContent>
          <mc:Choice Requires="wps">
            <w:drawing>
              <wp:anchor distT="0" distB="0" distL="114300" distR="114300" simplePos="0" relativeHeight="251670528" behindDoc="0" locked="0" layoutInCell="1" allowOverlap="1" wp14:anchorId="471C4B99" wp14:editId="238D072C">
                <wp:simplePos x="0" y="0"/>
                <wp:positionH relativeFrom="column">
                  <wp:posOffset>1371599</wp:posOffset>
                </wp:positionH>
                <wp:positionV relativeFrom="paragraph">
                  <wp:posOffset>873627</wp:posOffset>
                </wp:positionV>
                <wp:extent cx="903767" cy="287020"/>
                <wp:effectExtent l="0" t="0" r="10795" b="1778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3767" cy="287020"/>
                        </a:xfrm>
                        <a:prstGeom prst="rect">
                          <a:avLst/>
                        </a:prstGeom>
                        <a:solidFill>
                          <a:srgbClr val="FFFFFF"/>
                        </a:solidFill>
                        <a:ln w="9525">
                          <a:solidFill>
                            <a:srgbClr val="000000"/>
                          </a:solidFill>
                          <a:miter lim="800000"/>
                          <a:headEnd/>
                          <a:tailEnd/>
                        </a:ln>
                      </wps:spPr>
                      <wps:txbx>
                        <w:txbxContent>
                          <w:p w:rsidR="009748EB" w:rsidRDefault="009748EB" w:rsidP="009748EB">
                            <w:r>
                              <w:t>Conclusion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8pt;margin-top:68.8pt;width:71.15pt;height:2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">
                <v:textbox>
                  <w:txbxContent>
                    <w:p w:rsidR="009748EB" w:rsidRDefault="009748EB" w:rsidP="009748EB">
                      <w:r>
                        <w:t>Conclusion</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5861FFF5" wp14:editId="42A539C3">
                <wp:simplePos x="0" y="0"/>
                <wp:positionH relativeFrom="column">
                  <wp:posOffset>3540642</wp:posOffset>
                </wp:positionH>
                <wp:positionV relativeFrom="paragraph">
                  <wp:posOffset>969320</wp:posOffset>
                </wp:positionV>
                <wp:extent cx="1084521" cy="287020"/>
                <wp:effectExtent l="0" t="0" r="20955" b="1778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4521" cy="287020"/>
                        </a:xfrm>
                        <a:prstGeom prst="rect">
                          <a:avLst/>
                        </a:prstGeom>
                        <a:solidFill>
                          <a:srgbClr val="FFFFFF"/>
                        </a:solidFill>
                        <a:ln w="9525">
                          <a:solidFill>
                            <a:srgbClr val="000000"/>
                          </a:solidFill>
                          <a:miter lim="800000"/>
                          <a:headEnd/>
                          <a:tailEnd/>
                        </a:ln>
                      </wps:spPr>
                      <wps:txbx>
                        <w:txbxContent>
                          <w:p w:rsidR="009748EB" w:rsidRDefault="009748EB" w:rsidP="009748EB">
                            <w:r>
                              <w:t>Accountability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78.8pt;margin-top:76.3pt;width:85.4pt;height:2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">
                <v:textbox>
                  <w:txbxContent>
                    <w:p w:rsidR="009748EB" w:rsidRDefault="009748EB" w:rsidP="009748EB">
                      <w:r>
                        <w:t>Accountability</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57A5CCEC" wp14:editId="0EB366D5">
                <wp:simplePos x="0" y="0"/>
                <wp:positionH relativeFrom="column">
                  <wp:posOffset>1175547</wp:posOffset>
                </wp:positionH>
                <wp:positionV relativeFrom="paragraph">
                  <wp:posOffset>1755775</wp:posOffset>
                </wp:positionV>
                <wp:extent cx="882015" cy="287020"/>
                <wp:effectExtent l="0" t="0" r="13335" b="1778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015" cy="287020"/>
                        </a:xfrm>
                        <a:prstGeom prst="rect">
                          <a:avLst/>
                        </a:prstGeom>
                        <a:solidFill>
                          <a:srgbClr val="FFFFFF"/>
                        </a:solidFill>
                        <a:ln w="9525">
                          <a:solidFill>
                            <a:srgbClr val="000000"/>
                          </a:solidFill>
                          <a:miter lim="800000"/>
                          <a:headEnd/>
                          <a:tailEnd/>
                        </a:ln>
                      </wps:spPr>
                      <wps:txbx>
                        <w:txbxContent>
                          <w:p w:rsidR="0077001C" w:rsidRDefault="0077001C" w:rsidP="0077001C">
                            <w:r>
                              <w:t>Practitioner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92.55pt;margin-top:138.25pt;width:69.45pt;height:22.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">
                <v:textbox>
                  <w:txbxContent>
                    <w:p w:rsidR="0077001C" w:rsidRDefault="0077001C" w:rsidP="0077001C">
                      <w:r>
                        <w:t>Practitioner</w:t>
                      </w:r>
                    </w:p>
                  </w:txbxContent>
                </v:textbox>
              </v:shape>
            </w:pict>
          </mc:Fallback>
        </mc:AlternateContent>
      </w:r>
      <w:r w:rsidR="0077001C">
        <w:rPr>
          <w:noProof/>
        </w:rPr>
        <mc:AlternateContent>
          <mc:Choice Requires="wps">
            <w:drawing>
              <wp:anchor distT="0" distB="0" distL="114300" distR="114300" simplePos="0" relativeHeight="251666432" behindDoc="0" locked="0" layoutInCell="1" allowOverlap="1" wp14:anchorId="137CBED7" wp14:editId="33B20031">
                <wp:simplePos x="0" y="0"/>
                <wp:positionH relativeFrom="column">
                  <wp:posOffset>3848985</wp:posOffset>
                </wp:positionH>
                <wp:positionV relativeFrom="paragraph">
                  <wp:posOffset>1745497</wp:posOffset>
                </wp:positionV>
                <wp:extent cx="1318437" cy="287020"/>
                <wp:effectExtent l="0" t="0" r="15240" b="1778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8437" cy="287020"/>
                        </a:xfrm>
                        <a:prstGeom prst="rect">
                          <a:avLst/>
                        </a:prstGeom>
                        <a:solidFill>
                          <a:srgbClr val="FFFFFF"/>
                        </a:solidFill>
                        <a:ln w="9525">
                          <a:solidFill>
                            <a:srgbClr val="000000"/>
                          </a:solidFill>
                          <a:miter lim="800000"/>
                          <a:headEnd/>
                          <a:tailEnd/>
                        </a:ln>
                      </wps:spPr>
                      <wps:txbx>
                        <w:txbxContent>
                          <w:p w:rsidR="0077001C" w:rsidRDefault="0077001C" w:rsidP="0077001C">
                            <w:r>
                              <w:t>Accountable party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03.05pt;margin-top:137.45pt;width:103.8pt;height:22.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">
                <v:textbox>
                  <w:txbxContent>
                    <w:p w:rsidR="0077001C" w:rsidRDefault="0077001C" w:rsidP="0077001C">
                      <w:r>
                        <w:t>Accountable party</w:t>
                      </w:r>
                    </w:p>
                  </w:txbxContent>
                </v:textbox>
              </v:shape>
            </w:pict>
          </mc:Fallback>
        </mc:AlternateContent>
      </w:r>
      <w:r w:rsidR="0077001C">
        <w:rPr>
          <w:noProof/>
        </w:rPr>
        <mc:AlternateContent>
          <mc:Choice Requires="wps">
            <w:drawing>
              <wp:anchor distT="0" distB="0" distL="114300" distR="114300" simplePos="0" relativeHeight="251662336" behindDoc="0" locked="0" layoutInCell="1" allowOverlap="1" wp14:anchorId="4EBE3995" wp14:editId="72B3E48A">
                <wp:simplePos x="0" y="0"/>
                <wp:positionH relativeFrom="column">
                  <wp:posOffset>2656368</wp:posOffset>
                </wp:positionH>
                <wp:positionV relativeFrom="paragraph">
                  <wp:posOffset>276387</wp:posOffset>
                </wp:positionV>
                <wp:extent cx="595423" cy="287079"/>
                <wp:effectExtent l="0" t="0" r="14605" b="1778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423" cy="287079"/>
                        </a:xfrm>
                        <a:prstGeom prst="rect">
                          <a:avLst/>
                        </a:prstGeom>
                        <a:solidFill>
                          <a:srgbClr val="FFFFFF"/>
                        </a:solidFill>
                        <a:ln w="9525">
                          <a:solidFill>
                            <a:srgbClr val="000000"/>
                          </a:solidFill>
                          <a:miter lim="800000"/>
                          <a:headEnd/>
                          <a:tailEnd/>
                        </a:ln>
                      </wps:spPr>
                      <wps:txbx>
                        <w:txbxContent>
                          <w:p w:rsidR="0077001C" w:rsidRDefault="0077001C">
                            <w:r>
                              <w:t>Users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209.15pt;margin-top:21.75pt;width:46.9pt;height:2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">
                <v:textbox>
                  <w:txbxContent>
                    <w:p w:rsidR="0077001C" w:rsidRDefault="0077001C">
                      <w:r>
                        <w:t>Users</w:t>
                      </w:r>
                    </w:p>
                  </w:txbxContent>
                </v:textbox>
              </v:shape>
            </w:pict>
          </mc:Fallback>
        </mc:AlternateContent>
      </w:r>
      <w:r w:rsidR="0077001C">
        <w:rPr>
          <w:noProof/>
          <w:lang w:val="en-US"/>
        </w:rPr>
        <mc:AlternateContent>
          <mc:Choice Requires="wps">
            <w:drawing>
              <wp:anchor distT="0" distB="0" distL="114300" distR="114300" simplePos="0" relativeHeight="251660288" behindDoc="0" locked="0" layoutInCell="1" allowOverlap="1" wp14:anchorId="7A53730C" wp14:editId="6E71895E">
                <wp:simplePos x="0" y="0"/>
                <wp:positionH relativeFrom="column">
                  <wp:posOffset>2657637</wp:posOffset>
                </wp:positionH>
                <wp:positionV relativeFrom="paragraph">
                  <wp:posOffset>1149985</wp:posOffset>
                </wp:positionV>
                <wp:extent cx="616689" cy="457200"/>
                <wp:effectExtent l="0" t="0" r="12065" b="19050"/>
                <wp:wrapNone/>
                <wp:docPr id="3" name="Text Box 3"/>
                <wp:cNvGraphicFramePr/>
                <a:graphic xmlns:a="http://schemas.openxmlformats.org/drawingml/2006/main">
                  <a:graphicData uri="http://schemas.microsoft.com/office/word/2010/wordprocessingShape">
                    <wps:wsp>
                      <wps:cNvSpPr txBox="1"/>
                      <wps:spPr>
                        <a:xfrm>
                          <a:off x="0" y="0"/>
                          <a:ext cx="616689" cy="457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7001C" w:rsidRDefault="0077001C">
                            <w:r>
                              <w:t>Subject Matter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31" type="#_x0000_t202" style="position:absolute;left:0;text-align:left;margin-left:209.25pt;margin-top:90.55pt;width:48.55pt;height:3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" fillcolor="white [3201]" strokeweight=".5pt">
                <v:textbox>
                  <w:txbxContent>
                    <w:p w:rsidR="0077001C" w:rsidRDefault="0077001C">
                      <w:r>
                        <w:t>Subject Matter</w:t>
                      </w:r>
                    </w:p>
                  </w:txbxContent>
                </v:textbox>
              </v:shape>
            </w:pict>
          </mc:Fallback>
        </mc:AlternateContent>
      </w:r>
      <w:r w:rsidR="0077001C">
        <w:rPr>
          <w:noProof/>
          <w:lang w:val="en-US"/>
        </w:rPr>
        <mc:AlternateContent>
          <mc:Choice Requires="wps">
            <w:drawing>
              <wp:anchor distT="0" distB="0" distL="114300" distR="114300" simplePos="0" relativeHeight="251659264" behindDoc="0" locked="0" layoutInCell="1" allowOverlap="1" wp14:anchorId="14AFDEA7" wp14:editId="39FD57C1">
                <wp:simplePos x="0" y="0"/>
                <wp:positionH relativeFrom="column">
                  <wp:posOffset>2083981</wp:posOffset>
                </wp:positionH>
                <wp:positionV relativeFrom="paragraph">
                  <wp:posOffset>575915</wp:posOffset>
                </wp:positionV>
                <wp:extent cx="1765005" cy="1180214"/>
                <wp:effectExtent l="0" t="0" r="26035" b="20320"/>
                <wp:wrapNone/>
                <wp:docPr id="2" name="Isosceles Triangle 2"/>
                <wp:cNvGraphicFramePr/>
                <a:graphic xmlns:a="http://schemas.openxmlformats.org/drawingml/2006/main">
                  <a:graphicData uri="http://schemas.microsoft.com/office/word/2010/wordprocessingShape">
                    <wps:wsp>
                      <wps:cNvSpPr/>
                      <wps:spPr>
                        <a:xfrm>
                          <a:off x="0" y="0"/>
                          <a:ext cx="1765005" cy="1180214"/>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164.1pt;margin-top:45.35pt;width:139pt;height:92.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" fillcolor="#4f81bd [3204]" strokecolor="#243f60 [1604]" strokeweight="2pt"/>
            </w:pict>
          </mc:Fallback>
        </mc:AlternateContent>
      </w:r>
      <w:r w:rsidR="0077001C">
        <w:t>Accountability relationship – situation in which one party is answerable to another for the subject matter</w:t>
      </w:r>
    </w:p>
    <w:p w:rsidR="009748EB" w:rsidRDefault="009748EB" w:rsidP="009748EB"/>
    <w:p w:rsidR="009748EB" w:rsidRDefault="009748EB" w:rsidP="009748EB"/>
    <w:p w:rsidR="009748EB" w:rsidRDefault="009748EB" w:rsidP="009748EB"/>
    <w:p w:rsidR="009748EB" w:rsidRDefault="009748EB" w:rsidP="009748EB"/>
    <w:p w:rsidR="009748EB" w:rsidRDefault="009748EB" w:rsidP="009748EB">
      <w:pPr>
        <w:pStyle w:val="ListParagraph"/>
        <w:numPr>
          <w:ilvl w:val="2"/>
          <w:numId w:val="13"/>
        </w:numPr>
      </w:pPr>
      <w:r>
        <w:lastRenderedPageBreak/>
        <w:t>– auditing and assurance terms defined</w:t>
      </w:r>
    </w:p>
    <w:tbl>
      <w:tblPr>
        <w:tblStyle w:val="TableGrid"/>
        <w:tblW w:w="0" w:type="auto"/>
        <w:tblLook w:val="04A0" w:firstRow="1" w:lastRow="0" w:firstColumn="1" w:lastColumn="0" w:noHBand="0" w:noVBand="1"/>
      </w:tblPr>
      <w:tblGrid>
        <w:gridCol w:w="1668"/>
        <w:gridCol w:w="7908"/>
      </w:tblGrid>
      <w:tr w:rsidR="009748EB" w:rsidTr="009748EB">
        <w:tc>
          <w:tcPr>
            <w:tcW w:w="1668" w:type="dxa"/>
          </w:tcPr>
          <w:p w:rsidR="009748EB" w:rsidRDefault="009748EB" w:rsidP="009748EB">
            <w:r>
              <w:t>Term</w:t>
            </w:r>
          </w:p>
        </w:tc>
        <w:tc>
          <w:tcPr>
            <w:tcW w:w="7908" w:type="dxa"/>
          </w:tcPr>
          <w:p w:rsidR="009748EB" w:rsidRDefault="009748EB" w:rsidP="009748EB">
            <w:r>
              <w:t>Definition</w:t>
            </w:r>
          </w:p>
        </w:tc>
      </w:tr>
      <w:tr w:rsidR="009748EB" w:rsidTr="009748EB">
        <w:tc>
          <w:tcPr>
            <w:tcW w:w="1668" w:type="dxa"/>
          </w:tcPr>
          <w:p w:rsidR="009748EB" w:rsidRDefault="009748EB" w:rsidP="009748EB">
            <w:r>
              <w:t>Applicable financial reporting framework</w:t>
            </w:r>
          </w:p>
        </w:tc>
        <w:tc>
          <w:tcPr>
            <w:tcW w:w="7908" w:type="dxa"/>
          </w:tcPr>
          <w:p w:rsidR="009748EB" w:rsidRDefault="009748EB" w:rsidP="009748EB">
            <w:r>
              <w:t>The financial framework chosen by management to prepare a company’s financial statements. For example, an applicable framework for a reporting issuer would be IFRS or ASPE</w:t>
            </w:r>
          </w:p>
        </w:tc>
      </w:tr>
      <w:tr w:rsidR="009748EB" w:rsidTr="009748EB">
        <w:tc>
          <w:tcPr>
            <w:tcW w:w="1668" w:type="dxa"/>
          </w:tcPr>
          <w:p w:rsidR="009748EB" w:rsidRDefault="009748EB" w:rsidP="009748EB">
            <w:r>
              <w:t>Assertions</w:t>
            </w:r>
          </w:p>
        </w:tc>
        <w:tc>
          <w:tcPr>
            <w:tcW w:w="7908" w:type="dxa"/>
          </w:tcPr>
          <w:p w:rsidR="009748EB" w:rsidRDefault="009748EB" w:rsidP="009748EB">
            <w:r>
              <w:t>Statements made by management regarding the recognition, measurement, and presentation and disclosure of items in the financial statements</w:t>
            </w:r>
          </w:p>
        </w:tc>
      </w:tr>
      <w:tr w:rsidR="009748EB" w:rsidTr="009748EB">
        <w:tc>
          <w:tcPr>
            <w:tcW w:w="1668" w:type="dxa"/>
          </w:tcPr>
          <w:p w:rsidR="009748EB" w:rsidRDefault="009748EB" w:rsidP="009748EB">
            <w:r>
              <w:t>Audit evidence</w:t>
            </w:r>
          </w:p>
        </w:tc>
        <w:tc>
          <w:tcPr>
            <w:tcW w:w="7908" w:type="dxa"/>
          </w:tcPr>
          <w:p w:rsidR="009748EB" w:rsidRDefault="009748EB" w:rsidP="009748EB">
            <w:r>
              <w:t>Information used by the auditor to support the audit opinion</w:t>
            </w:r>
          </w:p>
        </w:tc>
      </w:tr>
      <w:tr w:rsidR="009748EB" w:rsidTr="009748EB">
        <w:tc>
          <w:tcPr>
            <w:tcW w:w="1668" w:type="dxa"/>
          </w:tcPr>
          <w:p w:rsidR="009748EB" w:rsidRDefault="009748EB" w:rsidP="009748EB">
            <w:r>
              <w:t>Audit file</w:t>
            </w:r>
          </w:p>
        </w:tc>
        <w:tc>
          <w:tcPr>
            <w:tcW w:w="7908" w:type="dxa"/>
          </w:tcPr>
          <w:p w:rsidR="009748EB" w:rsidRDefault="009748EB" w:rsidP="009748EB">
            <w:r>
              <w:t>The file where the evidence and documentation of the work performed is kept as a permanent record to support the opinion issued</w:t>
            </w:r>
          </w:p>
        </w:tc>
      </w:tr>
      <w:tr w:rsidR="009748EB" w:rsidTr="009748EB">
        <w:tc>
          <w:tcPr>
            <w:tcW w:w="1668" w:type="dxa"/>
          </w:tcPr>
          <w:p w:rsidR="009748EB" w:rsidRDefault="009748EB" w:rsidP="009748EB">
            <w:r>
              <w:t>Audit plan</w:t>
            </w:r>
          </w:p>
        </w:tc>
        <w:tc>
          <w:tcPr>
            <w:tcW w:w="7908" w:type="dxa"/>
          </w:tcPr>
          <w:p w:rsidR="009748EB" w:rsidRDefault="009748EB" w:rsidP="009748EB">
            <w:r>
              <w:t>The list or description of audit procedures to be performed</w:t>
            </w:r>
          </w:p>
        </w:tc>
      </w:tr>
      <w:tr w:rsidR="009748EB" w:rsidTr="009748EB">
        <w:tc>
          <w:tcPr>
            <w:tcW w:w="1668" w:type="dxa"/>
          </w:tcPr>
          <w:p w:rsidR="009748EB" w:rsidRDefault="009748EB" w:rsidP="009748EB">
            <w:r>
              <w:t>Audit risk</w:t>
            </w:r>
          </w:p>
        </w:tc>
        <w:tc>
          <w:tcPr>
            <w:tcW w:w="7908" w:type="dxa"/>
          </w:tcPr>
          <w:p w:rsidR="009748EB" w:rsidRDefault="009748EB" w:rsidP="009748EB">
            <w:r>
              <w:t>The risk that the auditor may express an inappropriate opinion. This means the auditor may indicate that the financial statements are not materially misstated when in fact they are</w:t>
            </w:r>
          </w:p>
        </w:tc>
      </w:tr>
      <w:tr w:rsidR="009748EB" w:rsidTr="009748EB">
        <w:tc>
          <w:tcPr>
            <w:tcW w:w="1668" w:type="dxa"/>
          </w:tcPr>
          <w:p w:rsidR="009748EB" w:rsidRDefault="009748EB" w:rsidP="009748EB">
            <w:r>
              <w:t>Financial statements</w:t>
            </w:r>
          </w:p>
        </w:tc>
        <w:tc>
          <w:tcPr>
            <w:tcW w:w="7908" w:type="dxa"/>
          </w:tcPr>
          <w:p w:rsidR="009748EB" w:rsidRDefault="009748EB" w:rsidP="009748EB">
            <w:r>
              <w:t>A structured representation of historical financial information, including the related notes</w:t>
            </w:r>
          </w:p>
        </w:tc>
      </w:tr>
      <w:tr w:rsidR="009748EB" w:rsidTr="009748EB">
        <w:tc>
          <w:tcPr>
            <w:tcW w:w="1668" w:type="dxa"/>
          </w:tcPr>
          <w:p w:rsidR="009748EB" w:rsidRDefault="009748EB" w:rsidP="009748EB">
            <w:r>
              <w:t>Independent auditor’s report</w:t>
            </w:r>
          </w:p>
        </w:tc>
        <w:tc>
          <w:tcPr>
            <w:tcW w:w="7908" w:type="dxa"/>
          </w:tcPr>
          <w:p w:rsidR="009748EB" w:rsidRDefault="009748EB" w:rsidP="009748EB">
            <w:r>
              <w:t>The auditor’s formal expression of opinion on whether the financial statements are in accordance with the applicable financial reporting framework</w:t>
            </w:r>
          </w:p>
        </w:tc>
      </w:tr>
      <w:tr w:rsidR="009748EB" w:rsidTr="009748EB">
        <w:tc>
          <w:tcPr>
            <w:tcW w:w="1668" w:type="dxa"/>
          </w:tcPr>
          <w:p w:rsidR="009748EB" w:rsidRDefault="009748EB" w:rsidP="00C32A09">
            <w:r>
              <w:t>Internal control</w:t>
            </w:r>
          </w:p>
        </w:tc>
        <w:tc>
          <w:tcPr>
            <w:tcW w:w="7908" w:type="dxa"/>
          </w:tcPr>
          <w:p w:rsidR="009748EB" w:rsidRDefault="009748EB" w:rsidP="00C32A09">
            <w:r>
              <w:t>The process implemented and maintained by management to help the entity achieve its objectives</w:t>
            </w:r>
          </w:p>
        </w:tc>
      </w:tr>
      <w:tr w:rsidR="009748EB" w:rsidTr="009748EB">
        <w:tc>
          <w:tcPr>
            <w:tcW w:w="1668" w:type="dxa"/>
          </w:tcPr>
          <w:p w:rsidR="009748EB" w:rsidRDefault="009748EB" w:rsidP="00C32A09">
            <w:r>
              <w:t>Material</w:t>
            </w:r>
          </w:p>
        </w:tc>
        <w:tc>
          <w:tcPr>
            <w:tcW w:w="7908" w:type="dxa"/>
          </w:tcPr>
          <w:p w:rsidR="009748EB" w:rsidRDefault="009748EB" w:rsidP="00C32A09">
            <w:r>
              <w:t>An amount or disclosure that is significant enough to make a difference to a user</w:t>
            </w:r>
          </w:p>
        </w:tc>
      </w:tr>
      <w:tr w:rsidR="009748EB" w:rsidTr="009748EB">
        <w:tc>
          <w:tcPr>
            <w:tcW w:w="1668" w:type="dxa"/>
          </w:tcPr>
          <w:p w:rsidR="009748EB" w:rsidRDefault="009748EB" w:rsidP="00C32A09">
            <w:r>
              <w:t>Materiality</w:t>
            </w:r>
          </w:p>
        </w:tc>
        <w:tc>
          <w:tcPr>
            <w:tcW w:w="7908" w:type="dxa"/>
          </w:tcPr>
          <w:p w:rsidR="009748EB" w:rsidRDefault="009748EB" w:rsidP="00C32A09">
            <w:r>
              <w:t>The maximum amount of misstatement or omission the auditor can tolerate and still issue an unmodified or clean opinion</w:t>
            </w:r>
          </w:p>
        </w:tc>
      </w:tr>
      <w:tr w:rsidR="009748EB" w:rsidTr="009748EB">
        <w:tc>
          <w:tcPr>
            <w:tcW w:w="1668" w:type="dxa"/>
          </w:tcPr>
          <w:p w:rsidR="009748EB" w:rsidRDefault="009748EB" w:rsidP="00C32A09">
            <w:r>
              <w:t>Sufficient and appropriate evidence</w:t>
            </w:r>
          </w:p>
        </w:tc>
        <w:tc>
          <w:tcPr>
            <w:tcW w:w="7908" w:type="dxa"/>
          </w:tcPr>
          <w:p w:rsidR="009748EB" w:rsidRDefault="009748EB" w:rsidP="00C32A09">
            <w:r>
              <w:t>The quantity and quality of the evidence collected by the auditor</w:t>
            </w:r>
          </w:p>
        </w:tc>
      </w:tr>
      <w:tr w:rsidR="009748EB" w:rsidTr="009748EB">
        <w:tc>
          <w:tcPr>
            <w:tcW w:w="1668" w:type="dxa"/>
          </w:tcPr>
          <w:p w:rsidR="009748EB" w:rsidRDefault="009748EB" w:rsidP="00C32A09">
            <w:r>
              <w:t>Unmodified opinion</w:t>
            </w:r>
          </w:p>
        </w:tc>
        <w:tc>
          <w:tcPr>
            <w:tcW w:w="7908" w:type="dxa"/>
          </w:tcPr>
          <w:p w:rsidR="009748EB" w:rsidRDefault="009748EB" w:rsidP="00C32A09">
            <w:r>
              <w:t>The auditor concludes that the financial statements are fairly presented</w:t>
            </w:r>
          </w:p>
        </w:tc>
      </w:tr>
      <w:tr w:rsidR="009748EB" w:rsidTr="009748EB">
        <w:tc>
          <w:tcPr>
            <w:tcW w:w="1668" w:type="dxa"/>
          </w:tcPr>
          <w:p w:rsidR="009748EB" w:rsidRDefault="009748EB" w:rsidP="00C32A09">
            <w:r>
              <w:t>Working papers</w:t>
            </w:r>
          </w:p>
        </w:tc>
        <w:tc>
          <w:tcPr>
            <w:tcW w:w="7908" w:type="dxa"/>
          </w:tcPr>
          <w:p w:rsidR="009748EB" w:rsidRDefault="009748EB" w:rsidP="00C32A09">
            <w:r>
              <w:t>Paper or electronic documentation of the audit created by the audit team as evidence of the work completed</w:t>
            </w:r>
          </w:p>
        </w:tc>
      </w:tr>
    </w:tbl>
    <w:p w:rsidR="009748EB" w:rsidRDefault="009748EB" w:rsidP="009748EB">
      <w:r>
        <w:t>1.2.1 – financial statement audits</w:t>
      </w:r>
    </w:p>
    <w:p w:rsidR="009748EB" w:rsidRDefault="009748EB" w:rsidP="009748EB">
      <w:pPr>
        <w:pStyle w:val="ListParagraph"/>
        <w:numPr>
          <w:ilvl w:val="0"/>
          <w:numId w:val="15"/>
        </w:numPr>
      </w:pPr>
      <w:r>
        <w:t>As per CAS 200 – the objective of a financial statement audit to for the auditor to express an opinion about whether the financial statements are prepared in all material respects in accordance with a financial reporting framework</w:t>
      </w:r>
    </w:p>
    <w:p w:rsidR="001C1559" w:rsidRDefault="001C1559" w:rsidP="009748EB">
      <w:pPr>
        <w:pStyle w:val="ListParagraph"/>
        <w:numPr>
          <w:ilvl w:val="0"/>
          <w:numId w:val="15"/>
        </w:numPr>
      </w:pPr>
      <w:r>
        <w:t>Steps in an audit: planning stage (risk assessment, documentation of the business and environment), execution stage (obtaining information, assessing it, and documents the findings), issuing of unmodified opinion</w:t>
      </w:r>
    </w:p>
    <w:p w:rsidR="001C1559" w:rsidRDefault="001C1559" w:rsidP="009748EB">
      <w:pPr>
        <w:pStyle w:val="ListParagraph"/>
        <w:numPr>
          <w:ilvl w:val="0"/>
          <w:numId w:val="15"/>
        </w:numPr>
      </w:pPr>
      <w:r>
        <w:t>If an auditor does not have access to all the information relevant to the audit, there is a limitation in the scope of the audit</w:t>
      </w:r>
    </w:p>
    <w:p w:rsidR="001C1559" w:rsidRDefault="001C1559" w:rsidP="009748EB">
      <w:pPr>
        <w:pStyle w:val="ListParagraph"/>
        <w:numPr>
          <w:ilvl w:val="0"/>
          <w:numId w:val="15"/>
        </w:numPr>
      </w:pPr>
      <w:r>
        <w:t>The timeliness and cost of a financial statement audit refers to the pressure an auditor faces to complete the audit within a certain time frame at a reasonable cost</w:t>
      </w:r>
    </w:p>
    <w:p w:rsidR="001C1559" w:rsidRDefault="001C1559" w:rsidP="001C1559">
      <w:r>
        <w:t xml:space="preserve">1.2.2 </w:t>
      </w:r>
      <w:r w:rsidR="00CF4D06">
        <w:t>–</w:t>
      </w:r>
      <w:r>
        <w:t xml:space="preserve"> compliance audits</w:t>
      </w:r>
    </w:p>
    <w:p w:rsidR="001C1559" w:rsidRDefault="00CF4D06" w:rsidP="001C1559">
      <w:pPr>
        <w:pStyle w:val="ListParagraph"/>
        <w:numPr>
          <w:ilvl w:val="0"/>
          <w:numId w:val="16"/>
        </w:numPr>
      </w:pPr>
      <w:r>
        <w:lastRenderedPageBreak/>
        <w:t>Compliance audit – an audit to determine whether the entity has conformed with regulations, rules, or processes (i.e. tax audits)</w:t>
      </w:r>
    </w:p>
    <w:p w:rsidR="00CF4D06" w:rsidRDefault="00CF4D06" w:rsidP="00CF4D06">
      <w:r>
        <w:t>1.2.3 – operational audits</w:t>
      </w:r>
    </w:p>
    <w:p w:rsidR="00CF4D06" w:rsidRDefault="00CF4D06" w:rsidP="00CF4D06">
      <w:pPr>
        <w:pStyle w:val="ListParagraph"/>
        <w:numPr>
          <w:ilvl w:val="0"/>
          <w:numId w:val="16"/>
        </w:numPr>
      </w:pPr>
      <w:r>
        <w:t>Operational audit – an assessment of the economy, efficiency, and effectiveness of an organization’s operations (i.e. internal audits)</w:t>
      </w:r>
    </w:p>
    <w:p w:rsidR="00CF4D06" w:rsidRDefault="00CF4D06" w:rsidP="00CF4D06">
      <w:r>
        <w:t>1.2.4 – comprehensive audits</w:t>
      </w:r>
    </w:p>
    <w:p w:rsidR="00CF4D06" w:rsidRDefault="00CF4D06" w:rsidP="00CF4D06">
      <w:pPr>
        <w:pStyle w:val="ListParagraph"/>
        <w:numPr>
          <w:ilvl w:val="0"/>
          <w:numId w:val="16"/>
        </w:numPr>
      </w:pPr>
      <w:r>
        <w:t xml:space="preserve">Comprehensive audits – an audit that encompasses a range of audit and audit-related activities, such as a financial statement audit, operational audit, and compliance audit </w:t>
      </w:r>
    </w:p>
    <w:p w:rsidR="00CF4D06" w:rsidRDefault="00CF4D06" w:rsidP="00CF4D06">
      <w:r>
        <w:t>1.2.5 – internal audits</w:t>
      </w:r>
    </w:p>
    <w:p w:rsidR="00CF4D06" w:rsidRDefault="00CF4D06" w:rsidP="00CF4D06">
      <w:pPr>
        <w:pStyle w:val="ListParagraph"/>
        <w:numPr>
          <w:ilvl w:val="0"/>
          <w:numId w:val="16"/>
        </w:numPr>
      </w:pPr>
      <w:r>
        <w:t>Internal audits – an independent service within an entity that generally evaluates and improves risk management, internal control procedures, and elements of the governance process</w:t>
      </w:r>
    </w:p>
    <w:p w:rsidR="00CF4D06" w:rsidRDefault="00CF4D06" w:rsidP="00CF4D06">
      <w:r>
        <w:t xml:space="preserve">1.2.6 – corporate social responsibility (CSR) assurance </w:t>
      </w:r>
    </w:p>
    <w:p w:rsidR="00CF4D06" w:rsidRDefault="00CF4D06" w:rsidP="00CF4D06">
      <w:pPr>
        <w:pStyle w:val="ListParagraph"/>
        <w:numPr>
          <w:ilvl w:val="0"/>
          <w:numId w:val="16"/>
        </w:numPr>
      </w:pPr>
      <w:r>
        <w:t>CSR – a range of activities undertaken voluntarily by a corporation; CSR disclosures include environmental, employee, and social reporting</w:t>
      </w:r>
    </w:p>
    <w:p w:rsidR="00CF4D06" w:rsidRDefault="00CF4D06" w:rsidP="00CF4D06">
      <w:r>
        <w:t>1.3.1 – reasonable assurance</w:t>
      </w:r>
    </w:p>
    <w:p w:rsidR="00CF4D06" w:rsidRDefault="00CF4D06" w:rsidP="00CF4D06">
      <w:pPr>
        <w:pStyle w:val="ListParagraph"/>
        <w:numPr>
          <w:ilvl w:val="0"/>
          <w:numId w:val="16"/>
        </w:numPr>
      </w:pPr>
      <w:r>
        <w:t>Reasonable assurance – assurance that provides high but not absolute assurance on the reliability of the subject matter; does not equate to absolute assurance</w:t>
      </w:r>
    </w:p>
    <w:p w:rsidR="00CF4D06" w:rsidRDefault="00CF4D06" w:rsidP="00CF4D06">
      <w:r>
        <w:t>1.3.2 – moderate assurance</w:t>
      </w:r>
    </w:p>
    <w:p w:rsidR="00CF4D06" w:rsidRDefault="00CF4D06" w:rsidP="00CF4D06">
      <w:pPr>
        <w:pStyle w:val="ListParagraph"/>
        <w:numPr>
          <w:ilvl w:val="0"/>
          <w:numId w:val="16"/>
        </w:numPr>
      </w:pPr>
      <w:r>
        <w:t>Moderate assurance – assurance that provides negative assurance on the subject matter</w:t>
      </w:r>
    </w:p>
    <w:p w:rsidR="00CF4D06" w:rsidRDefault="00CF4D06" w:rsidP="00CF4D06">
      <w:pPr>
        <w:pStyle w:val="ListParagraph"/>
        <w:numPr>
          <w:ilvl w:val="0"/>
          <w:numId w:val="16"/>
        </w:numPr>
      </w:pPr>
      <w:r>
        <w:t>The auditor is only able to say that the information is plausible, in that nothing makes them believe otherwise</w:t>
      </w:r>
    </w:p>
    <w:p w:rsidR="00CF4D06" w:rsidRDefault="00CF4D06" w:rsidP="00CF4D06">
      <w:pPr>
        <w:pStyle w:val="ListParagraph"/>
        <w:numPr>
          <w:ilvl w:val="0"/>
          <w:numId w:val="16"/>
        </w:numPr>
      </w:pPr>
      <w:r>
        <w:t>Review engagement – engagement in which the auditor does adequate work to report whether or not anything came to their attention that would lead them to believe that the information being assured is not fairly presented</w:t>
      </w:r>
    </w:p>
    <w:p w:rsidR="00AE31BC" w:rsidRDefault="00AE31BC" w:rsidP="00AE31BC">
      <w:r>
        <w:t>1.3.3 – no assurance</w:t>
      </w:r>
    </w:p>
    <w:p w:rsidR="00AE31BC" w:rsidRDefault="00AE31BC" w:rsidP="00AE31BC">
      <w:pPr>
        <w:pStyle w:val="ListParagraph"/>
        <w:numPr>
          <w:ilvl w:val="0"/>
          <w:numId w:val="17"/>
        </w:numPr>
      </w:pPr>
      <w:r>
        <w:t>No assurance – what results when an auditor completes a set of tasks requested by the client and reports factually on the results of that work to the client</w:t>
      </w:r>
    </w:p>
    <w:p w:rsidR="00AE31BC" w:rsidRDefault="00AE31BC" w:rsidP="00AE31BC">
      <w:pPr>
        <w:pStyle w:val="ListParagraph"/>
        <w:numPr>
          <w:ilvl w:val="0"/>
          <w:numId w:val="17"/>
        </w:numPr>
      </w:pPr>
      <w:r>
        <w:t>Compilation engagement – engagement in which an auditor compiles a set of financial statements based on the information provided by the client, ensuring mathematical accuracy</w:t>
      </w:r>
    </w:p>
    <w:p w:rsidR="00AE31BC" w:rsidRDefault="00AE31BC" w:rsidP="00AE31BC">
      <w:pPr>
        <w:pStyle w:val="ListParagraph"/>
        <w:numPr>
          <w:ilvl w:val="0"/>
          <w:numId w:val="17"/>
        </w:numPr>
      </w:pPr>
      <w:r>
        <w:t>Notice to reader – the communication issued when the auditor performs a compilation engagement</w:t>
      </w:r>
    </w:p>
    <w:p w:rsidR="00AE31BC" w:rsidRDefault="00AE31BC" w:rsidP="00AE31BC">
      <w:r>
        <w:t>1.4 – different audit opinions</w:t>
      </w:r>
    </w:p>
    <w:p w:rsidR="00AE31BC" w:rsidRDefault="00AE31BC" w:rsidP="00AE31BC">
      <w:pPr>
        <w:pStyle w:val="ListParagraph"/>
        <w:numPr>
          <w:ilvl w:val="0"/>
          <w:numId w:val="18"/>
        </w:numPr>
      </w:pPr>
      <w:r>
        <w:lastRenderedPageBreak/>
        <w:t>Unmodified opinion – a clean audit opinion; the auditor concludes that the financial statements are fairly presented</w:t>
      </w:r>
    </w:p>
    <w:p w:rsidR="00AE31BC" w:rsidRDefault="00AE31BC" w:rsidP="00AE31BC">
      <w:pPr>
        <w:pStyle w:val="ListParagraph"/>
        <w:numPr>
          <w:ilvl w:val="0"/>
          <w:numId w:val="18"/>
        </w:numPr>
      </w:pPr>
      <w:r>
        <w:t>Emphasis of matter – what results when an auditor will issue an unmodified audit opinion when there is a significant issue that is adequately disclosed and there is a need to draw the attention of the user to it</w:t>
      </w:r>
    </w:p>
    <w:p w:rsidR="00AE31BC" w:rsidRDefault="00AE31BC" w:rsidP="00AE31BC">
      <w:pPr>
        <w:pStyle w:val="ListParagraph"/>
        <w:numPr>
          <w:ilvl w:val="0"/>
          <w:numId w:val="18"/>
        </w:numPr>
      </w:pPr>
      <w:r>
        <w:t>Qualified  opinion – opinion provided the auditor concludes that the financial statements contain a material (significant) misstatement</w:t>
      </w:r>
    </w:p>
    <w:p w:rsidR="00AE31BC" w:rsidRDefault="00AE31BC" w:rsidP="00AE31BC">
      <w:pPr>
        <w:pStyle w:val="ListParagraph"/>
        <w:numPr>
          <w:ilvl w:val="0"/>
          <w:numId w:val="18"/>
        </w:numPr>
      </w:pPr>
      <w:r>
        <w:t>Adverse opinion – has evidence that identified misstatements, individually or in aggregate, are material and pervasive to the financial statements</w:t>
      </w:r>
    </w:p>
    <w:p w:rsidR="00AE31BC" w:rsidRDefault="00AE31BC" w:rsidP="00AE31BC">
      <w:pPr>
        <w:pStyle w:val="ListParagraph"/>
        <w:numPr>
          <w:ilvl w:val="0"/>
          <w:numId w:val="18"/>
        </w:numPr>
      </w:pPr>
      <w:r>
        <w:t>Disclaimer opinion – the auditor is unable to obtain sufficient appropriate audit evidence on which to base the opinion, and concludes that the possible effects on the financial statements could be material and pervasive</w:t>
      </w:r>
    </w:p>
    <w:tbl>
      <w:tblPr>
        <w:tblStyle w:val="TableGrid"/>
        <w:tblW w:w="0" w:type="auto"/>
        <w:tblLook w:val="04A0" w:firstRow="1" w:lastRow="0" w:firstColumn="1" w:lastColumn="0" w:noHBand="0" w:noVBand="1"/>
      </w:tblPr>
      <w:tblGrid>
        <w:gridCol w:w="3192"/>
        <w:gridCol w:w="3192"/>
        <w:gridCol w:w="3192"/>
      </w:tblGrid>
      <w:tr w:rsidR="00AE31BC" w:rsidTr="00AE31BC">
        <w:tc>
          <w:tcPr>
            <w:tcW w:w="3192" w:type="dxa"/>
            <w:vMerge w:val="restart"/>
            <w:vAlign w:val="center"/>
          </w:tcPr>
          <w:p w:rsidR="00AE31BC" w:rsidRDefault="00AE31BC" w:rsidP="00AE31BC">
            <w:pPr>
              <w:jc w:val="center"/>
            </w:pPr>
            <w:r>
              <w:t>Nature of the matter giving rise to the modification</w:t>
            </w:r>
          </w:p>
        </w:tc>
        <w:tc>
          <w:tcPr>
            <w:tcW w:w="6384" w:type="dxa"/>
            <w:gridSpan w:val="2"/>
          </w:tcPr>
          <w:p w:rsidR="00AE31BC" w:rsidRDefault="00AE31BC" w:rsidP="00AE31BC">
            <w:r>
              <w:t>Auditor’s judgement about the pervasiveness of the effects or possible effects on the financial statements</w:t>
            </w:r>
          </w:p>
        </w:tc>
      </w:tr>
      <w:tr w:rsidR="00AE31BC" w:rsidTr="00AE31BC">
        <w:tc>
          <w:tcPr>
            <w:tcW w:w="3192" w:type="dxa"/>
            <w:vMerge/>
          </w:tcPr>
          <w:p w:rsidR="00AE31BC" w:rsidRDefault="00AE31BC" w:rsidP="00AE31BC"/>
        </w:tc>
        <w:tc>
          <w:tcPr>
            <w:tcW w:w="3192" w:type="dxa"/>
          </w:tcPr>
          <w:p w:rsidR="00AE31BC" w:rsidRDefault="00AE31BC" w:rsidP="00AE31BC">
            <w:r>
              <w:t>Material but not pervasive</w:t>
            </w:r>
          </w:p>
        </w:tc>
        <w:tc>
          <w:tcPr>
            <w:tcW w:w="3192" w:type="dxa"/>
          </w:tcPr>
          <w:p w:rsidR="00AE31BC" w:rsidRDefault="00AE31BC" w:rsidP="00AE31BC">
            <w:r>
              <w:t>Material and pervasive</w:t>
            </w:r>
          </w:p>
        </w:tc>
      </w:tr>
      <w:tr w:rsidR="00AE31BC" w:rsidTr="00AE31BC">
        <w:tc>
          <w:tcPr>
            <w:tcW w:w="3192" w:type="dxa"/>
          </w:tcPr>
          <w:p w:rsidR="00AE31BC" w:rsidRDefault="00AE31BC" w:rsidP="00AE31BC">
            <w:r>
              <w:t>Financial statements are materially misstated</w:t>
            </w:r>
          </w:p>
        </w:tc>
        <w:tc>
          <w:tcPr>
            <w:tcW w:w="3192" w:type="dxa"/>
          </w:tcPr>
          <w:p w:rsidR="00AE31BC" w:rsidRDefault="00AE31BC" w:rsidP="00AE31BC">
            <w:r>
              <w:t>Qualified opinion</w:t>
            </w:r>
          </w:p>
        </w:tc>
        <w:tc>
          <w:tcPr>
            <w:tcW w:w="3192" w:type="dxa"/>
          </w:tcPr>
          <w:p w:rsidR="00AE31BC" w:rsidRDefault="00AE31BC" w:rsidP="00AE31BC">
            <w:r>
              <w:t>Adverse opinion</w:t>
            </w:r>
          </w:p>
        </w:tc>
      </w:tr>
      <w:tr w:rsidR="00AE31BC" w:rsidTr="00AE31BC">
        <w:tc>
          <w:tcPr>
            <w:tcW w:w="3192" w:type="dxa"/>
          </w:tcPr>
          <w:p w:rsidR="00AE31BC" w:rsidRDefault="00AE31BC" w:rsidP="00AE31BC">
            <w:r>
              <w:t>Inability to obtain sufficient appropriate audit evidence</w:t>
            </w:r>
          </w:p>
        </w:tc>
        <w:tc>
          <w:tcPr>
            <w:tcW w:w="3192" w:type="dxa"/>
          </w:tcPr>
          <w:p w:rsidR="00AE31BC" w:rsidRDefault="00AE31BC" w:rsidP="00AE31BC">
            <w:r>
              <w:t>Qualified opinion</w:t>
            </w:r>
          </w:p>
        </w:tc>
        <w:tc>
          <w:tcPr>
            <w:tcW w:w="3192" w:type="dxa"/>
          </w:tcPr>
          <w:p w:rsidR="00AE31BC" w:rsidRDefault="00AE31BC" w:rsidP="00AE31BC">
            <w:r>
              <w:t>Disclaimer of opinion</w:t>
            </w:r>
          </w:p>
        </w:tc>
      </w:tr>
    </w:tbl>
    <w:p w:rsidR="00CF4D06" w:rsidRDefault="00AE31BC" w:rsidP="00CF4D06">
      <w:r>
        <w:t>1.5.1 – preparer responsibility</w:t>
      </w:r>
    </w:p>
    <w:p w:rsidR="00753ECB" w:rsidRDefault="00AE31BC" w:rsidP="00753ECB">
      <w:pPr>
        <w:pStyle w:val="ListParagraph"/>
        <w:numPr>
          <w:ilvl w:val="0"/>
          <w:numId w:val="19"/>
        </w:numPr>
      </w:pPr>
      <w:r>
        <w:t>It is the responsibility of those charged with governance to ensure that the financial information contained in their financial statements is relevant, reliable, comparable, understandable, and fairly presented</w:t>
      </w:r>
    </w:p>
    <w:p w:rsidR="00753ECB" w:rsidRDefault="00753ECB" w:rsidP="00753ECB">
      <w:r>
        <w:t>1.5.2 – auditor’s responsibility</w:t>
      </w:r>
    </w:p>
    <w:p w:rsidR="00753ECB" w:rsidRDefault="00753ECB" w:rsidP="00753ECB">
      <w:pPr>
        <w:pStyle w:val="ListParagraph"/>
        <w:numPr>
          <w:ilvl w:val="0"/>
          <w:numId w:val="19"/>
        </w:numPr>
      </w:pPr>
      <w:r>
        <w:t>Professional scepticism: attitude adopted by the auditor when conducting the audit. It means that the auditor remains independent of the entity, management, and staff when completing the audit work</w:t>
      </w:r>
    </w:p>
    <w:p w:rsidR="00753ECB" w:rsidRDefault="00753ECB" w:rsidP="00753ECB">
      <w:pPr>
        <w:pStyle w:val="ListParagraph"/>
        <w:numPr>
          <w:ilvl w:val="0"/>
          <w:numId w:val="19"/>
        </w:numPr>
      </w:pPr>
      <w:r>
        <w:t>Professional judgement: relates to the level of expertise, knowledge, and training that an auditor uses while conducting an audit</w:t>
      </w:r>
    </w:p>
    <w:p w:rsidR="00753ECB" w:rsidRDefault="00753ECB" w:rsidP="00753ECB">
      <w:pPr>
        <w:pStyle w:val="ListParagraph"/>
        <w:numPr>
          <w:ilvl w:val="0"/>
          <w:numId w:val="19"/>
        </w:numPr>
      </w:pPr>
      <w:r>
        <w:t>Due care: being diligent while conducting an audit, applying technical and statute-backed standards, and documenting the stages of the audit</w:t>
      </w:r>
    </w:p>
    <w:p w:rsidR="00753ECB" w:rsidRDefault="00753ECB" w:rsidP="00753ECB">
      <w:r>
        <w:t>1.6.2 – sources of demand for audit and assurance services</w:t>
      </w:r>
    </w:p>
    <w:p w:rsidR="00753ECB" w:rsidRDefault="00753ECB" w:rsidP="00753ECB">
      <w:pPr>
        <w:pStyle w:val="ListParagraph"/>
        <w:numPr>
          <w:ilvl w:val="0"/>
          <w:numId w:val="20"/>
        </w:numPr>
      </w:pPr>
      <w:r>
        <w:t>Information risk – the risk that users will rely on incorrect information to make a decision. The causes of information risk include remoteness, complexity, competing incentives, and reliability</w:t>
      </w:r>
    </w:p>
    <w:p w:rsidR="00753ECB" w:rsidRDefault="00753ECB" w:rsidP="00753ECB">
      <w:r>
        <w:t>1.8 – the audit expectation gap</w:t>
      </w:r>
    </w:p>
    <w:p w:rsidR="00AE31BC" w:rsidRDefault="00753ECB" w:rsidP="00CF4D06">
      <w:pPr>
        <w:pStyle w:val="ListParagraph"/>
        <w:numPr>
          <w:ilvl w:val="0"/>
          <w:numId w:val="20"/>
        </w:numPr>
      </w:pPr>
      <w:r>
        <w:t xml:space="preserve">When there is a difference between the expectations of assurance providers and financial statement users. </w:t>
      </w:r>
    </w:p>
    <w:sectPr w:rsidR="00AE31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0518"/>
    <w:multiLevelType w:val="hybridMultilevel"/>
    <w:tmpl w:val="C9A07C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E5356F"/>
    <w:multiLevelType w:val="hybridMultilevel"/>
    <w:tmpl w:val="859C44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157C29"/>
    <w:multiLevelType w:val="hybridMultilevel"/>
    <w:tmpl w:val="F6AA5F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6847C5"/>
    <w:multiLevelType w:val="multilevel"/>
    <w:tmpl w:val="30EE89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290B4757"/>
    <w:multiLevelType w:val="hybridMultilevel"/>
    <w:tmpl w:val="2B8046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56254E"/>
    <w:multiLevelType w:val="hybridMultilevel"/>
    <w:tmpl w:val="D79AC1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374621"/>
    <w:multiLevelType w:val="hybridMultilevel"/>
    <w:tmpl w:val="36D2A4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4B0A19"/>
    <w:multiLevelType w:val="hybridMultilevel"/>
    <w:tmpl w:val="040A45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25297A"/>
    <w:multiLevelType w:val="hybridMultilevel"/>
    <w:tmpl w:val="5DA022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D351EB"/>
    <w:multiLevelType w:val="hybridMultilevel"/>
    <w:tmpl w:val="B0B246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2B5B76"/>
    <w:multiLevelType w:val="hybridMultilevel"/>
    <w:tmpl w:val="EF38E6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9A336A"/>
    <w:multiLevelType w:val="hybridMultilevel"/>
    <w:tmpl w:val="59C8CB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FE15EA"/>
    <w:multiLevelType w:val="hybridMultilevel"/>
    <w:tmpl w:val="B91264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A60C6F"/>
    <w:multiLevelType w:val="hybridMultilevel"/>
    <w:tmpl w:val="5072A1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9E5EC9"/>
    <w:multiLevelType w:val="hybridMultilevel"/>
    <w:tmpl w:val="33CC8E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A5872A2"/>
    <w:multiLevelType w:val="hybridMultilevel"/>
    <w:tmpl w:val="DF069D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A825742"/>
    <w:multiLevelType w:val="hybridMultilevel"/>
    <w:tmpl w:val="6AF0FE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C9F6B8F"/>
    <w:multiLevelType w:val="hybridMultilevel"/>
    <w:tmpl w:val="2AA44D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4C20654"/>
    <w:multiLevelType w:val="hybridMultilevel"/>
    <w:tmpl w:val="5A62DF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C1A35B4"/>
    <w:multiLevelType w:val="hybridMultilevel"/>
    <w:tmpl w:val="817C01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6"/>
  </w:num>
  <w:num w:numId="4">
    <w:abstractNumId w:val="12"/>
  </w:num>
  <w:num w:numId="5">
    <w:abstractNumId w:val="14"/>
  </w:num>
  <w:num w:numId="6">
    <w:abstractNumId w:val="2"/>
  </w:num>
  <w:num w:numId="7">
    <w:abstractNumId w:val="17"/>
  </w:num>
  <w:num w:numId="8">
    <w:abstractNumId w:val="7"/>
  </w:num>
  <w:num w:numId="9">
    <w:abstractNumId w:val="4"/>
  </w:num>
  <w:num w:numId="10">
    <w:abstractNumId w:val="18"/>
  </w:num>
  <w:num w:numId="11">
    <w:abstractNumId w:val="0"/>
  </w:num>
  <w:num w:numId="12">
    <w:abstractNumId w:val="10"/>
  </w:num>
  <w:num w:numId="13">
    <w:abstractNumId w:val="3"/>
  </w:num>
  <w:num w:numId="14">
    <w:abstractNumId w:val="15"/>
  </w:num>
  <w:num w:numId="15">
    <w:abstractNumId w:val="5"/>
  </w:num>
  <w:num w:numId="16">
    <w:abstractNumId w:val="8"/>
  </w:num>
  <w:num w:numId="17">
    <w:abstractNumId w:val="6"/>
  </w:num>
  <w:num w:numId="18">
    <w:abstractNumId w:val="11"/>
  </w:num>
  <w:num w:numId="19">
    <w:abstractNumId w:val="1"/>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01C"/>
    <w:rsid w:val="001C1559"/>
    <w:rsid w:val="00753ECB"/>
    <w:rsid w:val="0077001C"/>
    <w:rsid w:val="009748EB"/>
    <w:rsid w:val="00AE31BC"/>
    <w:rsid w:val="00CF4D06"/>
    <w:rsid w:val="00D25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01C"/>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01C"/>
    <w:pPr>
      <w:ind w:left="720"/>
      <w:contextualSpacing/>
    </w:pPr>
  </w:style>
  <w:style w:type="table" w:styleId="TableGrid">
    <w:name w:val="Table Grid"/>
    <w:basedOn w:val="TableNormal"/>
    <w:uiPriority w:val="59"/>
    <w:rsid w:val="009748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01C"/>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01C"/>
    <w:pPr>
      <w:ind w:left="720"/>
      <w:contextualSpacing/>
    </w:pPr>
  </w:style>
  <w:style w:type="table" w:styleId="TableGrid">
    <w:name w:val="Table Grid"/>
    <w:basedOn w:val="TableNormal"/>
    <w:uiPriority w:val="59"/>
    <w:rsid w:val="009748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4</Pages>
  <Words>1288</Words>
  <Characters>7347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Jaymon Hung</dc:creator>
  <cp:lastModifiedBy>Jaymon Hung</cp:lastModifiedBy>
  <cp:revision>1</cp:revision>
  <dcterms:created xsi:type="dcterms:W3CDTF">2012-10-06T20:44:00Z</dcterms:created>
  <dcterms:modified xsi:type="dcterms:W3CDTF">2012-10-06T21:45:00Z</dcterms:modified>
</cp:coreProperties>
</file>