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4ACE57" w14:textId="77777777" w:rsidR="00273BD3" w:rsidRPr="00B50ADE" w:rsidRDefault="00B935AC" w:rsidP="00266CAE">
      <w:pPr>
        <w:spacing w:line="360" w:lineRule="auto"/>
        <w:rPr>
          <w:rFonts w:ascii="Calibri" w:hAnsi="Calibri"/>
          <w:sz w:val="22"/>
          <w:szCs w:val="22"/>
        </w:rPr>
      </w:pPr>
      <w:r w:rsidRPr="00B50ADE">
        <w:rPr>
          <w:rFonts w:ascii="Calibri" w:hAnsi="Calibri"/>
          <w:sz w:val="22"/>
          <w:szCs w:val="22"/>
        </w:rPr>
        <w:t>Nancy’s law Test: Factors you need to look at to determine if you have discrimination</w:t>
      </w:r>
    </w:p>
    <w:p w14:paraId="3DDAB360" w14:textId="77777777" w:rsidR="00521644" w:rsidRPr="00B50ADE" w:rsidRDefault="00521644" w:rsidP="00266CAE">
      <w:pPr>
        <w:spacing w:line="360" w:lineRule="auto"/>
        <w:rPr>
          <w:rFonts w:ascii="Calibri" w:hAnsi="Calibri"/>
          <w:color w:val="FF0000"/>
          <w:sz w:val="22"/>
          <w:szCs w:val="22"/>
        </w:rPr>
      </w:pPr>
      <w:r w:rsidRPr="00B50ADE">
        <w:rPr>
          <w:rFonts w:ascii="Calibri" w:hAnsi="Calibri"/>
          <w:i/>
          <w:iCs/>
          <w:color w:val="FF0000"/>
          <w:sz w:val="22"/>
          <w:szCs w:val="22"/>
        </w:rPr>
        <w:t>(A) Does the impugned law (a) draw a formal distinction between the claimant and others on the basis of one or more personal characteristics, or (b) fail to take into account the claimant's already disadvantaged position within Canadian society resulting in substantively differential treatment between the claimant and others on the basis of one or more personal characteristics?</w:t>
      </w:r>
    </w:p>
    <w:p w14:paraId="0A204691" w14:textId="77777777" w:rsidR="00521644" w:rsidRPr="00B50ADE" w:rsidRDefault="00521644" w:rsidP="00266CAE">
      <w:pPr>
        <w:spacing w:line="360" w:lineRule="auto"/>
        <w:rPr>
          <w:rFonts w:ascii="Calibri" w:hAnsi="Calibri"/>
          <w:color w:val="FF0000"/>
          <w:sz w:val="22"/>
          <w:szCs w:val="22"/>
        </w:rPr>
      </w:pPr>
      <w:r w:rsidRPr="00B50ADE">
        <w:rPr>
          <w:rFonts w:ascii="Calibri" w:hAnsi="Calibri"/>
          <w:i/>
          <w:iCs/>
          <w:color w:val="FF0000"/>
          <w:sz w:val="22"/>
          <w:szCs w:val="22"/>
        </w:rPr>
        <w:t xml:space="preserve">(B) Is the claimant subject to differential treatment based on one or more enumerated and analogous grounds? </w:t>
      </w:r>
      <w:proofErr w:type="gramStart"/>
      <w:r w:rsidRPr="00B50ADE">
        <w:rPr>
          <w:rFonts w:ascii="Calibri" w:hAnsi="Calibri"/>
          <w:i/>
          <w:iCs/>
          <w:color w:val="FF0000"/>
          <w:sz w:val="22"/>
          <w:szCs w:val="22"/>
        </w:rPr>
        <w:t>and</w:t>
      </w:r>
      <w:proofErr w:type="gramEnd"/>
    </w:p>
    <w:p w14:paraId="133FD03E" w14:textId="77777777" w:rsidR="00521644" w:rsidRPr="00B50ADE" w:rsidRDefault="00521644" w:rsidP="00266CAE">
      <w:pPr>
        <w:spacing w:line="360" w:lineRule="auto"/>
        <w:rPr>
          <w:rFonts w:ascii="Calibri" w:hAnsi="Calibri"/>
          <w:color w:val="FF0000"/>
          <w:sz w:val="22"/>
          <w:szCs w:val="22"/>
        </w:rPr>
      </w:pPr>
      <w:r w:rsidRPr="00B50ADE">
        <w:rPr>
          <w:rFonts w:ascii="Calibri" w:hAnsi="Calibri"/>
          <w:i/>
          <w:iCs/>
          <w:color w:val="FF0000"/>
          <w:sz w:val="22"/>
          <w:szCs w:val="22"/>
        </w:rPr>
        <w:t>(C) Does the differential treatment discriminate, by imposing a burden upon or withholding a benefit from the claimant in a manner which reflects the stereotypical application of presumed group or personal characteristics, or which otherwise has the effect of perpetuating or promoting the view that the individual is less capable or worthy of recognition or value as a human being or as a member of Canadian society, equally deserving of concern, respect, and consideration?</w:t>
      </w:r>
    </w:p>
    <w:p w14:paraId="12248A68" w14:textId="77777777" w:rsidR="00521644" w:rsidRPr="00B50ADE" w:rsidRDefault="00521644" w:rsidP="00266CAE">
      <w:pPr>
        <w:spacing w:line="360" w:lineRule="auto"/>
        <w:rPr>
          <w:rFonts w:ascii="Calibri" w:hAnsi="Calibri"/>
          <w:sz w:val="22"/>
          <w:szCs w:val="22"/>
        </w:rPr>
      </w:pPr>
    </w:p>
    <w:p w14:paraId="1EDE6DE2" w14:textId="77777777" w:rsidR="00B935AC" w:rsidRPr="00B50ADE" w:rsidRDefault="00B935AC" w:rsidP="00266CAE">
      <w:pPr>
        <w:spacing w:line="360" w:lineRule="auto"/>
        <w:rPr>
          <w:rFonts w:ascii="Calibri" w:hAnsi="Calibri"/>
          <w:sz w:val="22"/>
          <w:szCs w:val="22"/>
        </w:rPr>
      </w:pPr>
    </w:p>
    <w:p w14:paraId="562A301F" w14:textId="77777777" w:rsidR="00870B8B" w:rsidRDefault="00870B8B" w:rsidP="00266CAE">
      <w:pPr>
        <w:pStyle w:val="ListParagraph"/>
        <w:numPr>
          <w:ilvl w:val="0"/>
          <w:numId w:val="1"/>
        </w:numPr>
        <w:spacing w:line="360" w:lineRule="auto"/>
        <w:rPr>
          <w:rFonts w:ascii="Calibri" w:hAnsi="Calibri"/>
          <w:sz w:val="22"/>
          <w:szCs w:val="22"/>
        </w:rPr>
      </w:pPr>
      <w:r>
        <w:rPr>
          <w:rFonts w:ascii="Calibri" w:hAnsi="Calibri"/>
          <w:sz w:val="22"/>
          <w:szCs w:val="22"/>
        </w:rPr>
        <w:t>First criteria: Pre-existing disadvantage</w:t>
      </w:r>
    </w:p>
    <w:p w14:paraId="2B84F7DE" w14:textId="77777777" w:rsidR="00B935AC" w:rsidRPr="00B50ADE" w:rsidRDefault="00B935AC" w:rsidP="00266CAE">
      <w:pPr>
        <w:pStyle w:val="ListParagraph"/>
        <w:numPr>
          <w:ilvl w:val="0"/>
          <w:numId w:val="1"/>
        </w:numPr>
        <w:spacing w:line="360" w:lineRule="auto"/>
        <w:rPr>
          <w:rFonts w:ascii="Calibri" w:hAnsi="Calibri"/>
          <w:sz w:val="22"/>
          <w:szCs w:val="22"/>
        </w:rPr>
      </w:pPr>
      <w:r w:rsidRPr="00B50ADE">
        <w:rPr>
          <w:rFonts w:ascii="Calibri" w:hAnsi="Calibri"/>
          <w:sz w:val="22"/>
          <w:szCs w:val="22"/>
        </w:rPr>
        <w:t xml:space="preserve">Second criteria: whether or not you have a relationship between the benefits you are claiming or </w:t>
      </w:r>
      <w:proofErr w:type="spellStart"/>
      <w:r w:rsidRPr="00B50ADE">
        <w:rPr>
          <w:rFonts w:ascii="Calibri" w:hAnsi="Calibri"/>
          <w:sz w:val="22"/>
          <w:szCs w:val="22"/>
        </w:rPr>
        <w:t>whethere</w:t>
      </w:r>
      <w:proofErr w:type="spellEnd"/>
      <w:r w:rsidRPr="00B50ADE">
        <w:rPr>
          <w:rFonts w:ascii="Calibri" w:hAnsi="Calibri"/>
          <w:sz w:val="22"/>
          <w:szCs w:val="22"/>
        </w:rPr>
        <w:t xml:space="preserve"> there is any relationship between the burden you have compared to somebody else and you as a claimant. If you are claiming age as discrimination, the question becomes what is the relationship between the pension she didn’t get and the age? The more the relationship, the stronger the claim for discrimination. </w:t>
      </w:r>
    </w:p>
    <w:p w14:paraId="2725DAFD" w14:textId="77777777" w:rsidR="00B935AC" w:rsidRPr="00B50ADE" w:rsidRDefault="00B935AC" w:rsidP="00266CAE">
      <w:pPr>
        <w:pStyle w:val="ListParagraph"/>
        <w:numPr>
          <w:ilvl w:val="0"/>
          <w:numId w:val="1"/>
        </w:numPr>
        <w:spacing w:line="360" w:lineRule="auto"/>
        <w:rPr>
          <w:rFonts w:ascii="Calibri" w:hAnsi="Calibri"/>
          <w:sz w:val="22"/>
          <w:szCs w:val="22"/>
        </w:rPr>
      </w:pPr>
      <w:r w:rsidRPr="00B50ADE">
        <w:rPr>
          <w:rFonts w:ascii="Calibri" w:hAnsi="Calibri"/>
          <w:sz w:val="22"/>
          <w:szCs w:val="22"/>
        </w:rPr>
        <w:t xml:space="preserve">Third criteria: What is the intended positive effect of this “thing” you’re not getting? What is this effect that resulted in you and not anybody else getting this “burden”. </w:t>
      </w:r>
      <w:r w:rsidR="00521644" w:rsidRPr="00B50ADE">
        <w:rPr>
          <w:rFonts w:ascii="Calibri" w:hAnsi="Calibri"/>
          <w:sz w:val="22"/>
          <w:szCs w:val="22"/>
        </w:rPr>
        <w:t xml:space="preserve">Who is it that doesn’t have the burden that you have? If that group or individual is worse off than you as a claimant, than it is probably for a good reason that parliament made the legislation that it did. The courts said it was not a “race to the bottom”. So as a claimant you didn’t have to show that you were the worst off in society. It doesn’t have to be “the worst disadvantaged person or group wins”. You don’t have to prove that. </w:t>
      </w:r>
    </w:p>
    <w:p w14:paraId="724EDF7E" w14:textId="77777777" w:rsidR="00521644" w:rsidRPr="00B50ADE" w:rsidRDefault="00521644" w:rsidP="00266CAE">
      <w:pPr>
        <w:pStyle w:val="ListParagraph"/>
        <w:numPr>
          <w:ilvl w:val="0"/>
          <w:numId w:val="1"/>
        </w:numPr>
        <w:spacing w:line="360" w:lineRule="auto"/>
        <w:rPr>
          <w:rFonts w:ascii="Calibri" w:hAnsi="Calibri"/>
          <w:sz w:val="22"/>
          <w:szCs w:val="22"/>
        </w:rPr>
      </w:pPr>
      <w:r w:rsidRPr="00B50ADE">
        <w:rPr>
          <w:rFonts w:ascii="Calibri" w:hAnsi="Calibri"/>
          <w:sz w:val="22"/>
          <w:szCs w:val="22"/>
        </w:rPr>
        <w:t xml:space="preserve">Fourth criteria: What exactly are you being denied? What burden do you have that’s not placed on others? What </w:t>
      </w:r>
      <w:proofErr w:type="gramStart"/>
      <w:r w:rsidRPr="00B50ADE">
        <w:rPr>
          <w:rFonts w:ascii="Calibri" w:hAnsi="Calibri"/>
          <w:sz w:val="22"/>
          <w:szCs w:val="22"/>
        </w:rPr>
        <w:t>is</w:t>
      </w:r>
      <w:proofErr w:type="gramEnd"/>
      <w:r w:rsidRPr="00B50ADE">
        <w:rPr>
          <w:rFonts w:ascii="Calibri" w:hAnsi="Calibri"/>
          <w:sz w:val="22"/>
          <w:szCs w:val="22"/>
        </w:rPr>
        <w:t xml:space="preserve"> the benefits you are not getting? E.g. </w:t>
      </w:r>
      <w:proofErr w:type="gramStart"/>
      <w:r w:rsidRPr="00B50ADE">
        <w:rPr>
          <w:rFonts w:ascii="Calibri" w:hAnsi="Calibri"/>
          <w:sz w:val="22"/>
          <w:szCs w:val="22"/>
        </w:rPr>
        <w:t>Are</w:t>
      </w:r>
      <w:proofErr w:type="gramEnd"/>
      <w:r w:rsidRPr="00B50ADE">
        <w:rPr>
          <w:rFonts w:ascii="Calibri" w:hAnsi="Calibri"/>
          <w:sz w:val="22"/>
          <w:szCs w:val="22"/>
        </w:rPr>
        <w:t xml:space="preserve"> you denied voting because of your residence? Are you trying to get a pension that would put you over the </w:t>
      </w:r>
      <w:r w:rsidRPr="00B50ADE">
        <w:rPr>
          <w:rFonts w:ascii="Calibri" w:hAnsi="Calibri"/>
          <w:sz w:val="22"/>
          <w:szCs w:val="22"/>
        </w:rPr>
        <w:lastRenderedPageBreak/>
        <w:t>poverty line? Are you trying to get a job and cant do it because of citizenship? How central is it to being a person respected for who you are?</w:t>
      </w:r>
      <w:r w:rsidR="00FF12DF" w:rsidRPr="00B50ADE">
        <w:rPr>
          <w:rFonts w:ascii="Calibri" w:hAnsi="Calibri"/>
          <w:sz w:val="22"/>
          <w:szCs w:val="22"/>
        </w:rPr>
        <w:t xml:space="preserve"> It turns into a question of human dignity.</w:t>
      </w:r>
    </w:p>
    <w:p w14:paraId="56E0DED5"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On March 25, 1999 the Supreme Court of Canada (S.C.C.) gave its decision in </w:t>
      </w:r>
      <w:r w:rsidRPr="00B50ADE">
        <w:rPr>
          <w:rFonts w:ascii="Calibri" w:hAnsi="Calibri"/>
          <w:i/>
          <w:iCs/>
          <w:sz w:val="22"/>
          <w:szCs w:val="22"/>
        </w:rPr>
        <w:t>Law v. Canada</w:t>
      </w:r>
      <w:r w:rsidRPr="00B50ADE">
        <w:rPr>
          <w:rFonts w:ascii="Calibri" w:hAnsi="Calibri"/>
          <w:sz w:val="22"/>
          <w:szCs w:val="22"/>
        </w:rPr>
        <w:t>.</w:t>
      </w:r>
      <w:bookmarkStart w:id="0" w:name="_ftnref1"/>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"_ftn1" \o "" </w:instrText>
      </w:r>
      <w:r w:rsidRPr="00B50ADE">
        <w:rPr>
          <w:rFonts w:ascii="Calibri" w:hAnsi="Calibri"/>
          <w:sz w:val="22"/>
          <w:szCs w:val="22"/>
        </w:rPr>
        <w:fldChar w:fldCharType="separate"/>
      </w:r>
      <w:r w:rsidRPr="00B50ADE">
        <w:rPr>
          <w:rStyle w:val="Hyperlink"/>
          <w:rFonts w:ascii="Calibri" w:hAnsi="Calibri"/>
          <w:sz w:val="22"/>
          <w:szCs w:val="22"/>
        </w:rPr>
        <w:t>[1]</w:t>
      </w:r>
      <w:r w:rsidRPr="00B50ADE">
        <w:rPr>
          <w:rFonts w:ascii="Calibri" w:hAnsi="Calibri"/>
          <w:sz w:val="22"/>
          <w:szCs w:val="22"/>
        </w:rPr>
        <w:fldChar w:fldCharType="end"/>
      </w:r>
      <w:bookmarkEnd w:id="0"/>
      <w:r w:rsidRPr="00B50ADE">
        <w:rPr>
          <w:rFonts w:ascii="Calibri" w:hAnsi="Calibri"/>
          <w:sz w:val="22"/>
          <w:szCs w:val="22"/>
        </w:rPr>
        <w:t xml:space="preserve"> In this case the Court developed a test for determining whether any rights expressed under any of the provisions of </w:t>
      </w:r>
      <w:proofErr w:type="spellStart"/>
      <w:r w:rsidRPr="00B50ADE">
        <w:rPr>
          <w:rFonts w:ascii="Calibri" w:hAnsi="Calibri"/>
          <w:sz w:val="22"/>
          <w:szCs w:val="22"/>
        </w:rPr>
        <w:t>the</w:t>
      </w:r>
      <w:r w:rsidRPr="00B50ADE">
        <w:rPr>
          <w:rFonts w:ascii="Calibri" w:hAnsi="Calibri"/>
          <w:i/>
          <w:iCs/>
          <w:sz w:val="22"/>
          <w:szCs w:val="22"/>
        </w:rPr>
        <w:t>Canadian</w:t>
      </w:r>
      <w:proofErr w:type="spellEnd"/>
      <w:r w:rsidRPr="00B50ADE">
        <w:rPr>
          <w:rFonts w:ascii="Calibri" w:hAnsi="Calibri"/>
          <w:i/>
          <w:iCs/>
          <w:sz w:val="22"/>
          <w:szCs w:val="22"/>
        </w:rPr>
        <w:t xml:space="preserve"> Charter of Rights and Freedoms</w:t>
      </w:r>
      <w:r w:rsidRPr="00B50ADE">
        <w:rPr>
          <w:rFonts w:ascii="Calibri" w:hAnsi="Calibri"/>
          <w:sz w:val="22"/>
          <w:szCs w:val="22"/>
        </w:rPr>
        <w:t> (</w:t>
      </w:r>
      <w:r w:rsidRPr="00B50ADE">
        <w:rPr>
          <w:rFonts w:ascii="Calibri" w:hAnsi="Calibri"/>
          <w:i/>
          <w:iCs/>
          <w:sz w:val="22"/>
          <w:szCs w:val="22"/>
        </w:rPr>
        <w:t>Charter</w:t>
      </w:r>
      <w:r w:rsidRPr="00B50ADE">
        <w:rPr>
          <w:rFonts w:ascii="Calibri" w:hAnsi="Calibri"/>
          <w:sz w:val="22"/>
          <w:szCs w:val="22"/>
        </w:rPr>
        <w:t>) could be impinged upon by government legislation.</w:t>
      </w:r>
      <w:bookmarkStart w:id="1" w:name="_ftnref2"/>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"_ftn2" \o "" </w:instrText>
      </w:r>
      <w:r w:rsidRPr="00B50ADE">
        <w:rPr>
          <w:rFonts w:ascii="Calibri" w:hAnsi="Calibri"/>
          <w:sz w:val="22"/>
          <w:szCs w:val="22"/>
        </w:rPr>
        <w:fldChar w:fldCharType="separate"/>
      </w:r>
      <w:r w:rsidRPr="00B50ADE">
        <w:rPr>
          <w:rStyle w:val="Hyperlink"/>
          <w:rFonts w:ascii="Calibri" w:hAnsi="Calibri"/>
          <w:sz w:val="22"/>
          <w:szCs w:val="22"/>
        </w:rPr>
        <w:t>[2]</w:t>
      </w:r>
      <w:r w:rsidRPr="00B50ADE">
        <w:rPr>
          <w:rFonts w:ascii="Calibri" w:hAnsi="Calibri"/>
          <w:sz w:val="22"/>
          <w:szCs w:val="22"/>
        </w:rPr>
        <w:fldChar w:fldCharType="end"/>
      </w:r>
      <w:bookmarkEnd w:id="1"/>
      <w:r w:rsidRPr="00B50ADE">
        <w:rPr>
          <w:rFonts w:ascii="Calibri" w:hAnsi="Calibri"/>
          <w:sz w:val="22"/>
          <w:szCs w:val="22"/>
        </w:rPr>
        <w:t>The Court ruled that an individual’s right to equality is not violated if the federal government refuses to pay Canada Pension Plan (C.P.P.) survivor benefits in specific circumstances. Nancy Law, who was widowed when she was 30 years old, claimed that she had been a victim of age discrimination as the government refused to pay her survivor’s benefits. Under the CPP, surviving spouses under the age of 35, who were not disabled and had no children, were not eligible for such benefits, even when their deceased spouse had paid into the plan.</w:t>
      </w:r>
      <w:bookmarkStart w:id="2" w:name="_ftnref3"/>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"_ftn3" \o "" </w:instrText>
      </w:r>
      <w:r w:rsidRPr="00B50ADE">
        <w:rPr>
          <w:rFonts w:ascii="Calibri" w:hAnsi="Calibri"/>
          <w:sz w:val="22"/>
          <w:szCs w:val="22"/>
        </w:rPr>
        <w:fldChar w:fldCharType="separate"/>
      </w:r>
      <w:r w:rsidRPr="00B50ADE">
        <w:rPr>
          <w:rStyle w:val="Hyperlink"/>
          <w:rFonts w:ascii="Calibri" w:hAnsi="Calibri"/>
          <w:sz w:val="22"/>
          <w:szCs w:val="22"/>
        </w:rPr>
        <w:t>[3]</w:t>
      </w:r>
      <w:r w:rsidRPr="00B50ADE">
        <w:rPr>
          <w:rFonts w:ascii="Calibri" w:hAnsi="Calibri"/>
          <w:sz w:val="22"/>
          <w:szCs w:val="22"/>
        </w:rPr>
        <w:fldChar w:fldCharType="end"/>
      </w:r>
      <w:bookmarkEnd w:id="2"/>
    </w:p>
    <w:p w14:paraId="0BD1672D"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7B6FDBFF"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Ms. Law applied for the survivor’s benefit shortly after the death of her husband. She was denied. She appealed that decision to the Minister of National Health and Welfare on the basis that her rights under section 15(1) of the </w:t>
      </w:r>
      <w:r w:rsidRPr="00B50ADE">
        <w:rPr>
          <w:rFonts w:ascii="Calibri" w:hAnsi="Calibri"/>
          <w:i/>
          <w:iCs/>
          <w:sz w:val="22"/>
          <w:szCs w:val="22"/>
        </w:rPr>
        <w:t>Charter</w:t>
      </w:r>
      <w:r w:rsidRPr="00B50ADE">
        <w:rPr>
          <w:rFonts w:ascii="Calibri" w:hAnsi="Calibri"/>
          <w:sz w:val="22"/>
          <w:szCs w:val="22"/>
        </w:rPr>
        <w:t> had been violated as she had been discriminated against because of her age. That section of the </w:t>
      </w:r>
      <w:r w:rsidRPr="00B50ADE">
        <w:rPr>
          <w:rFonts w:ascii="Calibri" w:hAnsi="Calibri"/>
          <w:i/>
          <w:iCs/>
          <w:sz w:val="22"/>
          <w:szCs w:val="22"/>
        </w:rPr>
        <w:t>Charter</w:t>
      </w:r>
      <w:r w:rsidRPr="00B50ADE">
        <w:rPr>
          <w:rFonts w:ascii="Calibri" w:hAnsi="Calibri"/>
          <w:sz w:val="22"/>
          <w:szCs w:val="22"/>
        </w:rPr>
        <w:t> reads:</w:t>
      </w:r>
    </w:p>
    <w:p w14:paraId="0D57BDC0"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7A1728D1"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xml:space="preserve">15(1) Every individual is equal before and under the law and has the right to the equal protection and equal benefit of the law without discrimination and, in particular, without discrimination based on race, national or ethnic origin, </w:t>
      </w:r>
      <w:proofErr w:type="spellStart"/>
      <w:r w:rsidRPr="00B50ADE">
        <w:rPr>
          <w:rFonts w:ascii="Calibri" w:hAnsi="Calibri"/>
          <w:sz w:val="22"/>
          <w:szCs w:val="22"/>
        </w:rPr>
        <w:t>colour</w:t>
      </w:r>
      <w:proofErr w:type="spellEnd"/>
      <w:r w:rsidRPr="00B50ADE">
        <w:rPr>
          <w:rFonts w:ascii="Calibri" w:hAnsi="Calibri"/>
          <w:sz w:val="22"/>
          <w:szCs w:val="22"/>
        </w:rPr>
        <w:t>, religion, sex, age or mental or physical disability.</w:t>
      </w:r>
      <w:bookmarkStart w:id="3" w:name="_ftnref4"/>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"_ftn4" \o "" </w:instrText>
      </w:r>
      <w:r w:rsidRPr="00B50ADE">
        <w:rPr>
          <w:rFonts w:ascii="Calibri" w:hAnsi="Calibri"/>
          <w:sz w:val="22"/>
          <w:szCs w:val="22"/>
        </w:rPr>
        <w:fldChar w:fldCharType="separate"/>
      </w:r>
      <w:r w:rsidRPr="00B50ADE">
        <w:rPr>
          <w:rStyle w:val="Hyperlink"/>
          <w:rFonts w:ascii="Calibri" w:hAnsi="Calibri"/>
          <w:sz w:val="22"/>
          <w:szCs w:val="22"/>
        </w:rPr>
        <w:t>[4]</w:t>
      </w:r>
      <w:r w:rsidRPr="00B50ADE">
        <w:rPr>
          <w:rFonts w:ascii="Calibri" w:hAnsi="Calibri"/>
          <w:sz w:val="22"/>
          <w:szCs w:val="22"/>
        </w:rPr>
        <w:fldChar w:fldCharType="end"/>
      </w:r>
      <w:bookmarkEnd w:id="3"/>
    </w:p>
    <w:p w14:paraId="6585D15C"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59BDA4F1"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xml:space="preserve">The Minister rejected the appeal in </w:t>
      </w:r>
      <w:proofErr w:type="gramStart"/>
      <w:r w:rsidRPr="00B50ADE">
        <w:rPr>
          <w:rFonts w:ascii="Calibri" w:hAnsi="Calibri"/>
          <w:sz w:val="22"/>
          <w:szCs w:val="22"/>
        </w:rPr>
        <w:t>May,</w:t>
      </w:r>
      <w:proofErr w:type="gramEnd"/>
      <w:r w:rsidRPr="00B50ADE">
        <w:rPr>
          <w:rFonts w:ascii="Calibri" w:hAnsi="Calibri"/>
          <w:sz w:val="22"/>
          <w:szCs w:val="22"/>
        </w:rPr>
        <w:t xml:space="preserve"> 1992. Ms. Law then appealed to the Pension Plan Review Tribunal, which also rejected her claim. That resulted in an appeal to the Pension Appeals Board (P.A.B.) - which consists of three federal court judges. The panel judges ruled that while there had been a breach of Ms. Law’s section 15(1) </w:t>
      </w:r>
      <w:r w:rsidRPr="00B50ADE">
        <w:rPr>
          <w:rFonts w:ascii="Calibri" w:hAnsi="Calibri"/>
          <w:i/>
          <w:iCs/>
          <w:sz w:val="22"/>
          <w:szCs w:val="22"/>
        </w:rPr>
        <w:t>Charter </w:t>
      </w:r>
      <w:r w:rsidRPr="00B50ADE">
        <w:rPr>
          <w:rFonts w:ascii="Calibri" w:hAnsi="Calibri"/>
          <w:sz w:val="22"/>
          <w:szCs w:val="22"/>
        </w:rPr>
        <w:t>rights the breach was acceptable under s. 1 of the </w:t>
      </w:r>
      <w:r w:rsidRPr="00B50ADE">
        <w:rPr>
          <w:rFonts w:ascii="Calibri" w:hAnsi="Calibri"/>
          <w:i/>
          <w:iCs/>
          <w:sz w:val="22"/>
          <w:szCs w:val="22"/>
        </w:rPr>
        <w:t>Charter</w:t>
      </w:r>
      <w:r w:rsidRPr="00B50ADE">
        <w:rPr>
          <w:rFonts w:ascii="Calibri" w:hAnsi="Calibri"/>
          <w:sz w:val="22"/>
          <w:szCs w:val="22"/>
        </w:rPr>
        <w:t>.</w:t>
      </w:r>
      <w:bookmarkStart w:id="4" w:name="_ftnref5"/>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"_ftn5" \o "" </w:instrText>
      </w:r>
      <w:r w:rsidRPr="00B50ADE">
        <w:rPr>
          <w:rFonts w:ascii="Calibri" w:hAnsi="Calibri"/>
          <w:sz w:val="22"/>
          <w:szCs w:val="22"/>
        </w:rPr>
        <w:fldChar w:fldCharType="separate"/>
      </w:r>
      <w:r w:rsidRPr="00B50ADE">
        <w:rPr>
          <w:rStyle w:val="Hyperlink"/>
          <w:rFonts w:ascii="Calibri" w:hAnsi="Calibri"/>
          <w:sz w:val="22"/>
          <w:szCs w:val="22"/>
        </w:rPr>
        <w:t>[5]</w:t>
      </w:r>
      <w:r w:rsidRPr="00B50ADE">
        <w:rPr>
          <w:rFonts w:ascii="Calibri" w:hAnsi="Calibri"/>
          <w:sz w:val="22"/>
          <w:szCs w:val="22"/>
        </w:rPr>
        <w:fldChar w:fldCharType="end"/>
      </w:r>
      <w:bookmarkEnd w:id="4"/>
      <w:r w:rsidRPr="00B50ADE">
        <w:rPr>
          <w:rFonts w:ascii="Calibri" w:hAnsi="Calibri"/>
          <w:sz w:val="22"/>
          <w:szCs w:val="22"/>
        </w:rPr>
        <w:t> Section 1 reads:</w:t>
      </w:r>
    </w:p>
    <w:p w14:paraId="5B6D8851"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1413724E"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1. The Canadian Charter of Rights and Freedoms guarantees the rights and freedoms set out in it subject only to such reasonable limits prescribed by law as can be demonstrably justified in a free and democratic society.</w:t>
      </w:r>
    </w:p>
    <w:p w14:paraId="4914DCDF"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406A3C3D"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The Panel ruled that Ms. Law had the ability to support herself and did not have the right, at her age, to expect the government to help support her for the rest of her life. The C.P.P. did discriminate against her, but the nature of the discrimination involved legislation intended to assist persons who would have trouble supporting themselves and their families in the event of the death of a spouse. Hence the legislation contained a reasonable limit on Ms. Law’s equality rights.</w:t>
      </w:r>
    </w:p>
    <w:p w14:paraId="4695D936"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7DBAB96A"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Ms. Law then appealed to the Federal Court of Appeal (F.C.C.). On April 17, 1996 the F.C.C. issued a brief ruling that agreed with the Pension Appeals Board.</w:t>
      </w:r>
      <w:bookmarkStart w:id="5" w:name="_ftnref6"/>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"_ftn6" \o "" </w:instrText>
      </w:r>
      <w:r w:rsidRPr="00B50ADE">
        <w:rPr>
          <w:rFonts w:ascii="Calibri" w:hAnsi="Calibri"/>
          <w:sz w:val="22"/>
          <w:szCs w:val="22"/>
        </w:rPr>
        <w:fldChar w:fldCharType="separate"/>
      </w:r>
      <w:r w:rsidRPr="00B50ADE">
        <w:rPr>
          <w:rStyle w:val="Hyperlink"/>
          <w:rFonts w:ascii="Calibri" w:hAnsi="Calibri"/>
          <w:sz w:val="22"/>
          <w:szCs w:val="22"/>
        </w:rPr>
        <w:t>[6]</w:t>
      </w:r>
      <w:r w:rsidRPr="00B50ADE">
        <w:rPr>
          <w:rFonts w:ascii="Calibri" w:hAnsi="Calibri"/>
          <w:sz w:val="22"/>
          <w:szCs w:val="22"/>
        </w:rPr>
        <w:fldChar w:fldCharType="end"/>
      </w:r>
      <w:bookmarkEnd w:id="5"/>
      <w:r w:rsidRPr="00B50ADE">
        <w:rPr>
          <w:rFonts w:ascii="Calibri" w:hAnsi="Calibri"/>
          <w:sz w:val="22"/>
          <w:szCs w:val="22"/>
        </w:rPr>
        <w:t> Ms. Law then appealed to the S.C.C. The S.C.C. agreed with the results of the previous appeals, but disagreed with the way in which the lower courts and panels had reached their conclusions. The Court articulated a test that examined the purpose behind the legislation, to determine if the alleged discrimination was allowable. The test consisted of three parts, considering:</w:t>
      </w:r>
    </w:p>
    <w:p w14:paraId="7F681EAD" w14:textId="77777777" w:rsidR="00B50ADE" w:rsidRPr="00B50ADE" w:rsidRDefault="00B50ADE" w:rsidP="00266CAE">
      <w:pPr>
        <w:numPr>
          <w:ilvl w:val="0"/>
          <w:numId w:val="2"/>
        </w:numPr>
        <w:spacing w:line="360" w:lineRule="auto"/>
        <w:rPr>
          <w:rFonts w:ascii="Calibri" w:hAnsi="Calibri"/>
          <w:sz w:val="22"/>
          <w:szCs w:val="22"/>
        </w:rPr>
      </w:pPr>
      <w:r w:rsidRPr="00B50ADE">
        <w:rPr>
          <w:rFonts w:ascii="Calibri" w:hAnsi="Calibri"/>
          <w:sz w:val="22"/>
          <w:szCs w:val="22"/>
        </w:rPr>
        <w:t>Differential Treatment - whether the legislation did in fact discriminate under the </w:t>
      </w:r>
      <w:r w:rsidRPr="00B50ADE">
        <w:rPr>
          <w:rFonts w:ascii="Calibri" w:hAnsi="Calibri"/>
          <w:i/>
          <w:iCs/>
          <w:sz w:val="22"/>
          <w:szCs w:val="22"/>
        </w:rPr>
        <w:t>Charter</w:t>
      </w:r>
      <w:r w:rsidRPr="00B50ADE">
        <w:rPr>
          <w:rFonts w:ascii="Calibri" w:hAnsi="Calibri"/>
          <w:sz w:val="22"/>
          <w:szCs w:val="22"/>
        </w:rPr>
        <w:t>,</w:t>
      </w:r>
    </w:p>
    <w:p w14:paraId="586DC6C3" w14:textId="77777777" w:rsidR="00B50ADE" w:rsidRPr="00B50ADE" w:rsidRDefault="00B50ADE" w:rsidP="00266CAE">
      <w:pPr>
        <w:numPr>
          <w:ilvl w:val="0"/>
          <w:numId w:val="2"/>
        </w:numPr>
        <w:spacing w:line="360" w:lineRule="auto"/>
        <w:rPr>
          <w:rFonts w:ascii="Calibri" w:hAnsi="Calibri"/>
          <w:sz w:val="22"/>
          <w:szCs w:val="22"/>
        </w:rPr>
      </w:pPr>
      <w:r w:rsidRPr="00B50ADE">
        <w:rPr>
          <w:rFonts w:ascii="Calibri" w:hAnsi="Calibri"/>
          <w:sz w:val="22"/>
          <w:szCs w:val="22"/>
        </w:rPr>
        <w:t>Distinction on the Basis of Enumerated or Analogous Grounds – an examination of the government’s reasons for discriminating against a particular group, and</w:t>
      </w:r>
    </w:p>
    <w:p w14:paraId="066F00AF" w14:textId="77777777" w:rsidR="00B50ADE" w:rsidRPr="00B50ADE" w:rsidRDefault="00B50ADE" w:rsidP="00266CAE">
      <w:pPr>
        <w:numPr>
          <w:ilvl w:val="0"/>
          <w:numId w:val="2"/>
        </w:numPr>
        <w:spacing w:line="360" w:lineRule="auto"/>
        <w:rPr>
          <w:rFonts w:ascii="Calibri" w:hAnsi="Calibri"/>
          <w:sz w:val="22"/>
          <w:szCs w:val="22"/>
        </w:rPr>
      </w:pPr>
      <w:r w:rsidRPr="00B50ADE">
        <w:rPr>
          <w:rFonts w:ascii="Calibri" w:hAnsi="Calibri"/>
          <w:sz w:val="22"/>
          <w:szCs w:val="22"/>
        </w:rPr>
        <w:t>Discrimination – whether the government’s purpose for discriminating offended the </w:t>
      </w:r>
      <w:r w:rsidRPr="00B50ADE">
        <w:rPr>
          <w:rFonts w:ascii="Calibri" w:hAnsi="Calibri"/>
          <w:i/>
          <w:iCs/>
          <w:sz w:val="22"/>
          <w:szCs w:val="22"/>
        </w:rPr>
        <w:t>Charter</w:t>
      </w:r>
      <w:r w:rsidRPr="00B50ADE">
        <w:rPr>
          <w:rFonts w:ascii="Calibri" w:hAnsi="Calibri"/>
          <w:sz w:val="22"/>
          <w:szCs w:val="22"/>
        </w:rPr>
        <w:t> in the circumstances.</w:t>
      </w:r>
    </w:p>
    <w:p w14:paraId="6B79E4E1"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Each part of the test will be examined below.</w:t>
      </w:r>
    </w:p>
    <w:p w14:paraId="3E4E8B7E"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664A2F12"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46FCBEA0" w14:textId="77777777" w:rsidR="00B50ADE" w:rsidRPr="00B50ADE" w:rsidRDefault="00B50ADE" w:rsidP="00266CAE">
      <w:pPr>
        <w:spacing w:line="360" w:lineRule="auto"/>
        <w:rPr>
          <w:rFonts w:ascii="Calibri" w:hAnsi="Calibri"/>
          <w:sz w:val="22"/>
          <w:szCs w:val="22"/>
        </w:rPr>
      </w:pPr>
      <w:r w:rsidRPr="00B50ADE">
        <w:rPr>
          <w:rFonts w:ascii="Calibri" w:hAnsi="Calibri"/>
          <w:b/>
          <w:bCs/>
          <w:sz w:val="22"/>
          <w:szCs w:val="22"/>
        </w:rPr>
        <w:t>Differential Treatment</w:t>
      </w:r>
    </w:p>
    <w:p w14:paraId="6929C7FB"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02E9C972"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The S.C.C. noted that: “the preliminary issue in this case is whether the questioned law draws a distinction, on the basis of one or more personal characteristics, between the claimant and some other person or group of persons, resulting in unequal treatment.”</w:t>
      </w:r>
      <w:bookmarkStart w:id="6" w:name="_ftnref7"/>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"_ftn7" \o "" </w:instrText>
      </w:r>
      <w:r w:rsidRPr="00B50ADE">
        <w:rPr>
          <w:rFonts w:ascii="Calibri" w:hAnsi="Calibri"/>
          <w:sz w:val="22"/>
          <w:szCs w:val="22"/>
        </w:rPr>
        <w:fldChar w:fldCharType="separate"/>
      </w:r>
      <w:r w:rsidRPr="00B50ADE">
        <w:rPr>
          <w:rStyle w:val="Hyperlink"/>
          <w:rFonts w:ascii="Calibri" w:hAnsi="Calibri"/>
          <w:sz w:val="22"/>
          <w:szCs w:val="22"/>
        </w:rPr>
        <w:t>[7]</w:t>
      </w:r>
      <w:r w:rsidRPr="00B50ADE">
        <w:rPr>
          <w:rFonts w:ascii="Calibri" w:hAnsi="Calibri"/>
          <w:sz w:val="22"/>
          <w:szCs w:val="22"/>
        </w:rPr>
        <w:fldChar w:fldCharType="end"/>
      </w:r>
      <w:bookmarkEnd w:id="6"/>
      <w:r w:rsidRPr="00B50ADE">
        <w:rPr>
          <w:rFonts w:ascii="Calibri" w:hAnsi="Calibri"/>
          <w:sz w:val="22"/>
          <w:szCs w:val="22"/>
        </w:rPr>
        <w:t> It went onto acknowledge that on a plain reading of the legislation there was unequal treatment in the case.</w:t>
      </w:r>
    </w:p>
    <w:p w14:paraId="5DE1C50C"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395144C3"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7DC7D0CA" w14:textId="77777777" w:rsidR="00B50ADE" w:rsidRPr="00B50ADE" w:rsidRDefault="00B50ADE" w:rsidP="00266CAE">
      <w:pPr>
        <w:spacing w:line="360" w:lineRule="auto"/>
        <w:rPr>
          <w:rFonts w:ascii="Calibri" w:hAnsi="Calibri"/>
          <w:sz w:val="22"/>
          <w:szCs w:val="22"/>
        </w:rPr>
      </w:pPr>
      <w:r w:rsidRPr="00B50ADE">
        <w:rPr>
          <w:rFonts w:ascii="Calibri" w:hAnsi="Calibri"/>
          <w:b/>
          <w:bCs/>
          <w:sz w:val="22"/>
          <w:szCs w:val="22"/>
        </w:rPr>
        <w:t>Distinction on the Basis of Enumerated or Analogous Grounds</w:t>
      </w:r>
    </w:p>
    <w:p w14:paraId="75A1E16C"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5E51D8CE"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Here the Court examined why the government had chosen to treat Canadians differently under the </w:t>
      </w:r>
      <w:r w:rsidRPr="00B50ADE">
        <w:rPr>
          <w:rFonts w:ascii="Calibri" w:hAnsi="Calibri"/>
          <w:i/>
          <w:iCs/>
          <w:sz w:val="22"/>
          <w:szCs w:val="22"/>
        </w:rPr>
        <w:t>Act</w:t>
      </w:r>
      <w:r w:rsidRPr="00B50ADE">
        <w:rPr>
          <w:rFonts w:ascii="Calibri" w:hAnsi="Calibri"/>
          <w:sz w:val="22"/>
          <w:szCs w:val="22"/>
        </w:rPr>
        <w:t>. Ms. Law argued that she had been discriminated against because of her age. The Government replied that there were a number of factors besides Ms. Law’s age that gave rise to the discrimination, including:</w:t>
      </w:r>
    </w:p>
    <w:p w14:paraId="04F73852"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1B386155"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(a</w:t>
      </w:r>
      <w:proofErr w:type="gramStart"/>
      <w:r w:rsidRPr="00B50ADE">
        <w:rPr>
          <w:rFonts w:ascii="Calibri" w:hAnsi="Calibri"/>
          <w:sz w:val="22"/>
          <w:szCs w:val="22"/>
        </w:rPr>
        <w:t>)   age</w:t>
      </w:r>
      <w:proofErr w:type="gramEnd"/>
      <w:r w:rsidRPr="00B50ADE">
        <w:rPr>
          <w:rFonts w:ascii="Calibri" w:hAnsi="Calibri"/>
          <w:sz w:val="22"/>
          <w:szCs w:val="22"/>
        </w:rPr>
        <w:t>;</w:t>
      </w:r>
    </w:p>
    <w:p w14:paraId="5CFAAE8D"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(b) </w:t>
      </w:r>
      <w:proofErr w:type="gramStart"/>
      <w:r w:rsidRPr="00B50ADE">
        <w:rPr>
          <w:rFonts w:ascii="Calibri" w:hAnsi="Calibri"/>
          <w:sz w:val="22"/>
          <w:szCs w:val="22"/>
        </w:rPr>
        <w:t>disability</w:t>
      </w:r>
      <w:proofErr w:type="gramEnd"/>
      <w:r w:rsidRPr="00B50ADE">
        <w:rPr>
          <w:rFonts w:ascii="Calibri" w:hAnsi="Calibri"/>
          <w:sz w:val="22"/>
          <w:szCs w:val="22"/>
        </w:rPr>
        <w:t>; and</w:t>
      </w:r>
    </w:p>
    <w:p w14:paraId="18074BAA"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(c</w:t>
      </w:r>
      <w:proofErr w:type="gramStart"/>
      <w:r w:rsidRPr="00B50ADE">
        <w:rPr>
          <w:rFonts w:ascii="Calibri" w:hAnsi="Calibri"/>
          <w:sz w:val="22"/>
          <w:szCs w:val="22"/>
        </w:rPr>
        <w:t>)   a</w:t>
      </w:r>
      <w:proofErr w:type="gramEnd"/>
      <w:r w:rsidRPr="00B50ADE">
        <w:rPr>
          <w:rFonts w:ascii="Calibri" w:hAnsi="Calibri"/>
          <w:sz w:val="22"/>
          <w:szCs w:val="22"/>
        </w:rPr>
        <w:t xml:space="preserve"> responsibility for </w:t>
      </w:r>
      <w:proofErr w:type="spellStart"/>
      <w:r w:rsidRPr="00B50ADE">
        <w:rPr>
          <w:rFonts w:ascii="Calibri" w:hAnsi="Calibri"/>
          <w:sz w:val="22"/>
          <w:szCs w:val="22"/>
        </w:rPr>
        <w:t>dependant</w:t>
      </w:r>
      <w:proofErr w:type="spellEnd"/>
      <w:r w:rsidRPr="00B50ADE">
        <w:rPr>
          <w:rFonts w:ascii="Calibri" w:hAnsi="Calibri"/>
          <w:sz w:val="22"/>
          <w:szCs w:val="22"/>
        </w:rPr>
        <w:t xml:space="preserve"> children.</w:t>
      </w:r>
    </w:p>
    <w:p w14:paraId="6AEE7692"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5947B99F"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Thus, only one part of the formula was discriminatory, and that the legislation should be acceptable as it withstood the scrutiny of section 1 of the </w:t>
      </w:r>
      <w:r w:rsidRPr="00B50ADE">
        <w:rPr>
          <w:rFonts w:ascii="Calibri" w:hAnsi="Calibri"/>
          <w:i/>
          <w:iCs/>
          <w:sz w:val="22"/>
          <w:szCs w:val="22"/>
        </w:rPr>
        <w:t>Charter</w:t>
      </w:r>
      <w:r w:rsidRPr="00B50ADE">
        <w:rPr>
          <w:rFonts w:ascii="Calibri" w:hAnsi="Calibri"/>
          <w:sz w:val="22"/>
          <w:szCs w:val="22"/>
        </w:rPr>
        <w:t>. The Court disagreed with the positions of both parties. Rather it stated that: “this determination is made on the basis of a complete analysis of the purpose of s. 15(1), the nature and situation of the individual or group at issue, and the social, political and legal history of Canadian society’s treatment of the group.”</w:t>
      </w:r>
      <w:bookmarkStart w:id="7" w:name="_ftnref8"/>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"_ftn8" \o "" </w:instrText>
      </w:r>
      <w:r w:rsidRPr="00B50ADE">
        <w:rPr>
          <w:rFonts w:ascii="Calibri" w:hAnsi="Calibri"/>
          <w:sz w:val="22"/>
          <w:szCs w:val="22"/>
        </w:rPr>
        <w:fldChar w:fldCharType="separate"/>
      </w:r>
      <w:r w:rsidRPr="00B50ADE">
        <w:rPr>
          <w:rStyle w:val="Hyperlink"/>
          <w:rFonts w:ascii="Calibri" w:hAnsi="Calibri"/>
          <w:sz w:val="22"/>
          <w:szCs w:val="22"/>
        </w:rPr>
        <w:t>[8]</w:t>
      </w:r>
      <w:r w:rsidRPr="00B50ADE">
        <w:rPr>
          <w:rFonts w:ascii="Calibri" w:hAnsi="Calibri"/>
          <w:sz w:val="22"/>
          <w:szCs w:val="22"/>
        </w:rPr>
        <w:fldChar w:fldCharType="end"/>
      </w:r>
      <w:bookmarkEnd w:id="7"/>
      <w:r w:rsidRPr="00B50ADE">
        <w:rPr>
          <w:rFonts w:ascii="Calibri" w:hAnsi="Calibri"/>
          <w:sz w:val="22"/>
          <w:szCs w:val="22"/>
        </w:rPr>
        <w:t> Hence the nature and context of the discrimination had to be examined to determine whether Ms. Laws human dignity had been offended, as required by a two other S.C.C. cases.</w:t>
      </w:r>
      <w:bookmarkStart w:id="8" w:name="_ftnref9"/>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"_ftn9" \o "" </w:instrText>
      </w:r>
      <w:r w:rsidRPr="00B50ADE">
        <w:rPr>
          <w:rFonts w:ascii="Calibri" w:hAnsi="Calibri"/>
          <w:sz w:val="22"/>
          <w:szCs w:val="22"/>
        </w:rPr>
        <w:fldChar w:fldCharType="separate"/>
      </w:r>
      <w:r w:rsidRPr="00B50ADE">
        <w:rPr>
          <w:rStyle w:val="Hyperlink"/>
          <w:rFonts w:ascii="Calibri" w:hAnsi="Calibri"/>
          <w:sz w:val="22"/>
          <w:szCs w:val="22"/>
        </w:rPr>
        <w:t>[9]</w:t>
      </w:r>
      <w:r w:rsidRPr="00B50ADE">
        <w:rPr>
          <w:rFonts w:ascii="Calibri" w:hAnsi="Calibri"/>
          <w:sz w:val="22"/>
          <w:szCs w:val="22"/>
        </w:rPr>
        <w:fldChar w:fldCharType="end"/>
      </w:r>
      <w:bookmarkEnd w:id="8"/>
    </w:p>
    <w:p w14:paraId="2FA8E8E5"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7DFB74C0"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32BAE89B" w14:textId="77777777" w:rsidR="00B50ADE" w:rsidRPr="00B50ADE" w:rsidRDefault="00B50ADE" w:rsidP="00266CAE">
      <w:pPr>
        <w:spacing w:line="360" w:lineRule="auto"/>
        <w:rPr>
          <w:rFonts w:ascii="Calibri" w:hAnsi="Calibri"/>
          <w:sz w:val="22"/>
          <w:szCs w:val="22"/>
        </w:rPr>
      </w:pPr>
      <w:r w:rsidRPr="00B50ADE">
        <w:rPr>
          <w:rFonts w:ascii="Calibri" w:hAnsi="Calibri"/>
          <w:b/>
          <w:bCs/>
          <w:sz w:val="22"/>
          <w:szCs w:val="22"/>
        </w:rPr>
        <w:t>Discrimination</w:t>
      </w:r>
    </w:p>
    <w:p w14:paraId="477A49B7"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396ACF4B"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The S.C.C. began its analysis with the comment that: “The central question in the present case is whether the age distinctions drawn by ss. 44(1)(d) and 58 of the </w:t>
      </w:r>
      <w:r w:rsidRPr="00B50ADE">
        <w:rPr>
          <w:rFonts w:ascii="Calibri" w:hAnsi="Calibri"/>
          <w:i/>
          <w:iCs/>
          <w:sz w:val="22"/>
          <w:szCs w:val="22"/>
        </w:rPr>
        <w:t>CPP </w:t>
      </w:r>
      <w:r w:rsidRPr="00B50ADE">
        <w:rPr>
          <w:rFonts w:ascii="Calibri" w:hAnsi="Calibri"/>
          <w:sz w:val="22"/>
          <w:szCs w:val="22"/>
        </w:rPr>
        <w:t>impose a disadvantage upon the appellant as a younger adult in a manner which constitutes discrimination under s. 15(1) of the </w:t>
      </w:r>
      <w:r w:rsidRPr="00B50ADE">
        <w:rPr>
          <w:rFonts w:ascii="Calibri" w:hAnsi="Calibri"/>
          <w:i/>
          <w:iCs/>
          <w:sz w:val="22"/>
          <w:szCs w:val="22"/>
        </w:rPr>
        <w:t>Charter</w:t>
      </w:r>
      <w:r w:rsidRPr="00B50ADE">
        <w:rPr>
          <w:rFonts w:ascii="Calibri" w:hAnsi="Calibri"/>
          <w:sz w:val="22"/>
          <w:szCs w:val="22"/>
        </w:rPr>
        <w:t>.”</w:t>
      </w:r>
      <w:bookmarkStart w:id="9" w:name="_ftnref10"/>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"_ftn10" \o "" </w:instrText>
      </w:r>
      <w:r w:rsidRPr="00B50ADE">
        <w:rPr>
          <w:rFonts w:ascii="Calibri" w:hAnsi="Calibri"/>
          <w:sz w:val="22"/>
          <w:szCs w:val="22"/>
        </w:rPr>
        <w:fldChar w:fldCharType="separate"/>
      </w:r>
      <w:r w:rsidRPr="00B50ADE">
        <w:rPr>
          <w:rStyle w:val="Hyperlink"/>
          <w:rFonts w:ascii="Calibri" w:hAnsi="Calibri"/>
          <w:sz w:val="22"/>
          <w:szCs w:val="22"/>
        </w:rPr>
        <w:t>[10]</w:t>
      </w:r>
      <w:r w:rsidRPr="00B50ADE">
        <w:rPr>
          <w:rFonts w:ascii="Calibri" w:hAnsi="Calibri"/>
          <w:sz w:val="22"/>
          <w:szCs w:val="22"/>
        </w:rPr>
        <w:fldChar w:fldCharType="end"/>
      </w:r>
      <w:bookmarkEnd w:id="9"/>
      <w:r w:rsidRPr="00B50ADE">
        <w:rPr>
          <w:rFonts w:ascii="Calibri" w:hAnsi="Calibri"/>
          <w:sz w:val="22"/>
          <w:szCs w:val="22"/>
        </w:rPr>
        <w:t> Was Ms. Law’s human dignity offended in this situation? The S.C.C. asked itself the following questions, to examine the situation:</w:t>
      </w:r>
    </w:p>
    <w:p w14:paraId="519F339B"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638BA676"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w:t>
      </w:r>
      <w:proofErr w:type="spellStart"/>
      <w:r w:rsidRPr="00B50ADE">
        <w:rPr>
          <w:rFonts w:ascii="Calibri" w:hAnsi="Calibri"/>
          <w:sz w:val="22"/>
          <w:szCs w:val="22"/>
        </w:rPr>
        <w:t>i</w:t>
      </w:r>
      <w:proofErr w:type="spellEnd"/>
      <w:proofErr w:type="gramStart"/>
      <w:r w:rsidRPr="00B50ADE">
        <w:rPr>
          <w:rFonts w:ascii="Calibri" w:hAnsi="Calibri"/>
          <w:sz w:val="22"/>
          <w:szCs w:val="22"/>
        </w:rPr>
        <w:t>)              Do</w:t>
      </w:r>
      <w:proofErr w:type="gramEnd"/>
      <w:r w:rsidRPr="00B50ADE">
        <w:rPr>
          <w:rFonts w:ascii="Calibri" w:hAnsi="Calibri"/>
          <w:sz w:val="22"/>
          <w:szCs w:val="22"/>
        </w:rPr>
        <w:t xml:space="preserve"> the impugned CPP provisions, in purpose or effect, violate essential human dignity and freedom through the imposition of disadvantage, stereotyping, or political or social prejudice?</w:t>
      </w:r>
    </w:p>
    <w:p w14:paraId="7F7DDEF2"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(ii</w:t>
      </w:r>
      <w:proofErr w:type="gramStart"/>
      <w:r w:rsidRPr="00B50ADE">
        <w:rPr>
          <w:rFonts w:ascii="Calibri" w:hAnsi="Calibri"/>
          <w:sz w:val="22"/>
          <w:szCs w:val="22"/>
        </w:rPr>
        <w:t>)            Does</w:t>
      </w:r>
      <w:proofErr w:type="gramEnd"/>
      <w:r w:rsidRPr="00B50ADE">
        <w:rPr>
          <w:rFonts w:ascii="Calibri" w:hAnsi="Calibri"/>
          <w:sz w:val="22"/>
          <w:szCs w:val="22"/>
        </w:rPr>
        <w:t xml:space="preserve"> the law, in purpose or effect, conform to a society in which all persons enjoy equal recognition as human beings or as members of Canadian society, equally capable and equally deserving of concern, respect, and consideration?</w:t>
      </w:r>
    </w:p>
    <w:p w14:paraId="1ADEE134"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(iii</w:t>
      </w:r>
      <w:proofErr w:type="gramStart"/>
      <w:r w:rsidRPr="00B50ADE">
        <w:rPr>
          <w:rFonts w:ascii="Calibri" w:hAnsi="Calibri"/>
          <w:sz w:val="22"/>
          <w:szCs w:val="22"/>
        </w:rPr>
        <w:t>)          Does</w:t>
      </w:r>
      <w:proofErr w:type="gramEnd"/>
      <w:r w:rsidRPr="00B50ADE">
        <w:rPr>
          <w:rFonts w:ascii="Calibri" w:hAnsi="Calibri"/>
          <w:sz w:val="22"/>
          <w:szCs w:val="22"/>
        </w:rPr>
        <w:t xml:space="preserve"> the law, in purpose or effect, perpetuate the view that people under 45 are less capable or less worthy of recognition or value as human beings or as members of Canadian society?</w:t>
      </w:r>
      <w:bookmarkStart w:id="10" w:name="_ftnref11"/>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"_ftn11" \o "" </w:instrText>
      </w:r>
      <w:r w:rsidRPr="00B50ADE">
        <w:rPr>
          <w:rFonts w:ascii="Calibri" w:hAnsi="Calibri"/>
          <w:sz w:val="22"/>
          <w:szCs w:val="22"/>
        </w:rPr>
        <w:fldChar w:fldCharType="separate"/>
      </w:r>
      <w:r w:rsidRPr="00B50ADE">
        <w:rPr>
          <w:rStyle w:val="Hyperlink"/>
          <w:rFonts w:ascii="Calibri" w:hAnsi="Calibri"/>
          <w:sz w:val="22"/>
          <w:szCs w:val="22"/>
        </w:rPr>
        <w:t>[11]</w:t>
      </w:r>
      <w:r w:rsidRPr="00B50ADE">
        <w:rPr>
          <w:rFonts w:ascii="Calibri" w:hAnsi="Calibri"/>
          <w:sz w:val="22"/>
          <w:szCs w:val="22"/>
        </w:rPr>
        <w:fldChar w:fldCharType="end"/>
      </w:r>
      <w:bookmarkEnd w:id="10"/>
    </w:p>
    <w:p w14:paraId="737241F5"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bookmarkStart w:id="11" w:name="_GoBack"/>
      <w:bookmarkEnd w:id="11"/>
    </w:p>
    <w:p w14:paraId="01594B72"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The answer to the first question was that there was no violation of human dignity. The Court noted that “[</w:t>
      </w:r>
      <w:proofErr w:type="gramStart"/>
      <w:r w:rsidRPr="00B50ADE">
        <w:rPr>
          <w:rFonts w:ascii="Calibri" w:hAnsi="Calibri"/>
          <w:sz w:val="22"/>
          <w:szCs w:val="22"/>
        </w:rPr>
        <w:t>T]he</w:t>
      </w:r>
      <w:proofErr w:type="gramEnd"/>
      <w:r w:rsidRPr="00B50ADE">
        <w:rPr>
          <w:rFonts w:ascii="Calibri" w:hAnsi="Calibri"/>
          <w:sz w:val="22"/>
          <w:szCs w:val="22"/>
        </w:rPr>
        <w:t xml:space="preserve"> purpose and function of the impugned CPP provisions is not to remedy the </w:t>
      </w:r>
      <w:r w:rsidRPr="00B50ADE">
        <w:rPr>
          <w:rFonts w:ascii="Calibri" w:hAnsi="Calibri"/>
          <w:sz w:val="22"/>
          <w:szCs w:val="22"/>
          <w:u w:val="single"/>
        </w:rPr>
        <w:t>immediate</w:t>
      </w:r>
      <w:r w:rsidRPr="00B50ADE">
        <w:rPr>
          <w:rFonts w:ascii="Calibri" w:hAnsi="Calibri"/>
          <w:sz w:val="22"/>
          <w:szCs w:val="22"/>
        </w:rPr>
        <w:t> financial need experienced by widows and widowers, but rather to enable older widows and widowers to meet their basic needs </w:t>
      </w:r>
      <w:r w:rsidRPr="00B50ADE">
        <w:rPr>
          <w:rFonts w:ascii="Calibri" w:hAnsi="Calibri"/>
          <w:sz w:val="22"/>
          <w:szCs w:val="22"/>
          <w:u w:val="single"/>
        </w:rPr>
        <w:t>during the longer term</w:t>
      </w:r>
      <w:r w:rsidRPr="00B50ADE">
        <w:rPr>
          <w:rFonts w:ascii="Calibri" w:hAnsi="Calibri"/>
          <w:sz w:val="22"/>
          <w:szCs w:val="22"/>
        </w:rPr>
        <w:t>.”</w:t>
      </w:r>
      <w:bookmarkStart w:id="12" w:name="_ftnref12"/>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"_ftn12" \o "" </w:instrText>
      </w:r>
      <w:r w:rsidRPr="00B50ADE">
        <w:rPr>
          <w:rFonts w:ascii="Calibri" w:hAnsi="Calibri"/>
          <w:sz w:val="22"/>
          <w:szCs w:val="22"/>
        </w:rPr>
        <w:fldChar w:fldCharType="separate"/>
      </w:r>
      <w:r w:rsidRPr="00B50ADE">
        <w:rPr>
          <w:rStyle w:val="Hyperlink"/>
          <w:rFonts w:ascii="Calibri" w:hAnsi="Calibri"/>
          <w:sz w:val="22"/>
          <w:szCs w:val="22"/>
        </w:rPr>
        <w:t>[12]</w:t>
      </w:r>
      <w:r w:rsidRPr="00B50ADE">
        <w:rPr>
          <w:rFonts w:ascii="Calibri" w:hAnsi="Calibri"/>
          <w:sz w:val="22"/>
          <w:szCs w:val="22"/>
        </w:rPr>
        <w:fldChar w:fldCharType="end"/>
      </w:r>
      <w:bookmarkEnd w:id="12"/>
      <w:r w:rsidRPr="00B50ADE">
        <w:rPr>
          <w:rFonts w:ascii="Calibri" w:hAnsi="Calibri"/>
          <w:sz w:val="22"/>
          <w:szCs w:val="22"/>
        </w:rPr>
        <w:t> The reply was:</w:t>
      </w:r>
    </w:p>
    <w:p w14:paraId="59AFF635"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4E852605"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Yes, the law imposes a disadvantage on younger spouses in this class.  But it is unlikely to be a substantive disadvantage, viewed in the long term.  The law on its face treats such younger people differently, but the differential treatment does not reflect or promote the notion that they are less capable or less deserving of concern, respect, and consideration, when the dual perspectives of long-term security and the greater opportunity of youth are considered. Nor does the differential treatment perpetuate the view that people in this class are less capable or less worthy of recognition or value as human beings or as members of Canadian society.</w:t>
      </w:r>
      <w:bookmarkStart w:id="13" w:name="_ftnref13"/>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"_ftn13" \o "" </w:instrText>
      </w:r>
      <w:r w:rsidRPr="00B50ADE">
        <w:rPr>
          <w:rFonts w:ascii="Calibri" w:hAnsi="Calibri"/>
          <w:sz w:val="22"/>
          <w:szCs w:val="22"/>
        </w:rPr>
        <w:fldChar w:fldCharType="separate"/>
      </w:r>
      <w:r w:rsidRPr="00B50ADE">
        <w:rPr>
          <w:rStyle w:val="Hyperlink"/>
          <w:rFonts w:ascii="Calibri" w:hAnsi="Calibri"/>
          <w:sz w:val="22"/>
          <w:szCs w:val="22"/>
        </w:rPr>
        <w:t>[13]</w:t>
      </w:r>
      <w:r w:rsidRPr="00B50ADE">
        <w:rPr>
          <w:rFonts w:ascii="Calibri" w:hAnsi="Calibri"/>
          <w:sz w:val="22"/>
          <w:szCs w:val="22"/>
        </w:rPr>
        <w:fldChar w:fldCharType="end"/>
      </w:r>
      <w:bookmarkEnd w:id="13"/>
    </w:p>
    <w:p w14:paraId="65108028"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45115F6A"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The answer to the second question was that this law conformed to the goals of the </w:t>
      </w:r>
      <w:r w:rsidRPr="00B50ADE">
        <w:rPr>
          <w:rFonts w:ascii="Calibri" w:hAnsi="Calibri"/>
          <w:i/>
          <w:iCs/>
          <w:sz w:val="22"/>
          <w:szCs w:val="22"/>
        </w:rPr>
        <w:t>Charter</w:t>
      </w:r>
      <w:r w:rsidRPr="00B50ADE">
        <w:rPr>
          <w:rFonts w:ascii="Calibri" w:hAnsi="Calibri"/>
          <w:sz w:val="22"/>
          <w:szCs w:val="22"/>
        </w:rPr>
        <w:t>. The Court noted that:</w:t>
      </w:r>
    </w:p>
    <w:p w14:paraId="46863A07"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266CF430"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xml:space="preserve">Parliament’s intent in enacting a survivor’s pension scheme with benefits allocated according to age appears to have been to allocate funds to those persons whose ability to overcome need was weakest. The concern was to enhance personal dignity and freedom by ensuring a basic level of long-term financial security to persons whose personal situation makes them unable to achieve this goal, so important to life and dignity. This is a legislative </w:t>
      </w:r>
      <w:proofErr w:type="gramStart"/>
      <w:r w:rsidRPr="00B50ADE">
        <w:rPr>
          <w:rFonts w:ascii="Calibri" w:hAnsi="Calibri"/>
          <w:sz w:val="22"/>
          <w:szCs w:val="22"/>
        </w:rPr>
        <w:t>purpose which</w:t>
      </w:r>
      <w:proofErr w:type="gramEnd"/>
      <w:r w:rsidRPr="00B50ADE">
        <w:rPr>
          <w:rFonts w:ascii="Calibri" w:hAnsi="Calibri"/>
          <w:sz w:val="22"/>
          <w:szCs w:val="22"/>
        </w:rPr>
        <w:t xml:space="preserve"> accords well with the fundamental purposes of s. 15(1) of the </w:t>
      </w:r>
      <w:r w:rsidRPr="00B50ADE">
        <w:rPr>
          <w:rFonts w:ascii="Calibri" w:hAnsi="Calibri"/>
          <w:i/>
          <w:iCs/>
          <w:sz w:val="22"/>
          <w:szCs w:val="22"/>
        </w:rPr>
        <w:t>Charter</w:t>
      </w:r>
      <w:r w:rsidRPr="00B50ADE">
        <w:rPr>
          <w:rFonts w:ascii="Calibri" w:hAnsi="Calibri"/>
          <w:sz w:val="22"/>
          <w:szCs w:val="22"/>
        </w:rPr>
        <w:t>.</w:t>
      </w:r>
      <w:bookmarkStart w:id="14" w:name="_ftnref14"/>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"_ftn14" \o "" </w:instrText>
      </w:r>
      <w:r w:rsidRPr="00B50ADE">
        <w:rPr>
          <w:rFonts w:ascii="Calibri" w:hAnsi="Calibri"/>
          <w:sz w:val="22"/>
          <w:szCs w:val="22"/>
        </w:rPr>
        <w:fldChar w:fldCharType="separate"/>
      </w:r>
      <w:r w:rsidRPr="00B50ADE">
        <w:rPr>
          <w:rStyle w:val="Hyperlink"/>
          <w:rFonts w:ascii="Calibri" w:hAnsi="Calibri"/>
          <w:sz w:val="22"/>
          <w:szCs w:val="22"/>
        </w:rPr>
        <w:t>[14]</w:t>
      </w:r>
      <w:r w:rsidRPr="00B50ADE">
        <w:rPr>
          <w:rFonts w:ascii="Calibri" w:hAnsi="Calibri"/>
          <w:sz w:val="22"/>
          <w:szCs w:val="22"/>
        </w:rPr>
        <w:fldChar w:fldCharType="end"/>
      </w:r>
      <w:bookmarkEnd w:id="14"/>
    </w:p>
    <w:p w14:paraId="3CE0A084"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107AC1F2"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Finally, the answer to the third question was that the law did not perpetuate the view that people under 45 are less capable or less worthy of recognition or value as human beings or as members of Canadian society. The Court’s reasoning was that:</w:t>
      </w:r>
    </w:p>
    <w:p w14:paraId="506F1A29"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514B680B"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xml:space="preserve">Young people are inherently better able to initiate and maintain long-term </w:t>
      </w:r>
      <w:proofErr w:type="spellStart"/>
      <w:r w:rsidRPr="00B50ADE">
        <w:rPr>
          <w:rFonts w:ascii="Calibri" w:hAnsi="Calibri"/>
          <w:sz w:val="22"/>
          <w:szCs w:val="22"/>
        </w:rPr>
        <w:t>labour</w:t>
      </w:r>
      <w:proofErr w:type="spellEnd"/>
      <w:r w:rsidRPr="00B50ADE">
        <w:rPr>
          <w:rFonts w:ascii="Calibri" w:hAnsi="Calibri"/>
          <w:sz w:val="22"/>
          <w:szCs w:val="22"/>
        </w:rPr>
        <w:t xml:space="preserve"> force participation, and as such the impugned CPP provisions cannot be said to impose a discriminatory disadvantage upon them. In such narrow circumstances, where legislation does not demean the dignity of those it excludes in either its purpose or its effects, it is open to the legislature to use age as a proxy for long-term need.</w:t>
      </w:r>
      <w:bookmarkStart w:id="15" w:name="_ftnref15"/>
      <w:r w:rsidRPr="00B50ADE">
        <w:rPr>
          <w:rFonts w:ascii="Calibri" w:hAnsi="Calibri"/>
          <w:sz w:val="22"/>
          <w:szCs w:val="22"/>
        </w:rPr>
        <w:fldChar w:fldCharType="begin"/>
      </w:r>
      <w:r w:rsidRPr="00B50ADE">
        <w:rPr>
          <w:rFonts w:ascii="Calibri" w:hAnsi="Calibri"/>
          <w:sz w:val="22"/>
          <w:szCs w:val="22"/>
        </w:rPr>
        <w:instrText xml:space="preserve"> HYPERLINK "http://www.law.ualberta.ca/centres/ccs/rulings/law.php" \l "_ftn15" \o "" </w:instrText>
      </w:r>
      <w:r w:rsidRPr="00B50ADE">
        <w:rPr>
          <w:rFonts w:ascii="Calibri" w:hAnsi="Calibri"/>
          <w:sz w:val="22"/>
          <w:szCs w:val="22"/>
        </w:rPr>
        <w:fldChar w:fldCharType="separate"/>
      </w:r>
      <w:r w:rsidRPr="00B50ADE">
        <w:rPr>
          <w:rStyle w:val="Hyperlink"/>
          <w:rFonts w:ascii="Calibri" w:hAnsi="Calibri"/>
          <w:sz w:val="22"/>
          <w:szCs w:val="22"/>
        </w:rPr>
        <w:t>[15]</w:t>
      </w:r>
      <w:r w:rsidRPr="00B50ADE">
        <w:rPr>
          <w:rFonts w:ascii="Calibri" w:hAnsi="Calibri"/>
          <w:sz w:val="22"/>
          <w:szCs w:val="22"/>
        </w:rPr>
        <w:fldChar w:fldCharType="end"/>
      </w:r>
      <w:bookmarkEnd w:id="15"/>
    </w:p>
    <w:p w14:paraId="54E33CF8"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 </w:t>
      </w:r>
    </w:p>
    <w:p w14:paraId="2CA6E12B" w14:textId="77777777" w:rsidR="00B50ADE" w:rsidRPr="00B50ADE" w:rsidRDefault="00B50ADE" w:rsidP="00266CAE">
      <w:pPr>
        <w:spacing w:line="360" w:lineRule="auto"/>
        <w:rPr>
          <w:rFonts w:ascii="Calibri" w:hAnsi="Calibri"/>
          <w:sz w:val="22"/>
          <w:szCs w:val="22"/>
        </w:rPr>
      </w:pPr>
      <w:r w:rsidRPr="00B50ADE">
        <w:rPr>
          <w:rFonts w:ascii="Calibri" w:hAnsi="Calibri"/>
          <w:sz w:val="22"/>
          <w:szCs w:val="22"/>
        </w:rPr>
        <w:t>Ms. Law lost her appeal. The Court ruled that while there was discrimination on a plain reading of the legislation, this particular type of discrimination did not offend Ms. Law’s individual human dignity, and in fact that an examination of its purpose showed that the government’s intention was to uphold the human dignity of all Canadians by providing financial assistance to those who needed it. Thus, this particular law did not offend the </w:t>
      </w:r>
      <w:r w:rsidRPr="00B50ADE">
        <w:rPr>
          <w:rFonts w:ascii="Calibri" w:hAnsi="Calibri"/>
          <w:i/>
          <w:iCs/>
          <w:sz w:val="22"/>
          <w:szCs w:val="22"/>
        </w:rPr>
        <w:t>Charter</w:t>
      </w:r>
      <w:r w:rsidRPr="00B50ADE">
        <w:rPr>
          <w:rFonts w:ascii="Calibri" w:hAnsi="Calibri"/>
          <w:sz w:val="22"/>
          <w:szCs w:val="22"/>
        </w:rPr>
        <w:t>. As a result section 1 of the </w:t>
      </w:r>
      <w:r w:rsidRPr="00B50ADE">
        <w:rPr>
          <w:rFonts w:ascii="Calibri" w:hAnsi="Calibri"/>
          <w:i/>
          <w:iCs/>
          <w:sz w:val="22"/>
          <w:szCs w:val="22"/>
        </w:rPr>
        <w:t>Charter</w:t>
      </w:r>
      <w:r w:rsidRPr="00B50ADE">
        <w:rPr>
          <w:rFonts w:ascii="Calibri" w:hAnsi="Calibri"/>
          <w:sz w:val="22"/>
          <w:szCs w:val="22"/>
        </w:rPr>
        <w:t> did not have to be considered.</w:t>
      </w:r>
    </w:p>
    <w:p w14:paraId="1918F7C1" w14:textId="77777777" w:rsidR="00B50ADE" w:rsidRPr="00B50ADE" w:rsidRDefault="00B50ADE" w:rsidP="00266CAE">
      <w:pPr>
        <w:spacing w:line="360" w:lineRule="auto"/>
        <w:rPr>
          <w:rFonts w:ascii="Calibri" w:hAnsi="Calibri"/>
          <w:sz w:val="22"/>
          <w:szCs w:val="22"/>
        </w:rPr>
      </w:pPr>
    </w:p>
    <w:p w14:paraId="6DE56560" w14:textId="77777777" w:rsidR="00B50ADE" w:rsidRPr="00B50ADE" w:rsidRDefault="00B50ADE" w:rsidP="00266CAE">
      <w:pPr>
        <w:spacing w:line="360" w:lineRule="auto"/>
        <w:rPr>
          <w:rFonts w:ascii="Calibri" w:hAnsi="Calibri"/>
          <w:sz w:val="22"/>
          <w:szCs w:val="22"/>
        </w:rPr>
      </w:pPr>
    </w:p>
    <w:sectPr w:rsidR="00B50ADE" w:rsidRPr="00B50ADE" w:rsidSect="003F675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9A52F1"/>
    <w:multiLevelType w:val="multilevel"/>
    <w:tmpl w:val="3C167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61270B6"/>
    <w:multiLevelType w:val="hybridMultilevel"/>
    <w:tmpl w:val="1F160C9A"/>
    <w:lvl w:ilvl="0" w:tplc="59349F7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5AC"/>
    <w:rsid w:val="001B2273"/>
    <w:rsid w:val="00266CAE"/>
    <w:rsid w:val="00273BD3"/>
    <w:rsid w:val="003F675E"/>
    <w:rsid w:val="00521644"/>
    <w:rsid w:val="00870B8B"/>
    <w:rsid w:val="00B50ADE"/>
    <w:rsid w:val="00B935AC"/>
    <w:rsid w:val="00FF12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0EB8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5AC"/>
    <w:pPr>
      <w:ind w:left="720"/>
      <w:contextualSpacing/>
    </w:pPr>
  </w:style>
  <w:style w:type="character" w:styleId="Hyperlink">
    <w:name w:val="Hyperlink"/>
    <w:basedOn w:val="DefaultParagraphFont"/>
    <w:uiPriority w:val="99"/>
    <w:unhideWhenUsed/>
    <w:rsid w:val="00B50AD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5AC"/>
    <w:pPr>
      <w:ind w:left="720"/>
      <w:contextualSpacing/>
    </w:pPr>
  </w:style>
  <w:style w:type="character" w:styleId="Hyperlink">
    <w:name w:val="Hyperlink"/>
    <w:basedOn w:val="DefaultParagraphFont"/>
    <w:uiPriority w:val="99"/>
    <w:unhideWhenUsed/>
    <w:rsid w:val="00B50A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106906">
      <w:bodyDiv w:val="1"/>
      <w:marLeft w:val="0"/>
      <w:marRight w:val="0"/>
      <w:marTop w:val="0"/>
      <w:marBottom w:val="0"/>
      <w:divBdr>
        <w:top w:val="none" w:sz="0" w:space="0" w:color="auto"/>
        <w:left w:val="none" w:sz="0" w:space="0" w:color="auto"/>
        <w:bottom w:val="none" w:sz="0" w:space="0" w:color="auto"/>
        <w:right w:val="none" w:sz="0" w:space="0" w:color="auto"/>
      </w:divBdr>
      <w:divsChild>
        <w:div w:id="1345281391">
          <w:marLeft w:val="720"/>
          <w:marRight w:val="0"/>
          <w:marTop w:val="0"/>
          <w:marBottom w:val="0"/>
          <w:divBdr>
            <w:top w:val="none" w:sz="0" w:space="0" w:color="auto"/>
            <w:left w:val="none" w:sz="0" w:space="0" w:color="auto"/>
            <w:bottom w:val="none" w:sz="0" w:space="0" w:color="auto"/>
            <w:right w:val="none" w:sz="0" w:space="0" w:color="auto"/>
          </w:divBdr>
        </w:div>
        <w:div w:id="363211305">
          <w:marLeft w:val="720"/>
          <w:marRight w:val="0"/>
          <w:marTop w:val="0"/>
          <w:marBottom w:val="0"/>
          <w:divBdr>
            <w:top w:val="none" w:sz="0" w:space="0" w:color="auto"/>
            <w:left w:val="none" w:sz="0" w:space="0" w:color="auto"/>
            <w:bottom w:val="none" w:sz="0" w:space="0" w:color="auto"/>
            <w:right w:val="none" w:sz="0" w:space="0" w:color="auto"/>
          </w:divBdr>
        </w:div>
        <w:div w:id="1239830230">
          <w:marLeft w:val="1440"/>
          <w:marRight w:val="0"/>
          <w:marTop w:val="0"/>
          <w:marBottom w:val="0"/>
          <w:divBdr>
            <w:top w:val="none" w:sz="0" w:space="0" w:color="auto"/>
            <w:left w:val="none" w:sz="0" w:space="0" w:color="auto"/>
            <w:bottom w:val="none" w:sz="0" w:space="0" w:color="auto"/>
            <w:right w:val="none" w:sz="0" w:space="0" w:color="auto"/>
          </w:divBdr>
        </w:div>
        <w:div w:id="2089384071">
          <w:marLeft w:val="1440"/>
          <w:marRight w:val="0"/>
          <w:marTop w:val="0"/>
          <w:marBottom w:val="0"/>
          <w:divBdr>
            <w:top w:val="none" w:sz="0" w:space="0" w:color="auto"/>
            <w:left w:val="none" w:sz="0" w:space="0" w:color="auto"/>
            <w:bottom w:val="none" w:sz="0" w:space="0" w:color="auto"/>
            <w:right w:val="none" w:sz="0" w:space="0" w:color="auto"/>
          </w:divBdr>
        </w:div>
        <w:div w:id="2066566947">
          <w:marLeft w:val="1440"/>
          <w:marRight w:val="0"/>
          <w:marTop w:val="0"/>
          <w:marBottom w:val="0"/>
          <w:divBdr>
            <w:top w:val="none" w:sz="0" w:space="0" w:color="auto"/>
            <w:left w:val="none" w:sz="0" w:space="0" w:color="auto"/>
            <w:bottom w:val="none" w:sz="0" w:space="0" w:color="auto"/>
            <w:right w:val="none" w:sz="0" w:space="0" w:color="auto"/>
          </w:divBdr>
        </w:div>
        <w:div w:id="582449060">
          <w:marLeft w:val="2700"/>
          <w:marRight w:val="0"/>
          <w:marTop w:val="0"/>
          <w:marBottom w:val="0"/>
          <w:divBdr>
            <w:top w:val="none" w:sz="0" w:space="0" w:color="auto"/>
            <w:left w:val="none" w:sz="0" w:space="0" w:color="auto"/>
            <w:bottom w:val="none" w:sz="0" w:space="0" w:color="auto"/>
            <w:right w:val="none" w:sz="0" w:space="0" w:color="auto"/>
          </w:divBdr>
        </w:div>
        <w:div w:id="107624301">
          <w:marLeft w:val="2700"/>
          <w:marRight w:val="0"/>
          <w:marTop w:val="0"/>
          <w:marBottom w:val="0"/>
          <w:divBdr>
            <w:top w:val="none" w:sz="0" w:space="0" w:color="auto"/>
            <w:left w:val="none" w:sz="0" w:space="0" w:color="auto"/>
            <w:bottom w:val="none" w:sz="0" w:space="0" w:color="auto"/>
            <w:right w:val="none" w:sz="0" w:space="0" w:color="auto"/>
          </w:divBdr>
        </w:div>
        <w:div w:id="1464805315">
          <w:marLeft w:val="2700"/>
          <w:marRight w:val="0"/>
          <w:marTop w:val="0"/>
          <w:marBottom w:val="0"/>
          <w:divBdr>
            <w:top w:val="none" w:sz="0" w:space="0" w:color="auto"/>
            <w:left w:val="none" w:sz="0" w:space="0" w:color="auto"/>
            <w:bottom w:val="none" w:sz="0" w:space="0" w:color="auto"/>
            <w:right w:val="none" w:sz="0" w:space="0" w:color="auto"/>
          </w:divBdr>
        </w:div>
        <w:div w:id="788025">
          <w:marLeft w:val="720"/>
          <w:marRight w:val="0"/>
          <w:marTop w:val="0"/>
          <w:marBottom w:val="0"/>
          <w:divBdr>
            <w:top w:val="none" w:sz="0" w:space="0" w:color="auto"/>
            <w:left w:val="none" w:sz="0" w:space="0" w:color="auto"/>
            <w:bottom w:val="none" w:sz="0" w:space="0" w:color="auto"/>
            <w:right w:val="none" w:sz="0" w:space="0" w:color="auto"/>
          </w:divBdr>
        </w:div>
        <w:div w:id="1055740217">
          <w:marLeft w:val="720"/>
          <w:marRight w:val="0"/>
          <w:marTop w:val="0"/>
          <w:marBottom w:val="0"/>
          <w:divBdr>
            <w:top w:val="none" w:sz="0" w:space="0" w:color="auto"/>
            <w:left w:val="none" w:sz="0" w:space="0" w:color="auto"/>
            <w:bottom w:val="none" w:sz="0" w:space="0" w:color="auto"/>
            <w:right w:val="none" w:sz="0" w:space="0" w:color="auto"/>
          </w:divBdr>
        </w:div>
        <w:div w:id="502163547">
          <w:marLeft w:val="720"/>
          <w:marRight w:val="0"/>
          <w:marTop w:val="0"/>
          <w:marBottom w:val="0"/>
          <w:divBdr>
            <w:top w:val="none" w:sz="0" w:space="0" w:color="auto"/>
            <w:left w:val="none" w:sz="0" w:space="0" w:color="auto"/>
            <w:bottom w:val="none" w:sz="0" w:space="0" w:color="auto"/>
            <w:right w:val="none" w:sz="0" w:space="0" w:color="auto"/>
          </w:divBdr>
        </w:div>
      </w:divsChild>
    </w:div>
    <w:div w:id="814759688">
      <w:bodyDiv w:val="1"/>
      <w:marLeft w:val="0"/>
      <w:marRight w:val="0"/>
      <w:marTop w:val="0"/>
      <w:marBottom w:val="0"/>
      <w:divBdr>
        <w:top w:val="none" w:sz="0" w:space="0" w:color="auto"/>
        <w:left w:val="none" w:sz="0" w:space="0" w:color="auto"/>
        <w:bottom w:val="none" w:sz="0" w:space="0" w:color="auto"/>
        <w:right w:val="none" w:sz="0" w:space="0" w:color="auto"/>
      </w:divBdr>
      <w:divsChild>
        <w:div w:id="787748211">
          <w:marLeft w:val="720"/>
          <w:marRight w:val="0"/>
          <w:marTop w:val="0"/>
          <w:marBottom w:val="0"/>
          <w:divBdr>
            <w:top w:val="none" w:sz="0" w:space="0" w:color="auto"/>
            <w:left w:val="none" w:sz="0" w:space="0" w:color="auto"/>
            <w:bottom w:val="none" w:sz="0" w:space="0" w:color="auto"/>
            <w:right w:val="none" w:sz="0" w:space="0" w:color="auto"/>
          </w:divBdr>
        </w:div>
        <w:div w:id="2057074614">
          <w:marLeft w:val="720"/>
          <w:marRight w:val="0"/>
          <w:marTop w:val="0"/>
          <w:marBottom w:val="0"/>
          <w:divBdr>
            <w:top w:val="none" w:sz="0" w:space="0" w:color="auto"/>
            <w:left w:val="none" w:sz="0" w:space="0" w:color="auto"/>
            <w:bottom w:val="none" w:sz="0" w:space="0" w:color="auto"/>
            <w:right w:val="none" w:sz="0" w:space="0" w:color="auto"/>
          </w:divBdr>
        </w:div>
        <w:div w:id="1296911602">
          <w:marLeft w:val="1440"/>
          <w:marRight w:val="0"/>
          <w:marTop w:val="0"/>
          <w:marBottom w:val="0"/>
          <w:divBdr>
            <w:top w:val="none" w:sz="0" w:space="0" w:color="auto"/>
            <w:left w:val="none" w:sz="0" w:space="0" w:color="auto"/>
            <w:bottom w:val="none" w:sz="0" w:space="0" w:color="auto"/>
            <w:right w:val="none" w:sz="0" w:space="0" w:color="auto"/>
          </w:divBdr>
        </w:div>
        <w:div w:id="36703120">
          <w:marLeft w:val="1440"/>
          <w:marRight w:val="0"/>
          <w:marTop w:val="0"/>
          <w:marBottom w:val="0"/>
          <w:divBdr>
            <w:top w:val="none" w:sz="0" w:space="0" w:color="auto"/>
            <w:left w:val="none" w:sz="0" w:space="0" w:color="auto"/>
            <w:bottom w:val="none" w:sz="0" w:space="0" w:color="auto"/>
            <w:right w:val="none" w:sz="0" w:space="0" w:color="auto"/>
          </w:divBdr>
        </w:div>
        <w:div w:id="227151004">
          <w:marLeft w:val="1440"/>
          <w:marRight w:val="0"/>
          <w:marTop w:val="0"/>
          <w:marBottom w:val="0"/>
          <w:divBdr>
            <w:top w:val="none" w:sz="0" w:space="0" w:color="auto"/>
            <w:left w:val="none" w:sz="0" w:space="0" w:color="auto"/>
            <w:bottom w:val="none" w:sz="0" w:space="0" w:color="auto"/>
            <w:right w:val="none" w:sz="0" w:space="0" w:color="auto"/>
          </w:divBdr>
        </w:div>
        <w:div w:id="1244754882">
          <w:marLeft w:val="2700"/>
          <w:marRight w:val="0"/>
          <w:marTop w:val="0"/>
          <w:marBottom w:val="0"/>
          <w:divBdr>
            <w:top w:val="none" w:sz="0" w:space="0" w:color="auto"/>
            <w:left w:val="none" w:sz="0" w:space="0" w:color="auto"/>
            <w:bottom w:val="none" w:sz="0" w:space="0" w:color="auto"/>
            <w:right w:val="none" w:sz="0" w:space="0" w:color="auto"/>
          </w:divBdr>
        </w:div>
        <w:div w:id="295067896">
          <w:marLeft w:val="2700"/>
          <w:marRight w:val="0"/>
          <w:marTop w:val="0"/>
          <w:marBottom w:val="0"/>
          <w:divBdr>
            <w:top w:val="none" w:sz="0" w:space="0" w:color="auto"/>
            <w:left w:val="none" w:sz="0" w:space="0" w:color="auto"/>
            <w:bottom w:val="none" w:sz="0" w:space="0" w:color="auto"/>
            <w:right w:val="none" w:sz="0" w:space="0" w:color="auto"/>
          </w:divBdr>
        </w:div>
        <w:div w:id="584456100">
          <w:marLeft w:val="2700"/>
          <w:marRight w:val="0"/>
          <w:marTop w:val="0"/>
          <w:marBottom w:val="0"/>
          <w:divBdr>
            <w:top w:val="none" w:sz="0" w:space="0" w:color="auto"/>
            <w:left w:val="none" w:sz="0" w:space="0" w:color="auto"/>
            <w:bottom w:val="none" w:sz="0" w:space="0" w:color="auto"/>
            <w:right w:val="none" w:sz="0" w:space="0" w:color="auto"/>
          </w:divBdr>
        </w:div>
        <w:div w:id="189299225">
          <w:marLeft w:val="720"/>
          <w:marRight w:val="0"/>
          <w:marTop w:val="0"/>
          <w:marBottom w:val="0"/>
          <w:divBdr>
            <w:top w:val="none" w:sz="0" w:space="0" w:color="auto"/>
            <w:left w:val="none" w:sz="0" w:space="0" w:color="auto"/>
            <w:bottom w:val="none" w:sz="0" w:space="0" w:color="auto"/>
            <w:right w:val="none" w:sz="0" w:space="0" w:color="auto"/>
          </w:divBdr>
        </w:div>
        <w:div w:id="1002247086">
          <w:marLeft w:val="720"/>
          <w:marRight w:val="0"/>
          <w:marTop w:val="0"/>
          <w:marBottom w:val="0"/>
          <w:divBdr>
            <w:top w:val="none" w:sz="0" w:space="0" w:color="auto"/>
            <w:left w:val="none" w:sz="0" w:space="0" w:color="auto"/>
            <w:bottom w:val="none" w:sz="0" w:space="0" w:color="auto"/>
            <w:right w:val="none" w:sz="0" w:space="0" w:color="auto"/>
          </w:divBdr>
        </w:div>
        <w:div w:id="2127045449">
          <w:marLeft w:val="720"/>
          <w:marRight w:val="0"/>
          <w:marTop w:val="0"/>
          <w:marBottom w:val="0"/>
          <w:divBdr>
            <w:top w:val="none" w:sz="0" w:space="0" w:color="auto"/>
            <w:left w:val="none" w:sz="0" w:space="0" w:color="auto"/>
            <w:bottom w:val="none" w:sz="0" w:space="0" w:color="auto"/>
            <w:right w:val="none" w:sz="0" w:space="0" w:color="auto"/>
          </w:divBdr>
        </w:div>
      </w:divsChild>
    </w:div>
    <w:div w:id="1792286764">
      <w:bodyDiv w:val="1"/>
      <w:marLeft w:val="0"/>
      <w:marRight w:val="0"/>
      <w:marTop w:val="0"/>
      <w:marBottom w:val="0"/>
      <w:divBdr>
        <w:top w:val="none" w:sz="0" w:space="0" w:color="auto"/>
        <w:left w:val="none" w:sz="0" w:space="0" w:color="auto"/>
        <w:bottom w:val="none" w:sz="0" w:space="0" w:color="auto"/>
        <w:right w:val="none" w:sz="0" w:space="0" w:color="auto"/>
      </w:divBdr>
    </w:div>
    <w:div w:id="20321434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1941</Words>
  <Characters>11067</Characters>
  <Application>Microsoft Macintosh Word</Application>
  <DocSecurity>0</DocSecurity>
  <Lines>92</Lines>
  <Paragraphs>25</Paragraphs>
  <ScaleCrop>false</ScaleCrop>
  <Company/>
  <LinksUpToDate>false</LinksUpToDate>
  <CharactersWithSpaces>12983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c:creator>
  <cp:keywords/>
  <dc:description/>
  <cp:lastModifiedBy>S</cp:lastModifiedBy>
  <cp:revision>3</cp:revision>
  <dcterms:created xsi:type="dcterms:W3CDTF">2012-10-29T22:22:00Z</dcterms:created>
  <dcterms:modified xsi:type="dcterms:W3CDTF">2012-12-14T00:34:00Z</dcterms:modified>
</cp:coreProperties>
</file>