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5161" w:rsidRDefault="00405161">
      <w:r>
        <w:t>Class 4 notes – Policy theory!!</w:t>
      </w:r>
      <w:bookmarkStart w:id="0" w:name="_GoBack"/>
      <w:bookmarkEnd w:id="0"/>
    </w:p>
    <w:p w:rsidR="00405161" w:rsidRDefault="00405161"/>
    <w:p w:rsidR="00363DA4" w:rsidRDefault="002E77E8">
      <w:r w:rsidRPr="00363DA4">
        <w:drawing>
          <wp:anchor distT="0" distB="0" distL="114300" distR="114300" simplePos="0" relativeHeight="251658240" behindDoc="0" locked="0" layoutInCell="1" allowOverlap="1" wp14:anchorId="48EC3126" wp14:editId="282649CF">
            <wp:simplePos x="0" y="0"/>
            <wp:positionH relativeFrom="column">
              <wp:posOffset>4019550</wp:posOffset>
            </wp:positionH>
            <wp:positionV relativeFrom="paragraph">
              <wp:posOffset>-114300</wp:posOffset>
            </wp:positionV>
            <wp:extent cx="1990725" cy="1533525"/>
            <wp:effectExtent l="0" t="0" r="9525" b="9525"/>
            <wp:wrapSquare wrapText="bothSides"/>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14:sizeRelH relativeFrom="page">
              <wp14:pctWidth>0</wp14:pctWidth>
            </wp14:sizeRelH>
            <wp14:sizeRelV relativeFrom="page">
              <wp14:pctHeight>0</wp14:pctHeight>
            </wp14:sizeRelV>
          </wp:anchor>
        </w:drawing>
      </w:r>
      <w:r w:rsidR="00363DA4">
        <w:t xml:space="preserve">Policy Content – includes Problem definition, policy instrument and policy goals </w:t>
      </w:r>
    </w:p>
    <w:p w:rsidR="00C20A01" w:rsidRDefault="00363DA4" w:rsidP="00363DA4">
      <w:r>
        <w:t xml:space="preserve">Problem Definition - </w:t>
      </w:r>
      <w:r w:rsidRPr="00363DA4">
        <w:rPr>
          <w:b/>
        </w:rPr>
        <w:t>Problem definition is likely the most important aspect of policy content</w:t>
      </w:r>
      <w:r>
        <w:t xml:space="preserve"> </w:t>
      </w:r>
      <w:r w:rsidRPr="00363DA4">
        <w:t>“Problem structuring is a central guidance system or steering mechanism that affects the success of all subsequent phases of policy analysis.  Regrettably, policy analysts seem to fail more often because they solve the wrong problem than because they get the solution to the right problem.” (Dunn 2008)</w:t>
      </w:r>
    </w:p>
    <w:p w:rsidR="002E77E8" w:rsidRDefault="002E77E8" w:rsidP="00363DA4">
      <w:proofErr w:type="gramStart"/>
      <w:r w:rsidRPr="002E77E8">
        <w:rPr>
          <w:b/>
        </w:rPr>
        <w:t>policy</w:t>
      </w:r>
      <w:proofErr w:type="gramEnd"/>
      <w:r w:rsidRPr="002E77E8">
        <w:rPr>
          <w:b/>
        </w:rPr>
        <w:t xml:space="preserve"> problem</w:t>
      </w:r>
      <w:r>
        <w:rPr>
          <w:b/>
        </w:rPr>
        <w:t xml:space="preserve"> -</w:t>
      </w:r>
      <w:r w:rsidRPr="002E77E8">
        <w:t xml:space="preserve"> a “substantial discrepancy between what is an what should be.”</w:t>
      </w:r>
      <w:r w:rsidRPr="002E77E8">
        <w:rPr>
          <w:b/>
        </w:rPr>
        <w:t xml:space="preserve"> (Derry)</w:t>
      </w:r>
      <w:proofErr w:type="gramStart"/>
      <w:r>
        <w:rPr>
          <w:b/>
        </w:rPr>
        <w:t xml:space="preserve">, </w:t>
      </w:r>
      <w:r>
        <w:t xml:space="preserve"> includes</w:t>
      </w:r>
      <w:proofErr w:type="gramEnd"/>
      <w:r>
        <w:t xml:space="preserve"> three components: reality, the desired state of affairs and a gap between them.</w:t>
      </w:r>
    </w:p>
    <w:p w:rsidR="00000000" w:rsidRDefault="002E77E8" w:rsidP="002E77E8">
      <w:pPr>
        <w:tabs>
          <w:tab w:val="num" w:pos="1440"/>
          <w:tab w:val="num" w:pos="2160"/>
        </w:tabs>
      </w:pPr>
      <w:r w:rsidRPr="002E77E8">
        <w:rPr>
          <w:b/>
        </w:rPr>
        <w:t>Policy problems as a spectrum</w:t>
      </w:r>
      <w:r>
        <w:t xml:space="preserve"> -  </w:t>
      </w:r>
      <w:r w:rsidR="00405161" w:rsidRPr="002E77E8">
        <w:t>Pal (2010) suggests that we can think about problems as residing on a spectrum, ranging from invisible to obvious:</w:t>
      </w:r>
      <w:r>
        <w:t xml:space="preserve"> </w:t>
      </w:r>
      <w:r w:rsidR="00405161" w:rsidRPr="002E77E8">
        <w:rPr>
          <w:b/>
        </w:rPr>
        <w:t>When a problem is invisible</w:t>
      </w:r>
      <w:r w:rsidR="00405161" w:rsidRPr="002E77E8">
        <w:t xml:space="preserve">, it often takes an </w:t>
      </w:r>
      <w:r w:rsidR="00405161" w:rsidRPr="002E77E8">
        <w:rPr>
          <w:b/>
        </w:rPr>
        <w:t xml:space="preserve">‘external shock’ </w:t>
      </w:r>
      <w:r w:rsidR="00405161" w:rsidRPr="002E77E8">
        <w:t>of some kind to</w:t>
      </w:r>
      <w:r>
        <w:t xml:space="preserve"> bring it into policy discourse. </w:t>
      </w:r>
      <w:r w:rsidR="00405161" w:rsidRPr="002E77E8">
        <w:rPr>
          <w:b/>
        </w:rPr>
        <w:t>When a problem</w:t>
      </w:r>
      <w:r w:rsidR="00405161" w:rsidRPr="002E77E8">
        <w:rPr>
          <w:b/>
        </w:rPr>
        <w:t xml:space="preserve"> is obvious</w:t>
      </w:r>
      <w:r w:rsidR="00405161" w:rsidRPr="002E77E8">
        <w:t>, it is likely so well-defined that responses are obvious and uncontroversial</w:t>
      </w:r>
      <w:r>
        <w:t xml:space="preserve"> …. In</w:t>
      </w:r>
      <w:r w:rsidR="00405161" w:rsidRPr="002E77E8">
        <w:t xml:space="preserve"> most cases</w:t>
      </w:r>
      <w:r w:rsidR="00405161" w:rsidRPr="002E77E8">
        <w:t>, a policy problem resides somewhere in the middle of this spectrum</w:t>
      </w:r>
    </w:p>
    <w:p w:rsidR="002E77E8" w:rsidRDefault="002E77E8" w:rsidP="00F362E1">
      <w:pPr>
        <w:tabs>
          <w:tab w:val="num" w:pos="1440"/>
          <w:tab w:val="num" w:pos="2160"/>
        </w:tabs>
      </w:pPr>
      <w:r w:rsidRPr="00F362E1">
        <w:rPr>
          <w:b/>
          <w:u w:val="single"/>
        </w:rPr>
        <w:t>Approaching problems from the perspective of an analyst</w:t>
      </w:r>
      <w:r>
        <w:t xml:space="preserve"> – </w:t>
      </w:r>
      <w:r w:rsidRPr="00F362E1">
        <w:rPr>
          <w:b/>
        </w:rPr>
        <w:t>traditionally:</w:t>
      </w:r>
      <w:r>
        <w:t xml:space="preserve"> </w:t>
      </w:r>
      <w:r w:rsidR="00F362E1">
        <w:t xml:space="preserve">focused on getting policy right and avoiding mistakes. … </w:t>
      </w:r>
      <w:r w:rsidR="00F362E1" w:rsidRPr="00F362E1">
        <w:rPr>
          <w:b/>
        </w:rPr>
        <w:t>Today,</w:t>
      </w:r>
      <w:r w:rsidR="00F362E1" w:rsidRPr="00F362E1">
        <w:t xml:space="preserve"> it is increasingly more popular amongst policy analysts to think of a problem in terms of representation – thank you </w:t>
      </w:r>
      <w:r w:rsidR="00F362E1" w:rsidRPr="00F362E1">
        <w:rPr>
          <w:b/>
        </w:rPr>
        <w:t>constructivism</w:t>
      </w:r>
      <w:r w:rsidR="00F362E1">
        <w:rPr>
          <w:b/>
        </w:rPr>
        <w:t xml:space="preserve">. …. For Pal: </w:t>
      </w:r>
      <w:r w:rsidR="00F362E1" w:rsidRPr="00F362E1">
        <w:t>the reality is that problems are usually defined by a mix of ‘epistemological variety’ and ‘political reality.’ Points of view (interests, values, power, etc...) Facts on the ground (the objective facts, the structure, etc...)</w:t>
      </w:r>
    </w:p>
    <w:p w:rsidR="00F362E1" w:rsidRDefault="00F362E1" w:rsidP="00F362E1">
      <w:pPr>
        <w:tabs>
          <w:tab w:val="num" w:pos="1440"/>
          <w:tab w:val="num" w:pos="2160"/>
        </w:tabs>
      </w:pPr>
      <w:r w:rsidRPr="00F362E1">
        <w:rPr>
          <w:b/>
        </w:rPr>
        <w:t>What are ‘facts on the ground’?</w:t>
      </w:r>
      <w:r>
        <w:rPr>
          <w:b/>
        </w:rPr>
        <w:t xml:space="preserve"> - </w:t>
      </w:r>
      <w:r w:rsidRPr="00F362E1">
        <w:t xml:space="preserve">For </w:t>
      </w:r>
      <w:proofErr w:type="spellStart"/>
      <w:r w:rsidRPr="00F362E1">
        <w:t>Kingdon</w:t>
      </w:r>
      <w:proofErr w:type="spellEnd"/>
      <w:r w:rsidRPr="00F362E1">
        <w:t xml:space="preserve"> (1995), they come in the form of indicators, of which there are two </w:t>
      </w:r>
      <w:proofErr w:type="spellStart"/>
      <w:r w:rsidRPr="00F362E1">
        <w:t>types</w:t>
      </w:r>
      <w:proofErr w:type="gramStart"/>
      <w:r w:rsidRPr="00F362E1">
        <w:t>:</w:t>
      </w:r>
      <w:r w:rsidRPr="00F362E1">
        <w:rPr>
          <w:b/>
        </w:rPr>
        <w:t>Routine</w:t>
      </w:r>
      <w:proofErr w:type="spellEnd"/>
      <w:proofErr w:type="gramEnd"/>
      <w:r w:rsidRPr="00F362E1">
        <w:rPr>
          <w:b/>
        </w:rPr>
        <w:t xml:space="preserve"> indicators</w:t>
      </w:r>
      <w:r>
        <w:rPr>
          <w:b/>
        </w:rPr>
        <w:t xml:space="preserve"> </w:t>
      </w:r>
      <w:r w:rsidRPr="00F362E1">
        <w:t xml:space="preserve">ex. government statistics </w:t>
      </w:r>
      <w:r>
        <w:t xml:space="preserve">and </w:t>
      </w:r>
      <w:r w:rsidRPr="00F362E1">
        <w:rPr>
          <w:b/>
        </w:rPr>
        <w:t>Focusing events</w:t>
      </w:r>
      <w:r>
        <w:rPr>
          <w:b/>
        </w:rPr>
        <w:t xml:space="preserve"> </w:t>
      </w:r>
      <w:r w:rsidRPr="00F362E1">
        <w:t xml:space="preserve">ex. Important externalities/crises that draw our attention to an issue, like </w:t>
      </w:r>
      <w:proofErr w:type="spellStart"/>
      <w:r w:rsidRPr="00F362E1">
        <w:t>Sars</w:t>
      </w:r>
      <w:proofErr w:type="spellEnd"/>
      <w:r w:rsidRPr="00F362E1">
        <w:t xml:space="preserve"> or Hurricane Katrina</w:t>
      </w:r>
    </w:p>
    <w:p w:rsidR="00F362E1" w:rsidRDefault="00F362E1" w:rsidP="00F362E1">
      <w:pPr>
        <w:tabs>
          <w:tab w:val="num" w:pos="1440"/>
          <w:tab w:val="num" w:pos="2160"/>
        </w:tabs>
      </w:pPr>
      <w:r w:rsidRPr="00F362E1">
        <w:rPr>
          <w:b/>
        </w:rPr>
        <w:t>Once a problem is identified, what do we do?</w:t>
      </w:r>
      <w:r>
        <w:rPr>
          <w:b/>
        </w:rPr>
        <w:t xml:space="preserve"> </w:t>
      </w:r>
      <w:r w:rsidRPr="00F362E1">
        <w:t>The process of problem definition or structuring begins by recognizing a problem, and proceeds by asking three general questions:</w:t>
      </w:r>
      <w:r>
        <w:t xml:space="preserve"> </w:t>
      </w:r>
      <w:r w:rsidRPr="00F362E1">
        <w:rPr>
          <w:b/>
        </w:rPr>
        <w:t>What is the relationship between the indicator and the phenomenon it is representing?</w:t>
      </w:r>
      <w:r>
        <w:rPr>
          <w:b/>
        </w:rPr>
        <w:t xml:space="preserve"> </w:t>
      </w:r>
      <w:r w:rsidRPr="00F362E1">
        <w:t>Indicators about poverty may point to different policy issues, thus it is important to specifically identify the related policy issue</w:t>
      </w:r>
      <w:r>
        <w:t xml:space="preserve"> … </w:t>
      </w:r>
      <w:r w:rsidRPr="00F362E1">
        <w:rPr>
          <w:b/>
        </w:rPr>
        <w:t>Why did the problem occur?</w:t>
      </w:r>
      <w:r>
        <w:rPr>
          <w:b/>
        </w:rPr>
        <w:t xml:space="preserve"> </w:t>
      </w:r>
      <w:r w:rsidRPr="00F362E1">
        <w:t>Using the indicator to identify a causal relationship between it and the policy issue</w:t>
      </w:r>
      <w:r>
        <w:t xml:space="preserve">… </w:t>
      </w:r>
      <w:r w:rsidRPr="00F362E1">
        <w:rPr>
          <w:b/>
        </w:rPr>
        <w:t>What action should be taken?</w:t>
      </w:r>
      <w:r>
        <w:rPr>
          <w:b/>
        </w:rPr>
        <w:t xml:space="preserve"> </w:t>
      </w:r>
      <w:r w:rsidRPr="00F362E1">
        <w:t>Finding a solution that addresses the causal relationship</w:t>
      </w:r>
      <w:r>
        <w:t xml:space="preserve">… </w:t>
      </w:r>
    </w:p>
    <w:p w:rsidR="00F362E1" w:rsidRDefault="00F362E1" w:rsidP="00F362E1">
      <w:pPr>
        <w:tabs>
          <w:tab w:val="num" w:pos="1440"/>
          <w:tab w:val="num" w:pos="2160"/>
        </w:tabs>
      </w:pPr>
      <w:r w:rsidRPr="00F362E1">
        <w:rPr>
          <w:b/>
        </w:rPr>
        <w:t>BUT</w:t>
      </w:r>
      <w:r>
        <w:t xml:space="preserve"> … because of lack of wide-spread </w:t>
      </w:r>
      <w:proofErr w:type="spellStart"/>
      <w:r>
        <w:t>technicial</w:t>
      </w:r>
      <w:proofErr w:type="spellEnd"/>
      <w:r>
        <w:t xml:space="preserve"> </w:t>
      </w:r>
      <w:proofErr w:type="spellStart"/>
      <w:r>
        <w:t>skils</w:t>
      </w:r>
      <w:proofErr w:type="spellEnd"/>
      <w:r w:rsidRPr="00F362E1">
        <w:rPr>
          <w:b/>
        </w:rPr>
        <w:t>, policy problems are usually defined by specialists</w:t>
      </w:r>
      <w:r>
        <w:t xml:space="preserve">, who create a </w:t>
      </w:r>
      <w:r w:rsidRPr="00F362E1">
        <w:rPr>
          <w:b/>
        </w:rPr>
        <w:t xml:space="preserve">policy image </w:t>
      </w:r>
      <w:r>
        <w:t>… a mix of data and emotive appeal … “</w:t>
      </w:r>
      <w:r w:rsidRPr="00F362E1">
        <w:t>The key here is to make a persuasive argument that the problem effects the public in a specific way and that the government can and should do something about it</w:t>
      </w:r>
      <w:r>
        <w:t>”</w:t>
      </w:r>
    </w:p>
    <w:p w:rsidR="00F362E1" w:rsidRPr="00F362E1" w:rsidRDefault="00F362E1" w:rsidP="00F362E1">
      <w:pPr>
        <w:tabs>
          <w:tab w:val="num" w:pos="1440"/>
          <w:tab w:val="num" w:pos="2160"/>
        </w:tabs>
        <w:rPr>
          <w:b/>
        </w:rPr>
      </w:pPr>
      <w:r w:rsidRPr="00F362E1">
        <w:rPr>
          <w:b/>
        </w:rPr>
        <w:lastRenderedPageBreak/>
        <w:t xml:space="preserve">Constructing policy images </w:t>
      </w:r>
    </w:p>
    <w:p w:rsidR="00000000" w:rsidRDefault="00F362E1" w:rsidP="00F362E1">
      <w:pPr>
        <w:tabs>
          <w:tab w:val="num" w:pos="1440"/>
          <w:tab w:val="num" w:pos="2160"/>
        </w:tabs>
      </w:pPr>
      <w:r w:rsidRPr="00F362E1">
        <w:rPr>
          <w:b/>
        </w:rPr>
        <w:t>Framing!!!!</w:t>
      </w:r>
      <w:r>
        <w:t xml:space="preserve"> </w:t>
      </w:r>
      <w:r w:rsidR="00405161" w:rsidRPr="00F362E1">
        <w:t>Issue framing has two dimensions:</w:t>
      </w:r>
      <w:r>
        <w:t xml:space="preserve"> </w:t>
      </w:r>
      <w:r w:rsidR="00405161" w:rsidRPr="00F362E1">
        <w:rPr>
          <w:u w:val="single"/>
        </w:rPr>
        <w:t>An analytical dimension</w:t>
      </w:r>
      <w:r w:rsidR="00405161" w:rsidRPr="00F362E1">
        <w:t xml:space="preserve">, whereby </w:t>
      </w:r>
      <w:r w:rsidR="00405161" w:rsidRPr="00F362E1">
        <w:t>logical or empirical elements of a problem are brought together to make an argument or claim</w:t>
      </w:r>
      <w:r>
        <w:t xml:space="preserve"> … </w:t>
      </w:r>
      <w:r w:rsidR="00405161" w:rsidRPr="00F362E1">
        <w:rPr>
          <w:u w:val="single"/>
        </w:rPr>
        <w:t xml:space="preserve">A </w:t>
      </w:r>
      <w:r w:rsidR="00405161" w:rsidRPr="00F362E1">
        <w:rPr>
          <w:u w:val="single"/>
        </w:rPr>
        <w:t>rhetorical dimension</w:t>
      </w:r>
      <w:r w:rsidR="00405161" w:rsidRPr="00F362E1">
        <w:t>, whereby analytical statements are less important than the language used to describe the problem</w:t>
      </w:r>
      <w:r>
        <w:t xml:space="preserve"> … includes: </w:t>
      </w:r>
      <w:r w:rsidR="00405161" w:rsidRPr="00F362E1">
        <w:t>Labels, that convey subtle and powerful meanings (ex. axis of evil)</w:t>
      </w:r>
      <w:r>
        <w:t xml:space="preserve">, </w:t>
      </w:r>
      <w:r w:rsidR="00405161" w:rsidRPr="00F362E1">
        <w:t>Metaphors, which express analogies (ex. iron curtain)</w:t>
      </w:r>
    </w:p>
    <w:p w:rsidR="00F362E1" w:rsidRDefault="00405161" w:rsidP="00F362E1">
      <w:pPr>
        <w:tabs>
          <w:tab w:val="num" w:pos="1440"/>
          <w:tab w:val="num" w:pos="2160"/>
        </w:tabs>
        <w:rPr>
          <w:b/>
        </w:rPr>
      </w:pPr>
      <w:r>
        <w:t xml:space="preserve">… </w:t>
      </w:r>
      <w:proofErr w:type="gramStart"/>
      <w:r>
        <w:t>But  …</w:t>
      </w:r>
      <w:proofErr w:type="gramEnd"/>
      <w:r>
        <w:t xml:space="preserve"> </w:t>
      </w:r>
      <w:r w:rsidRPr="00405161">
        <w:t xml:space="preserve">Policy images are only successful insofar as they respond to what </w:t>
      </w:r>
      <w:proofErr w:type="spellStart"/>
      <w:r w:rsidRPr="00405161">
        <w:t>Kingdon</w:t>
      </w:r>
      <w:proofErr w:type="spellEnd"/>
      <w:r w:rsidRPr="00405161">
        <w:t xml:space="preserve"> (1995) refers to as </w:t>
      </w:r>
      <w:r w:rsidRPr="00405161">
        <w:rPr>
          <w:b/>
        </w:rPr>
        <w:t>the ‘national mood,’</w:t>
      </w:r>
    </w:p>
    <w:p w:rsidR="00405161" w:rsidRDefault="00405161" w:rsidP="00405161">
      <w:pPr>
        <w:tabs>
          <w:tab w:val="num" w:pos="1440"/>
          <w:tab w:val="num" w:pos="2160"/>
        </w:tabs>
      </w:pPr>
      <w:r w:rsidRPr="00405161">
        <w:t>For this reason ...</w:t>
      </w:r>
      <w:r>
        <w:t xml:space="preserve"> </w:t>
      </w:r>
      <w:r w:rsidRPr="00405161">
        <w:t>... we can think of policy issues as emerging because of a combination of contextual and actor-oriented factors</w:t>
      </w:r>
      <w:r>
        <w:t xml:space="preserve">: </w:t>
      </w:r>
    </w:p>
    <w:p w:rsidR="00405161" w:rsidRPr="00405161" w:rsidRDefault="00405161" w:rsidP="00405161">
      <w:pPr>
        <w:tabs>
          <w:tab w:val="num" w:pos="1440"/>
          <w:tab w:val="num" w:pos="2160"/>
        </w:tabs>
      </w:pPr>
      <w:r w:rsidRPr="00405161">
        <w:rPr>
          <w:b/>
        </w:rPr>
        <w:t>Policy Windows:</w:t>
      </w:r>
      <w:r w:rsidRPr="00405161">
        <w:t xml:space="preserve"> unpredictable openings in the policy process that create the possibility for influence over the direction and outcome of that process</w:t>
      </w:r>
      <w:r>
        <w:t xml:space="preserve"> … </w:t>
      </w:r>
      <w:r w:rsidRPr="00405161">
        <w:t>Ex. 1995 Quebec referendum</w:t>
      </w:r>
    </w:p>
    <w:p w:rsidR="00405161" w:rsidRDefault="00405161" w:rsidP="00405161">
      <w:pPr>
        <w:tabs>
          <w:tab w:val="num" w:pos="1440"/>
          <w:tab w:val="num" w:pos="2160"/>
        </w:tabs>
      </w:pPr>
      <w:r w:rsidRPr="00405161">
        <w:rPr>
          <w:b/>
        </w:rPr>
        <w:t xml:space="preserve">Policy entrepreneurs: </w:t>
      </w:r>
      <w:r w:rsidRPr="00405161">
        <w:t xml:space="preserve">actors who shape the public agenda and can quickly and effectively mobilize around a policy issue when they see or sense </w:t>
      </w:r>
      <w:proofErr w:type="gramStart"/>
      <w:r w:rsidRPr="00405161">
        <w:t>opportunity</w:t>
      </w:r>
      <w:r>
        <w:t xml:space="preserve">  …</w:t>
      </w:r>
      <w:proofErr w:type="gramEnd"/>
      <w:r>
        <w:t xml:space="preserve"> </w:t>
      </w:r>
      <w:r w:rsidRPr="00405161">
        <w:t xml:space="preserve">Ex. </w:t>
      </w:r>
      <w:r>
        <w:t>CARFAC</w:t>
      </w:r>
    </w:p>
    <w:p w:rsidR="00405161" w:rsidRPr="00405161" w:rsidRDefault="00405161" w:rsidP="00405161">
      <w:pPr>
        <w:tabs>
          <w:tab w:val="num" w:pos="1440"/>
          <w:tab w:val="num" w:pos="2160"/>
        </w:tabs>
      </w:pPr>
      <w:r w:rsidRPr="00405161">
        <w:t>Some ways of conceptualizing the emergence of policy problems include:</w:t>
      </w:r>
    </w:p>
    <w:p w:rsidR="00405161" w:rsidRDefault="00405161" w:rsidP="00405161">
      <w:pPr>
        <w:tabs>
          <w:tab w:val="num" w:pos="1440"/>
          <w:tab w:val="num" w:pos="2160"/>
        </w:tabs>
      </w:pPr>
      <w:r w:rsidRPr="00405161">
        <w:rPr>
          <w:b/>
        </w:rPr>
        <w:t>Issue attention cycle:</w:t>
      </w:r>
      <w:r w:rsidRPr="00405161">
        <w:t xml:space="preserve"> a portrayal of</w:t>
      </w:r>
      <w:r w:rsidRPr="00405161">
        <w:t xml:space="preserve"> public policy that going through cycles of attention, reaction and action, and quietude</w:t>
      </w:r>
      <w:r>
        <w:t xml:space="preserve"> … </w:t>
      </w:r>
      <w:r w:rsidRPr="00405161">
        <w:t>Ex. The environment</w:t>
      </w:r>
    </w:p>
    <w:p w:rsidR="00000000" w:rsidRDefault="00405161" w:rsidP="00405161">
      <w:pPr>
        <w:tabs>
          <w:tab w:val="num" w:pos="1440"/>
          <w:tab w:val="num" w:pos="2160"/>
        </w:tabs>
      </w:pPr>
      <w:r w:rsidRPr="00405161">
        <w:rPr>
          <w:b/>
        </w:rPr>
        <w:t>Punctuated equilibrium:</w:t>
      </w:r>
      <w:r w:rsidRPr="00405161">
        <w:t xml:space="preserve"> a process that simultaneously combines long stable periods of policy consensus followed by bursts of change around new policy images</w:t>
      </w:r>
      <w:r>
        <w:t xml:space="preserve"> ….. E</w:t>
      </w:r>
      <w:r w:rsidRPr="00405161">
        <w:t>x. Gay marriage</w:t>
      </w:r>
    </w:p>
    <w:p w:rsidR="00405161" w:rsidRPr="00405161" w:rsidRDefault="00405161" w:rsidP="00405161">
      <w:pPr>
        <w:tabs>
          <w:tab w:val="num" w:pos="1440"/>
          <w:tab w:val="num" w:pos="2160"/>
        </w:tabs>
      </w:pPr>
    </w:p>
    <w:p w:rsidR="00F362E1" w:rsidRPr="00F362E1" w:rsidRDefault="00F362E1" w:rsidP="00F362E1">
      <w:pPr>
        <w:tabs>
          <w:tab w:val="num" w:pos="1440"/>
          <w:tab w:val="num" w:pos="2160"/>
        </w:tabs>
      </w:pPr>
    </w:p>
    <w:p w:rsidR="00F362E1" w:rsidRDefault="00F362E1" w:rsidP="00F362E1">
      <w:pPr>
        <w:tabs>
          <w:tab w:val="num" w:pos="1440"/>
          <w:tab w:val="num" w:pos="2160"/>
        </w:tabs>
      </w:pPr>
    </w:p>
    <w:p w:rsidR="00F362E1" w:rsidRPr="00F362E1" w:rsidRDefault="00F362E1" w:rsidP="00F362E1">
      <w:pPr>
        <w:tabs>
          <w:tab w:val="num" w:pos="1440"/>
          <w:tab w:val="num" w:pos="2160"/>
        </w:tabs>
      </w:pPr>
    </w:p>
    <w:p w:rsidR="002E77E8" w:rsidRPr="00F362E1" w:rsidRDefault="002E77E8" w:rsidP="00363DA4"/>
    <w:sectPr w:rsidR="002E77E8" w:rsidRPr="00F362E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930499"/>
    <w:multiLevelType w:val="hybridMultilevel"/>
    <w:tmpl w:val="01C2EA4A"/>
    <w:lvl w:ilvl="0" w:tplc="A7FC0CBE">
      <w:start w:val="1"/>
      <w:numFmt w:val="bullet"/>
      <w:lvlText w:val="•"/>
      <w:lvlJc w:val="left"/>
      <w:pPr>
        <w:tabs>
          <w:tab w:val="num" w:pos="720"/>
        </w:tabs>
        <w:ind w:left="720" w:hanging="360"/>
      </w:pPr>
      <w:rPr>
        <w:rFonts w:ascii="Arial" w:hAnsi="Arial" w:hint="default"/>
      </w:rPr>
    </w:lvl>
    <w:lvl w:ilvl="1" w:tplc="46C2E55A">
      <w:start w:val="3432"/>
      <w:numFmt w:val="bullet"/>
      <w:lvlText w:val="–"/>
      <w:lvlJc w:val="left"/>
      <w:pPr>
        <w:tabs>
          <w:tab w:val="num" w:pos="1440"/>
        </w:tabs>
        <w:ind w:left="1440" w:hanging="360"/>
      </w:pPr>
      <w:rPr>
        <w:rFonts w:ascii="Arial" w:hAnsi="Arial" w:hint="default"/>
      </w:rPr>
    </w:lvl>
    <w:lvl w:ilvl="2" w:tplc="3D0C4418">
      <w:start w:val="3432"/>
      <w:numFmt w:val="bullet"/>
      <w:lvlText w:val="•"/>
      <w:lvlJc w:val="left"/>
      <w:pPr>
        <w:tabs>
          <w:tab w:val="num" w:pos="2160"/>
        </w:tabs>
        <w:ind w:left="2160" w:hanging="360"/>
      </w:pPr>
      <w:rPr>
        <w:rFonts w:ascii="Arial" w:hAnsi="Arial" w:hint="default"/>
      </w:rPr>
    </w:lvl>
    <w:lvl w:ilvl="3" w:tplc="DC0C64C8" w:tentative="1">
      <w:start w:val="1"/>
      <w:numFmt w:val="bullet"/>
      <w:lvlText w:val="•"/>
      <w:lvlJc w:val="left"/>
      <w:pPr>
        <w:tabs>
          <w:tab w:val="num" w:pos="2880"/>
        </w:tabs>
        <w:ind w:left="2880" w:hanging="360"/>
      </w:pPr>
      <w:rPr>
        <w:rFonts w:ascii="Arial" w:hAnsi="Arial" w:hint="default"/>
      </w:rPr>
    </w:lvl>
    <w:lvl w:ilvl="4" w:tplc="CE36943C" w:tentative="1">
      <w:start w:val="1"/>
      <w:numFmt w:val="bullet"/>
      <w:lvlText w:val="•"/>
      <w:lvlJc w:val="left"/>
      <w:pPr>
        <w:tabs>
          <w:tab w:val="num" w:pos="3600"/>
        </w:tabs>
        <w:ind w:left="3600" w:hanging="360"/>
      </w:pPr>
      <w:rPr>
        <w:rFonts w:ascii="Arial" w:hAnsi="Arial" w:hint="default"/>
      </w:rPr>
    </w:lvl>
    <w:lvl w:ilvl="5" w:tplc="2B38638C" w:tentative="1">
      <w:start w:val="1"/>
      <w:numFmt w:val="bullet"/>
      <w:lvlText w:val="•"/>
      <w:lvlJc w:val="left"/>
      <w:pPr>
        <w:tabs>
          <w:tab w:val="num" w:pos="4320"/>
        </w:tabs>
        <w:ind w:left="4320" w:hanging="360"/>
      </w:pPr>
      <w:rPr>
        <w:rFonts w:ascii="Arial" w:hAnsi="Arial" w:hint="default"/>
      </w:rPr>
    </w:lvl>
    <w:lvl w:ilvl="6" w:tplc="562E96E6" w:tentative="1">
      <w:start w:val="1"/>
      <w:numFmt w:val="bullet"/>
      <w:lvlText w:val="•"/>
      <w:lvlJc w:val="left"/>
      <w:pPr>
        <w:tabs>
          <w:tab w:val="num" w:pos="5040"/>
        </w:tabs>
        <w:ind w:left="5040" w:hanging="360"/>
      </w:pPr>
      <w:rPr>
        <w:rFonts w:ascii="Arial" w:hAnsi="Arial" w:hint="default"/>
      </w:rPr>
    </w:lvl>
    <w:lvl w:ilvl="7" w:tplc="76AC1926" w:tentative="1">
      <w:start w:val="1"/>
      <w:numFmt w:val="bullet"/>
      <w:lvlText w:val="•"/>
      <w:lvlJc w:val="left"/>
      <w:pPr>
        <w:tabs>
          <w:tab w:val="num" w:pos="5760"/>
        </w:tabs>
        <w:ind w:left="5760" w:hanging="360"/>
      </w:pPr>
      <w:rPr>
        <w:rFonts w:ascii="Arial" w:hAnsi="Arial" w:hint="default"/>
      </w:rPr>
    </w:lvl>
    <w:lvl w:ilvl="8" w:tplc="327C2F9C" w:tentative="1">
      <w:start w:val="1"/>
      <w:numFmt w:val="bullet"/>
      <w:lvlText w:val="•"/>
      <w:lvlJc w:val="left"/>
      <w:pPr>
        <w:tabs>
          <w:tab w:val="num" w:pos="6480"/>
        </w:tabs>
        <w:ind w:left="6480" w:hanging="360"/>
      </w:pPr>
      <w:rPr>
        <w:rFonts w:ascii="Arial" w:hAnsi="Arial" w:hint="default"/>
      </w:rPr>
    </w:lvl>
  </w:abstractNum>
  <w:abstractNum w:abstractNumId="1">
    <w:nsid w:val="3A2D0648"/>
    <w:multiLevelType w:val="hybridMultilevel"/>
    <w:tmpl w:val="2ADC89F4"/>
    <w:lvl w:ilvl="0" w:tplc="E6E230D2">
      <w:start w:val="1"/>
      <w:numFmt w:val="bullet"/>
      <w:lvlText w:val="•"/>
      <w:lvlJc w:val="left"/>
      <w:pPr>
        <w:tabs>
          <w:tab w:val="num" w:pos="720"/>
        </w:tabs>
        <w:ind w:left="720" w:hanging="360"/>
      </w:pPr>
      <w:rPr>
        <w:rFonts w:ascii="Arial" w:hAnsi="Arial" w:hint="default"/>
      </w:rPr>
    </w:lvl>
    <w:lvl w:ilvl="1" w:tplc="66C0353E">
      <w:start w:val="3416"/>
      <w:numFmt w:val="bullet"/>
      <w:lvlText w:val="–"/>
      <w:lvlJc w:val="left"/>
      <w:pPr>
        <w:tabs>
          <w:tab w:val="num" w:pos="1440"/>
        </w:tabs>
        <w:ind w:left="1440" w:hanging="360"/>
      </w:pPr>
      <w:rPr>
        <w:rFonts w:ascii="Arial" w:hAnsi="Arial" w:hint="default"/>
      </w:rPr>
    </w:lvl>
    <w:lvl w:ilvl="2" w:tplc="D25A6AC4" w:tentative="1">
      <w:start w:val="1"/>
      <w:numFmt w:val="bullet"/>
      <w:lvlText w:val="•"/>
      <w:lvlJc w:val="left"/>
      <w:pPr>
        <w:tabs>
          <w:tab w:val="num" w:pos="2160"/>
        </w:tabs>
        <w:ind w:left="2160" w:hanging="360"/>
      </w:pPr>
      <w:rPr>
        <w:rFonts w:ascii="Arial" w:hAnsi="Arial" w:hint="default"/>
      </w:rPr>
    </w:lvl>
    <w:lvl w:ilvl="3" w:tplc="79BA771E" w:tentative="1">
      <w:start w:val="1"/>
      <w:numFmt w:val="bullet"/>
      <w:lvlText w:val="•"/>
      <w:lvlJc w:val="left"/>
      <w:pPr>
        <w:tabs>
          <w:tab w:val="num" w:pos="2880"/>
        </w:tabs>
        <w:ind w:left="2880" w:hanging="360"/>
      </w:pPr>
      <w:rPr>
        <w:rFonts w:ascii="Arial" w:hAnsi="Arial" w:hint="default"/>
      </w:rPr>
    </w:lvl>
    <w:lvl w:ilvl="4" w:tplc="565C6EF2" w:tentative="1">
      <w:start w:val="1"/>
      <w:numFmt w:val="bullet"/>
      <w:lvlText w:val="•"/>
      <w:lvlJc w:val="left"/>
      <w:pPr>
        <w:tabs>
          <w:tab w:val="num" w:pos="3600"/>
        </w:tabs>
        <w:ind w:left="3600" w:hanging="360"/>
      </w:pPr>
      <w:rPr>
        <w:rFonts w:ascii="Arial" w:hAnsi="Arial" w:hint="default"/>
      </w:rPr>
    </w:lvl>
    <w:lvl w:ilvl="5" w:tplc="972CDF98" w:tentative="1">
      <w:start w:val="1"/>
      <w:numFmt w:val="bullet"/>
      <w:lvlText w:val="•"/>
      <w:lvlJc w:val="left"/>
      <w:pPr>
        <w:tabs>
          <w:tab w:val="num" w:pos="4320"/>
        </w:tabs>
        <w:ind w:left="4320" w:hanging="360"/>
      </w:pPr>
      <w:rPr>
        <w:rFonts w:ascii="Arial" w:hAnsi="Arial" w:hint="default"/>
      </w:rPr>
    </w:lvl>
    <w:lvl w:ilvl="6" w:tplc="6F687C70" w:tentative="1">
      <w:start w:val="1"/>
      <w:numFmt w:val="bullet"/>
      <w:lvlText w:val="•"/>
      <w:lvlJc w:val="left"/>
      <w:pPr>
        <w:tabs>
          <w:tab w:val="num" w:pos="5040"/>
        </w:tabs>
        <w:ind w:left="5040" w:hanging="360"/>
      </w:pPr>
      <w:rPr>
        <w:rFonts w:ascii="Arial" w:hAnsi="Arial" w:hint="default"/>
      </w:rPr>
    </w:lvl>
    <w:lvl w:ilvl="7" w:tplc="5DBA27CC" w:tentative="1">
      <w:start w:val="1"/>
      <w:numFmt w:val="bullet"/>
      <w:lvlText w:val="•"/>
      <w:lvlJc w:val="left"/>
      <w:pPr>
        <w:tabs>
          <w:tab w:val="num" w:pos="5760"/>
        </w:tabs>
        <w:ind w:left="5760" w:hanging="360"/>
      </w:pPr>
      <w:rPr>
        <w:rFonts w:ascii="Arial" w:hAnsi="Arial" w:hint="default"/>
      </w:rPr>
    </w:lvl>
    <w:lvl w:ilvl="8" w:tplc="13F02C1C" w:tentative="1">
      <w:start w:val="1"/>
      <w:numFmt w:val="bullet"/>
      <w:lvlText w:val="•"/>
      <w:lvlJc w:val="left"/>
      <w:pPr>
        <w:tabs>
          <w:tab w:val="num" w:pos="6480"/>
        </w:tabs>
        <w:ind w:left="6480" w:hanging="360"/>
      </w:pPr>
      <w:rPr>
        <w:rFonts w:ascii="Arial" w:hAnsi="Arial" w:hint="default"/>
      </w:rPr>
    </w:lvl>
  </w:abstractNum>
  <w:abstractNum w:abstractNumId="2">
    <w:nsid w:val="68820D2A"/>
    <w:multiLevelType w:val="hybridMultilevel"/>
    <w:tmpl w:val="526A02E2"/>
    <w:lvl w:ilvl="0" w:tplc="05085A0E">
      <w:start w:val="1"/>
      <w:numFmt w:val="bullet"/>
      <w:lvlText w:val="•"/>
      <w:lvlJc w:val="left"/>
      <w:pPr>
        <w:tabs>
          <w:tab w:val="num" w:pos="720"/>
        </w:tabs>
        <w:ind w:left="720" w:hanging="360"/>
      </w:pPr>
      <w:rPr>
        <w:rFonts w:ascii="Arial" w:hAnsi="Arial" w:hint="default"/>
      </w:rPr>
    </w:lvl>
    <w:lvl w:ilvl="1" w:tplc="56183A14">
      <w:start w:val="3428"/>
      <w:numFmt w:val="bullet"/>
      <w:lvlText w:val="–"/>
      <w:lvlJc w:val="left"/>
      <w:pPr>
        <w:tabs>
          <w:tab w:val="num" w:pos="1440"/>
        </w:tabs>
        <w:ind w:left="1440" w:hanging="360"/>
      </w:pPr>
      <w:rPr>
        <w:rFonts w:ascii="Arial" w:hAnsi="Arial" w:hint="default"/>
      </w:rPr>
    </w:lvl>
    <w:lvl w:ilvl="2" w:tplc="7D1626A0">
      <w:start w:val="3428"/>
      <w:numFmt w:val="bullet"/>
      <w:lvlText w:val="•"/>
      <w:lvlJc w:val="left"/>
      <w:pPr>
        <w:tabs>
          <w:tab w:val="num" w:pos="2160"/>
        </w:tabs>
        <w:ind w:left="2160" w:hanging="360"/>
      </w:pPr>
      <w:rPr>
        <w:rFonts w:ascii="Arial" w:hAnsi="Arial" w:hint="default"/>
      </w:rPr>
    </w:lvl>
    <w:lvl w:ilvl="3" w:tplc="3918AB78" w:tentative="1">
      <w:start w:val="1"/>
      <w:numFmt w:val="bullet"/>
      <w:lvlText w:val="•"/>
      <w:lvlJc w:val="left"/>
      <w:pPr>
        <w:tabs>
          <w:tab w:val="num" w:pos="2880"/>
        </w:tabs>
        <w:ind w:left="2880" w:hanging="360"/>
      </w:pPr>
      <w:rPr>
        <w:rFonts w:ascii="Arial" w:hAnsi="Arial" w:hint="default"/>
      </w:rPr>
    </w:lvl>
    <w:lvl w:ilvl="4" w:tplc="C18EDF8E" w:tentative="1">
      <w:start w:val="1"/>
      <w:numFmt w:val="bullet"/>
      <w:lvlText w:val="•"/>
      <w:lvlJc w:val="left"/>
      <w:pPr>
        <w:tabs>
          <w:tab w:val="num" w:pos="3600"/>
        </w:tabs>
        <w:ind w:left="3600" w:hanging="360"/>
      </w:pPr>
      <w:rPr>
        <w:rFonts w:ascii="Arial" w:hAnsi="Arial" w:hint="default"/>
      </w:rPr>
    </w:lvl>
    <w:lvl w:ilvl="5" w:tplc="DD8823AC" w:tentative="1">
      <w:start w:val="1"/>
      <w:numFmt w:val="bullet"/>
      <w:lvlText w:val="•"/>
      <w:lvlJc w:val="left"/>
      <w:pPr>
        <w:tabs>
          <w:tab w:val="num" w:pos="4320"/>
        </w:tabs>
        <w:ind w:left="4320" w:hanging="360"/>
      </w:pPr>
      <w:rPr>
        <w:rFonts w:ascii="Arial" w:hAnsi="Arial" w:hint="default"/>
      </w:rPr>
    </w:lvl>
    <w:lvl w:ilvl="6" w:tplc="0032C80E" w:tentative="1">
      <w:start w:val="1"/>
      <w:numFmt w:val="bullet"/>
      <w:lvlText w:val="•"/>
      <w:lvlJc w:val="left"/>
      <w:pPr>
        <w:tabs>
          <w:tab w:val="num" w:pos="5040"/>
        </w:tabs>
        <w:ind w:left="5040" w:hanging="360"/>
      </w:pPr>
      <w:rPr>
        <w:rFonts w:ascii="Arial" w:hAnsi="Arial" w:hint="default"/>
      </w:rPr>
    </w:lvl>
    <w:lvl w:ilvl="7" w:tplc="5B7E8978" w:tentative="1">
      <w:start w:val="1"/>
      <w:numFmt w:val="bullet"/>
      <w:lvlText w:val="•"/>
      <w:lvlJc w:val="left"/>
      <w:pPr>
        <w:tabs>
          <w:tab w:val="num" w:pos="5760"/>
        </w:tabs>
        <w:ind w:left="5760" w:hanging="360"/>
      </w:pPr>
      <w:rPr>
        <w:rFonts w:ascii="Arial" w:hAnsi="Arial" w:hint="default"/>
      </w:rPr>
    </w:lvl>
    <w:lvl w:ilvl="8" w:tplc="61A8EE70"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3DA4"/>
    <w:rsid w:val="00112E8E"/>
    <w:rsid w:val="0015189B"/>
    <w:rsid w:val="002E77E8"/>
    <w:rsid w:val="00363DA4"/>
    <w:rsid w:val="00405161"/>
    <w:rsid w:val="00CF19CE"/>
    <w:rsid w:val="00F214E1"/>
    <w:rsid w:val="00F362E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63D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3DA4"/>
    <w:rPr>
      <w:rFonts w:ascii="Tahoma" w:hAnsi="Tahoma" w:cs="Tahoma"/>
      <w:sz w:val="16"/>
      <w:szCs w:val="16"/>
    </w:rPr>
  </w:style>
  <w:style w:type="paragraph" w:styleId="ListParagraph">
    <w:name w:val="List Paragraph"/>
    <w:basedOn w:val="Normal"/>
    <w:uiPriority w:val="34"/>
    <w:qFormat/>
    <w:rsid w:val="002E77E8"/>
    <w:pPr>
      <w:spacing w:after="0" w:line="240" w:lineRule="auto"/>
      <w:ind w:left="720"/>
      <w:contextualSpacing/>
    </w:pPr>
    <w:rPr>
      <w:rFonts w:ascii="Times New Roman" w:eastAsia="Times New Roman" w:hAnsi="Times New Roman" w:cs="Times New Roman"/>
      <w:sz w:val="24"/>
      <w:szCs w:val="24"/>
      <w:lang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63D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3DA4"/>
    <w:rPr>
      <w:rFonts w:ascii="Tahoma" w:hAnsi="Tahoma" w:cs="Tahoma"/>
      <w:sz w:val="16"/>
      <w:szCs w:val="16"/>
    </w:rPr>
  </w:style>
  <w:style w:type="paragraph" w:styleId="ListParagraph">
    <w:name w:val="List Paragraph"/>
    <w:basedOn w:val="Normal"/>
    <w:uiPriority w:val="34"/>
    <w:qFormat/>
    <w:rsid w:val="002E77E8"/>
    <w:pPr>
      <w:spacing w:after="0" w:line="240" w:lineRule="auto"/>
      <w:ind w:left="720"/>
      <w:contextualSpacing/>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3900519">
      <w:bodyDiv w:val="1"/>
      <w:marLeft w:val="0"/>
      <w:marRight w:val="0"/>
      <w:marTop w:val="0"/>
      <w:marBottom w:val="0"/>
      <w:divBdr>
        <w:top w:val="none" w:sz="0" w:space="0" w:color="auto"/>
        <w:left w:val="none" w:sz="0" w:space="0" w:color="auto"/>
        <w:bottom w:val="none" w:sz="0" w:space="0" w:color="auto"/>
        <w:right w:val="none" w:sz="0" w:space="0" w:color="auto"/>
      </w:divBdr>
      <w:divsChild>
        <w:div w:id="716314284">
          <w:marLeft w:val="547"/>
          <w:marRight w:val="0"/>
          <w:marTop w:val="144"/>
          <w:marBottom w:val="0"/>
          <w:divBdr>
            <w:top w:val="none" w:sz="0" w:space="0" w:color="auto"/>
            <w:left w:val="none" w:sz="0" w:space="0" w:color="auto"/>
            <w:bottom w:val="none" w:sz="0" w:space="0" w:color="auto"/>
            <w:right w:val="none" w:sz="0" w:space="0" w:color="auto"/>
          </w:divBdr>
        </w:div>
        <w:div w:id="1782382773">
          <w:marLeft w:val="1166"/>
          <w:marRight w:val="0"/>
          <w:marTop w:val="125"/>
          <w:marBottom w:val="0"/>
          <w:divBdr>
            <w:top w:val="none" w:sz="0" w:space="0" w:color="auto"/>
            <w:left w:val="none" w:sz="0" w:space="0" w:color="auto"/>
            <w:bottom w:val="none" w:sz="0" w:space="0" w:color="auto"/>
            <w:right w:val="none" w:sz="0" w:space="0" w:color="auto"/>
          </w:divBdr>
        </w:div>
        <w:div w:id="349914025">
          <w:marLeft w:val="1800"/>
          <w:marRight w:val="0"/>
          <w:marTop w:val="106"/>
          <w:marBottom w:val="0"/>
          <w:divBdr>
            <w:top w:val="none" w:sz="0" w:space="0" w:color="auto"/>
            <w:left w:val="none" w:sz="0" w:space="0" w:color="auto"/>
            <w:bottom w:val="none" w:sz="0" w:space="0" w:color="auto"/>
            <w:right w:val="none" w:sz="0" w:space="0" w:color="auto"/>
          </w:divBdr>
        </w:div>
        <w:div w:id="800879592">
          <w:marLeft w:val="1166"/>
          <w:marRight w:val="0"/>
          <w:marTop w:val="125"/>
          <w:marBottom w:val="0"/>
          <w:divBdr>
            <w:top w:val="none" w:sz="0" w:space="0" w:color="auto"/>
            <w:left w:val="none" w:sz="0" w:space="0" w:color="auto"/>
            <w:bottom w:val="none" w:sz="0" w:space="0" w:color="auto"/>
            <w:right w:val="none" w:sz="0" w:space="0" w:color="auto"/>
          </w:divBdr>
        </w:div>
        <w:div w:id="967274631">
          <w:marLeft w:val="1800"/>
          <w:marRight w:val="0"/>
          <w:marTop w:val="106"/>
          <w:marBottom w:val="0"/>
          <w:divBdr>
            <w:top w:val="none" w:sz="0" w:space="0" w:color="auto"/>
            <w:left w:val="none" w:sz="0" w:space="0" w:color="auto"/>
            <w:bottom w:val="none" w:sz="0" w:space="0" w:color="auto"/>
            <w:right w:val="none" w:sz="0" w:space="0" w:color="auto"/>
          </w:divBdr>
        </w:div>
      </w:divsChild>
    </w:div>
    <w:div w:id="564410543">
      <w:bodyDiv w:val="1"/>
      <w:marLeft w:val="0"/>
      <w:marRight w:val="0"/>
      <w:marTop w:val="0"/>
      <w:marBottom w:val="0"/>
      <w:divBdr>
        <w:top w:val="none" w:sz="0" w:space="0" w:color="auto"/>
        <w:left w:val="none" w:sz="0" w:space="0" w:color="auto"/>
        <w:bottom w:val="none" w:sz="0" w:space="0" w:color="auto"/>
        <w:right w:val="none" w:sz="0" w:space="0" w:color="auto"/>
      </w:divBdr>
      <w:divsChild>
        <w:div w:id="21633539">
          <w:marLeft w:val="547"/>
          <w:marRight w:val="0"/>
          <w:marTop w:val="120"/>
          <w:marBottom w:val="0"/>
          <w:divBdr>
            <w:top w:val="none" w:sz="0" w:space="0" w:color="auto"/>
            <w:left w:val="none" w:sz="0" w:space="0" w:color="auto"/>
            <w:bottom w:val="none" w:sz="0" w:space="0" w:color="auto"/>
            <w:right w:val="none" w:sz="0" w:space="0" w:color="auto"/>
          </w:divBdr>
        </w:div>
        <w:div w:id="859246157">
          <w:marLeft w:val="1166"/>
          <w:marRight w:val="0"/>
          <w:marTop w:val="106"/>
          <w:marBottom w:val="0"/>
          <w:divBdr>
            <w:top w:val="none" w:sz="0" w:space="0" w:color="auto"/>
            <w:left w:val="none" w:sz="0" w:space="0" w:color="auto"/>
            <w:bottom w:val="none" w:sz="0" w:space="0" w:color="auto"/>
            <w:right w:val="none" w:sz="0" w:space="0" w:color="auto"/>
          </w:divBdr>
        </w:div>
      </w:divsChild>
    </w:div>
    <w:div w:id="581569938">
      <w:bodyDiv w:val="1"/>
      <w:marLeft w:val="0"/>
      <w:marRight w:val="0"/>
      <w:marTop w:val="0"/>
      <w:marBottom w:val="0"/>
      <w:divBdr>
        <w:top w:val="none" w:sz="0" w:space="0" w:color="auto"/>
        <w:left w:val="none" w:sz="0" w:space="0" w:color="auto"/>
        <w:bottom w:val="none" w:sz="0" w:space="0" w:color="auto"/>
        <w:right w:val="none" w:sz="0" w:space="0" w:color="auto"/>
      </w:divBdr>
      <w:divsChild>
        <w:div w:id="2048291987">
          <w:marLeft w:val="547"/>
          <w:marRight w:val="0"/>
          <w:marTop w:val="106"/>
          <w:marBottom w:val="0"/>
          <w:divBdr>
            <w:top w:val="none" w:sz="0" w:space="0" w:color="auto"/>
            <w:left w:val="none" w:sz="0" w:space="0" w:color="auto"/>
            <w:bottom w:val="none" w:sz="0" w:space="0" w:color="auto"/>
            <w:right w:val="none" w:sz="0" w:space="0" w:color="auto"/>
          </w:divBdr>
        </w:div>
        <w:div w:id="2118139483">
          <w:marLeft w:val="1166"/>
          <w:marRight w:val="0"/>
          <w:marTop w:val="96"/>
          <w:marBottom w:val="0"/>
          <w:divBdr>
            <w:top w:val="none" w:sz="0" w:space="0" w:color="auto"/>
            <w:left w:val="none" w:sz="0" w:space="0" w:color="auto"/>
            <w:bottom w:val="none" w:sz="0" w:space="0" w:color="auto"/>
            <w:right w:val="none" w:sz="0" w:space="0" w:color="auto"/>
          </w:divBdr>
        </w:div>
        <w:div w:id="1535073381">
          <w:marLeft w:val="1166"/>
          <w:marRight w:val="0"/>
          <w:marTop w:val="96"/>
          <w:marBottom w:val="0"/>
          <w:divBdr>
            <w:top w:val="none" w:sz="0" w:space="0" w:color="auto"/>
            <w:left w:val="none" w:sz="0" w:space="0" w:color="auto"/>
            <w:bottom w:val="none" w:sz="0" w:space="0" w:color="auto"/>
            <w:right w:val="none" w:sz="0" w:space="0" w:color="auto"/>
          </w:divBdr>
        </w:div>
      </w:divsChild>
    </w:div>
    <w:div w:id="720788339">
      <w:bodyDiv w:val="1"/>
      <w:marLeft w:val="0"/>
      <w:marRight w:val="0"/>
      <w:marTop w:val="0"/>
      <w:marBottom w:val="0"/>
      <w:divBdr>
        <w:top w:val="none" w:sz="0" w:space="0" w:color="auto"/>
        <w:left w:val="none" w:sz="0" w:space="0" w:color="auto"/>
        <w:bottom w:val="none" w:sz="0" w:space="0" w:color="auto"/>
        <w:right w:val="none" w:sz="0" w:space="0" w:color="auto"/>
      </w:divBdr>
      <w:divsChild>
        <w:div w:id="1522740478">
          <w:marLeft w:val="547"/>
          <w:marRight w:val="0"/>
          <w:marTop w:val="154"/>
          <w:marBottom w:val="0"/>
          <w:divBdr>
            <w:top w:val="none" w:sz="0" w:space="0" w:color="auto"/>
            <w:left w:val="none" w:sz="0" w:space="0" w:color="auto"/>
            <w:bottom w:val="none" w:sz="0" w:space="0" w:color="auto"/>
            <w:right w:val="none" w:sz="0" w:space="0" w:color="auto"/>
          </w:divBdr>
        </w:div>
      </w:divsChild>
    </w:div>
    <w:div w:id="780294822">
      <w:bodyDiv w:val="1"/>
      <w:marLeft w:val="0"/>
      <w:marRight w:val="0"/>
      <w:marTop w:val="0"/>
      <w:marBottom w:val="0"/>
      <w:divBdr>
        <w:top w:val="none" w:sz="0" w:space="0" w:color="auto"/>
        <w:left w:val="none" w:sz="0" w:space="0" w:color="auto"/>
        <w:bottom w:val="none" w:sz="0" w:space="0" w:color="auto"/>
        <w:right w:val="none" w:sz="0" w:space="0" w:color="auto"/>
      </w:divBdr>
      <w:divsChild>
        <w:div w:id="301931510">
          <w:marLeft w:val="547"/>
          <w:marRight w:val="0"/>
          <w:marTop w:val="106"/>
          <w:marBottom w:val="0"/>
          <w:divBdr>
            <w:top w:val="none" w:sz="0" w:space="0" w:color="auto"/>
            <w:left w:val="none" w:sz="0" w:space="0" w:color="auto"/>
            <w:bottom w:val="none" w:sz="0" w:space="0" w:color="auto"/>
            <w:right w:val="none" w:sz="0" w:space="0" w:color="auto"/>
          </w:divBdr>
        </w:div>
      </w:divsChild>
    </w:div>
    <w:div w:id="933393799">
      <w:bodyDiv w:val="1"/>
      <w:marLeft w:val="0"/>
      <w:marRight w:val="0"/>
      <w:marTop w:val="0"/>
      <w:marBottom w:val="0"/>
      <w:divBdr>
        <w:top w:val="none" w:sz="0" w:space="0" w:color="auto"/>
        <w:left w:val="none" w:sz="0" w:space="0" w:color="auto"/>
        <w:bottom w:val="none" w:sz="0" w:space="0" w:color="auto"/>
        <w:right w:val="none" w:sz="0" w:space="0" w:color="auto"/>
      </w:divBdr>
      <w:divsChild>
        <w:div w:id="1698508907">
          <w:marLeft w:val="547"/>
          <w:marRight w:val="0"/>
          <w:marTop w:val="106"/>
          <w:marBottom w:val="0"/>
          <w:divBdr>
            <w:top w:val="none" w:sz="0" w:space="0" w:color="auto"/>
            <w:left w:val="none" w:sz="0" w:space="0" w:color="auto"/>
            <w:bottom w:val="none" w:sz="0" w:space="0" w:color="auto"/>
            <w:right w:val="none" w:sz="0" w:space="0" w:color="auto"/>
          </w:divBdr>
        </w:div>
        <w:div w:id="2060202202">
          <w:marLeft w:val="1166"/>
          <w:marRight w:val="0"/>
          <w:marTop w:val="96"/>
          <w:marBottom w:val="0"/>
          <w:divBdr>
            <w:top w:val="none" w:sz="0" w:space="0" w:color="auto"/>
            <w:left w:val="none" w:sz="0" w:space="0" w:color="auto"/>
            <w:bottom w:val="none" w:sz="0" w:space="0" w:color="auto"/>
            <w:right w:val="none" w:sz="0" w:space="0" w:color="auto"/>
          </w:divBdr>
        </w:div>
        <w:div w:id="1756121556">
          <w:marLeft w:val="1800"/>
          <w:marRight w:val="0"/>
          <w:marTop w:val="82"/>
          <w:marBottom w:val="0"/>
          <w:divBdr>
            <w:top w:val="none" w:sz="0" w:space="0" w:color="auto"/>
            <w:left w:val="none" w:sz="0" w:space="0" w:color="auto"/>
            <w:bottom w:val="none" w:sz="0" w:space="0" w:color="auto"/>
            <w:right w:val="none" w:sz="0" w:space="0" w:color="auto"/>
          </w:divBdr>
        </w:div>
        <w:div w:id="1099302316">
          <w:marLeft w:val="1166"/>
          <w:marRight w:val="0"/>
          <w:marTop w:val="96"/>
          <w:marBottom w:val="0"/>
          <w:divBdr>
            <w:top w:val="none" w:sz="0" w:space="0" w:color="auto"/>
            <w:left w:val="none" w:sz="0" w:space="0" w:color="auto"/>
            <w:bottom w:val="none" w:sz="0" w:space="0" w:color="auto"/>
            <w:right w:val="none" w:sz="0" w:space="0" w:color="auto"/>
          </w:divBdr>
        </w:div>
        <w:div w:id="2009097266">
          <w:marLeft w:val="1800"/>
          <w:marRight w:val="0"/>
          <w:marTop w:val="82"/>
          <w:marBottom w:val="0"/>
          <w:divBdr>
            <w:top w:val="none" w:sz="0" w:space="0" w:color="auto"/>
            <w:left w:val="none" w:sz="0" w:space="0" w:color="auto"/>
            <w:bottom w:val="none" w:sz="0" w:space="0" w:color="auto"/>
            <w:right w:val="none" w:sz="0" w:space="0" w:color="auto"/>
          </w:divBdr>
        </w:div>
        <w:div w:id="4677160">
          <w:marLeft w:val="1166"/>
          <w:marRight w:val="0"/>
          <w:marTop w:val="96"/>
          <w:marBottom w:val="0"/>
          <w:divBdr>
            <w:top w:val="none" w:sz="0" w:space="0" w:color="auto"/>
            <w:left w:val="none" w:sz="0" w:space="0" w:color="auto"/>
            <w:bottom w:val="none" w:sz="0" w:space="0" w:color="auto"/>
            <w:right w:val="none" w:sz="0" w:space="0" w:color="auto"/>
          </w:divBdr>
        </w:div>
      </w:divsChild>
    </w:div>
    <w:div w:id="1494567397">
      <w:bodyDiv w:val="1"/>
      <w:marLeft w:val="0"/>
      <w:marRight w:val="0"/>
      <w:marTop w:val="0"/>
      <w:marBottom w:val="0"/>
      <w:divBdr>
        <w:top w:val="none" w:sz="0" w:space="0" w:color="auto"/>
        <w:left w:val="none" w:sz="0" w:space="0" w:color="auto"/>
        <w:bottom w:val="none" w:sz="0" w:space="0" w:color="auto"/>
        <w:right w:val="none" w:sz="0" w:space="0" w:color="auto"/>
      </w:divBdr>
      <w:divsChild>
        <w:div w:id="1394693045">
          <w:marLeft w:val="547"/>
          <w:marRight w:val="0"/>
          <w:marTop w:val="106"/>
          <w:marBottom w:val="0"/>
          <w:divBdr>
            <w:top w:val="none" w:sz="0" w:space="0" w:color="auto"/>
            <w:left w:val="none" w:sz="0" w:space="0" w:color="auto"/>
            <w:bottom w:val="none" w:sz="0" w:space="0" w:color="auto"/>
            <w:right w:val="none" w:sz="0" w:space="0" w:color="auto"/>
          </w:divBdr>
        </w:div>
      </w:divsChild>
    </w:div>
    <w:div w:id="1503617307">
      <w:bodyDiv w:val="1"/>
      <w:marLeft w:val="0"/>
      <w:marRight w:val="0"/>
      <w:marTop w:val="0"/>
      <w:marBottom w:val="0"/>
      <w:divBdr>
        <w:top w:val="none" w:sz="0" w:space="0" w:color="auto"/>
        <w:left w:val="none" w:sz="0" w:space="0" w:color="auto"/>
        <w:bottom w:val="none" w:sz="0" w:space="0" w:color="auto"/>
        <w:right w:val="none" w:sz="0" w:space="0" w:color="auto"/>
      </w:divBdr>
      <w:divsChild>
        <w:div w:id="954796928">
          <w:marLeft w:val="547"/>
          <w:marRight w:val="0"/>
          <w:marTop w:val="106"/>
          <w:marBottom w:val="0"/>
          <w:divBdr>
            <w:top w:val="none" w:sz="0" w:space="0" w:color="auto"/>
            <w:left w:val="none" w:sz="0" w:space="0" w:color="auto"/>
            <w:bottom w:val="none" w:sz="0" w:space="0" w:color="auto"/>
            <w:right w:val="none" w:sz="0" w:space="0" w:color="auto"/>
          </w:divBdr>
        </w:div>
        <w:div w:id="1872574100">
          <w:marLeft w:val="1166"/>
          <w:marRight w:val="0"/>
          <w:marTop w:val="96"/>
          <w:marBottom w:val="0"/>
          <w:divBdr>
            <w:top w:val="none" w:sz="0" w:space="0" w:color="auto"/>
            <w:left w:val="none" w:sz="0" w:space="0" w:color="auto"/>
            <w:bottom w:val="none" w:sz="0" w:space="0" w:color="auto"/>
            <w:right w:val="none" w:sz="0" w:space="0" w:color="auto"/>
          </w:divBdr>
        </w:div>
        <w:div w:id="954099622">
          <w:marLeft w:val="1800"/>
          <w:marRight w:val="0"/>
          <w:marTop w:val="82"/>
          <w:marBottom w:val="0"/>
          <w:divBdr>
            <w:top w:val="none" w:sz="0" w:space="0" w:color="auto"/>
            <w:left w:val="none" w:sz="0" w:space="0" w:color="auto"/>
            <w:bottom w:val="none" w:sz="0" w:space="0" w:color="auto"/>
            <w:right w:val="none" w:sz="0" w:space="0" w:color="auto"/>
          </w:divBdr>
        </w:div>
        <w:div w:id="71007865">
          <w:marLeft w:val="1166"/>
          <w:marRight w:val="0"/>
          <w:marTop w:val="96"/>
          <w:marBottom w:val="0"/>
          <w:divBdr>
            <w:top w:val="none" w:sz="0" w:space="0" w:color="auto"/>
            <w:left w:val="none" w:sz="0" w:space="0" w:color="auto"/>
            <w:bottom w:val="none" w:sz="0" w:space="0" w:color="auto"/>
            <w:right w:val="none" w:sz="0" w:space="0" w:color="auto"/>
          </w:divBdr>
        </w:div>
        <w:div w:id="590352643">
          <w:marLeft w:val="1800"/>
          <w:marRight w:val="0"/>
          <w:marTop w:val="82"/>
          <w:marBottom w:val="0"/>
          <w:divBdr>
            <w:top w:val="none" w:sz="0" w:space="0" w:color="auto"/>
            <w:left w:val="none" w:sz="0" w:space="0" w:color="auto"/>
            <w:bottom w:val="none" w:sz="0" w:space="0" w:color="auto"/>
            <w:right w:val="none" w:sz="0" w:space="0" w:color="auto"/>
          </w:divBdr>
        </w:div>
        <w:div w:id="1593857259">
          <w:marLeft w:val="1800"/>
          <w:marRight w:val="0"/>
          <w:marTop w:val="82"/>
          <w:marBottom w:val="0"/>
          <w:divBdr>
            <w:top w:val="none" w:sz="0" w:space="0" w:color="auto"/>
            <w:left w:val="none" w:sz="0" w:space="0" w:color="auto"/>
            <w:bottom w:val="none" w:sz="0" w:space="0" w:color="auto"/>
            <w:right w:val="none" w:sz="0" w:space="0" w:color="auto"/>
          </w:divBdr>
        </w:div>
      </w:divsChild>
    </w:div>
    <w:div w:id="1597445802">
      <w:bodyDiv w:val="1"/>
      <w:marLeft w:val="0"/>
      <w:marRight w:val="0"/>
      <w:marTop w:val="0"/>
      <w:marBottom w:val="0"/>
      <w:divBdr>
        <w:top w:val="none" w:sz="0" w:space="0" w:color="auto"/>
        <w:left w:val="none" w:sz="0" w:space="0" w:color="auto"/>
        <w:bottom w:val="none" w:sz="0" w:space="0" w:color="auto"/>
        <w:right w:val="none" w:sz="0" w:space="0" w:color="auto"/>
      </w:divBdr>
      <w:divsChild>
        <w:div w:id="1548181398">
          <w:marLeft w:val="547"/>
          <w:marRight w:val="0"/>
          <w:marTop w:val="130"/>
          <w:marBottom w:val="0"/>
          <w:divBdr>
            <w:top w:val="none" w:sz="0" w:space="0" w:color="auto"/>
            <w:left w:val="none" w:sz="0" w:space="0" w:color="auto"/>
            <w:bottom w:val="none" w:sz="0" w:space="0" w:color="auto"/>
            <w:right w:val="none" w:sz="0" w:space="0" w:color="auto"/>
          </w:divBdr>
        </w:div>
        <w:div w:id="882786362">
          <w:marLeft w:val="1166"/>
          <w:marRight w:val="0"/>
          <w:marTop w:val="115"/>
          <w:marBottom w:val="0"/>
          <w:divBdr>
            <w:top w:val="none" w:sz="0" w:space="0" w:color="auto"/>
            <w:left w:val="none" w:sz="0" w:space="0" w:color="auto"/>
            <w:bottom w:val="none" w:sz="0" w:space="0" w:color="auto"/>
            <w:right w:val="none" w:sz="0" w:space="0" w:color="auto"/>
          </w:divBdr>
        </w:div>
        <w:div w:id="277490563">
          <w:marLeft w:val="547"/>
          <w:marRight w:val="0"/>
          <w:marTop w:val="130"/>
          <w:marBottom w:val="0"/>
          <w:divBdr>
            <w:top w:val="none" w:sz="0" w:space="0" w:color="auto"/>
            <w:left w:val="none" w:sz="0" w:space="0" w:color="auto"/>
            <w:bottom w:val="none" w:sz="0" w:space="0" w:color="auto"/>
            <w:right w:val="none" w:sz="0" w:space="0" w:color="auto"/>
          </w:divBdr>
        </w:div>
        <w:div w:id="645278862">
          <w:marLeft w:val="1166"/>
          <w:marRight w:val="0"/>
          <w:marTop w:val="115"/>
          <w:marBottom w:val="0"/>
          <w:divBdr>
            <w:top w:val="none" w:sz="0" w:space="0" w:color="auto"/>
            <w:left w:val="none" w:sz="0" w:space="0" w:color="auto"/>
            <w:bottom w:val="none" w:sz="0" w:space="0" w:color="auto"/>
            <w:right w:val="none" w:sz="0" w:space="0" w:color="auto"/>
          </w:divBdr>
        </w:div>
      </w:divsChild>
    </w:div>
    <w:div w:id="1642660758">
      <w:bodyDiv w:val="1"/>
      <w:marLeft w:val="0"/>
      <w:marRight w:val="0"/>
      <w:marTop w:val="0"/>
      <w:marBottom w:val="0"/>
      <w:divBdr>
        <w:top w:val="none" w:sz="0" w:space="0" w:color="auto"/>
        <w:left w:val="none" w:sz="0" w:space="0" w:color="auto"/>
        <w:bottom w:val="none" w:sz="0" w:space="0" w:color="auto"/>
        <w:right w:val="none" w:sz="0" w:space="0" w:color="auto"/>
      </w:divBdr>
      <w:divsChild>
        <w:div w:id="1736660232">
          <w:marLeft w:val="547"/>
          <w:marRight w:val="0"/>
          <w:marTop w:val="96"/>
          <w:marBottom w:val="0"/>
          <w:divBdr>
            <w:top w:val="none" w:sz="0" w:space="0" w:color="auto"/>
            <w:left w:val="none" w:sz="0" w:space="0" w:color="auto"/>
            <w:bottom w:val="none" w:sz="0" w:space="0" w:color="auto"/>
            <w:right w:val="none" w:sz="0" w:space="0" w:color="auto"/>
          </w:divBdr>
        </w:div>
        <w:div w:id="55130674">
          <w:marLeft w:val="1166"/>
          <w:marRight w:val="0"/>
          <w:marTop w:val="86"/>
          <w:marBottom w:val="0"/>
          <w:divBdr>
            <w:top w:val="none" w:sz="0" w:space="0" w:color="auto"/>
            <w:left w:val="none" w:sz="0" w:space="0" w:color="auto"/>
            <w:bottom w:val="none" w:sz="0" w:space="0" w:color="auto"/>
            <w:right w:val="none" w:sz="0" w:space="0" w:color="auto"/>
          </w:divBdr>
        </w:div>
        <w:div w:id="693923210">
          <w:marLeft w:val="1800"/>
          <w:marRight w:val="0"/>
          <w:marTop w:val="72"/>
          <w:marBottom w:val="0"/>
          <w:divBdr>
            <w:top w:val="none" w:sz="0" w:space="0" w:color="auto"/>
            <w:left w:val="none" w:sz="0" w:space="0" w:color="auto"/>
            <w:bottom w:val="none" w:sz="0" w:space="0" w:color="auto"/>
            <w:right w:val="none" w:sz="0" w:space="0" w:color="auto"/>
          </w:divBdr>
        </w:div>
        <w:div w:id="135993776">
          <w:marLeft w:val="2520"/>
          <w:marRight w:val="0"/>
          <w:marTop w:val="62"/>
          <w:marBottom w:val="0"/>
          <w:divBdr>
            <w:top w:val="none" w:sz="0" w:space="0" w:color="auto"/>
            <w:left w:val="none" w:sz="0" w:space="0" w:color="auto"/>
            <w:bottom w:val="none" w:sz="0" w:space="0" w:color="auto"/>
            <w:right w:val="none" w:sz="0" w:space="0" w:color="auto"/>
          </w:divBdr>
        </w:div>
        <w:div w:id="209809698">
          <w:marLeft w:val="1166"/>
          <w:marRight w:val="0"/>
          <w:marTop w:val="86"/>
          <w:marBottom w:val="0"/>
          <w:divBdr>
            <w:top w:val="none" w:sz="0" w:space="0" w:color="auto"/>
            <w:left w:val="none" w:sz="0" w:space="0" w:color="auto"/>
            <w:bottom w:val="none" w:sz="0" w:space="0" w:color="auto"/>
            <w:right w:val="none" w:sz="0" w:space="0" w:color="auto"/>
          </w:divBdr>
        </w:div>
        <w:div w:id="516119529">
          <w:marLeft w:val="1800"/>
          <w:marRight w:val="0"/>
          <w:marTop w:val="72"/>
          <w:marBottom w:val="0"/>
          <w:divBdr>
            <w:top w:val="none" w:sz="0" w:space="0" w:color="auto"/>
            <w:left w:val="none" w:sz="0" w:space="0" w:color="auto"/>
            <w:bottom w:val="none" w:sz="0" w:space="0" w:color="auto"/>
            <w:right w:val="none" w:sz="0" w:space="0" w:color="auto"/>
          </w:divBdr>
        </w:div>
        <w:div w:id="1737127834">
          <w:marLeft w:val="2520"/>
          <w:marRight w:val="0"/>
          <w:marTop w:val="62"/>
          <w:marBottom w:val="0"/>
          <w:divBdr>
            <w:top w:val="none" w:sz="0" w:space="0" w:color="auto"/>
            <w:left w:val="none" w:sz="0" w:space="0" w:color="auto"/>
            <w:bottom w:val="none" w:sz="0" w:space="0" w:color="auto"/>
            <w:right w:val="none" w:sz="0" w:space="0" w:color="auto"/>
          </w:divBdr>
        </w:div>
        <w:div w:id="1691908561">
          <w:marLeft w:val="1166"/>
          <w:marRight w:val="0"/>
          <w:marTop w:val="86"/>
          <w:marBottom w:val="0"/>
          <w:divBdr>
            <w:top w:val="none" w:sz="0" w:space="0" w:color="auto"/>
            <w:left w:val="none" w:sz="0" w:space="0" w:color="auto"/>
            <w:bottom w:val="none" w:sz="0" w:space="0" w:color="auto"/>
            <w:right w:val="none" w:sz="0" w:space="0" w:color="auto"/>
          </w:divBdr>
        </w:div>
        <w:div w:id="1959800572">
          <w:marLeft w:val="1800"/>
          <w:marRight w:val="0"/>
          <w:marTop w:val="72"/>
          <w:marBottom w:val="0"/>
          <w:divBdr>
            <w:top w:val="none" w:sz="0" w:space="0" w:color="auto"/>
            <w:left w:val="none" w:sz="0" w:space="0" w:color="auto"/>
            <w:bottom w:val="none" w:sz="0" w:space="0" w:color="auto"/>
            <w:right w:val="none" w:sz="0" w:space="0" w:color="auto"/>
          </w:divBdr>
        </w:div>
        <w:div w:id="1977178995">
          <w:marLeft w:val="2520"/>
          <w:marRight w:val="0"/>
          <w:marTop w:val="62"/>
          <w:marBottom w:val="0"/>
          <w:divBdr>
            <w:top w:val="none" w:sz="0" w:space="0" w:color="auto"/>
            <w:left w:val="none" w:sz="0" w:space="0" w:color="auto"/>
            <w:bottom w:val="none" w:sz="0" w:space="0" w:color="auto"/>
            <w:right w:val="none" w:sz="0" w:space="0" w:color="auto"/>
          </w:divBdr>
        </w:div>
      </w:divsChild>
    </w:div>
    <w:div w:id="1783912103">
      <w:bodyDiv w:val="1"/>
      <w:marLeft w:val="0"/>
      <w:marRight w:val="0"/>
      <w:marTop w:val="0"/>
      <w:marBottom w:val="0"/>
      <w:divBdr>
        <w:top w:val="none" w:sz="0" w:space="0" w:color="auto"/>
        <w:left w:val="none" w:sz="0" w:space="0" w:color="auto"/>
        <w:bottom w:val="none" w:sz="0" w:space="0" w:color="auto"/>
        <w:right w:val="none" w:sz="0" w:space="0" w:color="auto"/>
      </w:divBdr>
      <w:divsChild>
        <w:div w:id="1332685426">
          <w:marLeft w:val="547"/>
          <w:marRight w:val="0"/>
          <w:marTop w:val="106"/>
          <w:marBottom w:val="0"/>
          <w:divBdr>
            <w:top w:val="none" w:sz="0" w:space="0" w:color="auto"/>
            <w:left w:val="none" w:sz="0" w:space="0" w:color="auto"/>
            <w:bottom w:val="none" w:sz="0" w:space="0" w:color="auto"/>
            <w:right w:val="none" w:sz="0" w:space="0" w:color="auto"/>
          </w:divBdr>
        </w:div>
        <w:div w:id="1312903952">
          <w:marLeft w:val="1166"/>
          <w:marRight w:val="0"/>
          <w:marTop w:val="96"/>
          <w:marBottom w:val="0"/>
          <w:divBdr>
            <w:top w:val="none" w:sz="0" w:space="0" w:color="auto"/>
            <w:left w:val="none" w:sz="0" w:space="0" w:color="auto"/>
            <w:bottom w:val="none" w:sz="0" w:space="0" w:color="auto"/>
            <w:right w:val="none" w:sz="0" w:space="0" w:color="auto"/>
          </w:divBdr>
        </w:div>
        <w:div w:id="741176489">
          <w:marLeft w:val="1800"/>
          <w:marRight w:val="0"/>
          <w:marTop w:val="82"/>
          <w:marBottom w:val="0"/>
          <w:divBdr>
            <w:top w:val="none" w:sz="0" w:space="0" w:color="auto"/>
            <w:left w:val="none" w:sz="0" w:space="0" w:color="auto"/>
            <w:bottom w:val="none" w:sz="0" w:space="0" w:color="auto"/>
            <w:right w:val="none" w:sz="0" w:space="0" w:color="auto"/>
          </w:divBdr>
        </w:div>
        <w:div w:id="1552155043">
          <w:marLeft w:val="1166"/>
          <w:marRight w:val="0"/>
          <w:marTop w:val="96"/>
          <w:marBottom w:val="0"/>
          <w:divBdr>
            <w:top w:val="none" w:sz="0" w:space="0" w:color="auto"/>
            <w:left w:val="none" w:sz="0" w:space="0" w:color="auto"/>
            <w:bottom w:val="none" w:sz="0" w:space="0" w:color="auto"/>
            <w:right w:val="none" w:sz="0" w:space="0" w:color="auto"/>
          </w:divBdr>
        </w:div>
        <w:div w:id="1815677378">
          <w:marLeft w:val="1800"/>
          <w:marRight w:val="0"/>
          <w:marTop w:val="82"/>
          <w:marBottom w:val="0"/>
          <w:divBdr>
            <w:top w:val="none" w:sz="0" w:space="0" w:color="auto"/>
            <w:left w:val="none" w:sz="0" w:space="0" w:color="auto"/>
            <w:bottom w:val="none" w:sz="0" w:space="0" w:color="auto"/>
            <w:right w:val="none" w:sz="0" w:space="0" w:color="auto"/>
          </w:divBdr>
        </w:div>
      </w:divsChild>
    </w:div>
    <w:div w:id="1818187042">
      <w:bodyDiv w:val="1"/>
      <w:marLeft w:val="0"/>
      <w:marRight w:val="0"/>
      <w:marTop w:val="0"/>
      <w:marBottom w:val="0"/>
      <w:divBdr>
        <w:top w:val="none" w:sz="0" w:space="0" w:color="auto"/>
        <w:left w:val="none" w:sz="0" w:space="0" w:color="auto"/>
        <w:bottom w:val="none" w:sz="0" w:space="0" w:color="auto"/>
        <w:right w:val="none" w:sz="0" w:space="0" w:color="auto"/>
      </w:divBdr>
      <w:divsChild>
        <w:div w:id="575165849">
          <w:marLeft w:val="1166"/>
          <w:marRight w:val="0"/>
          <w:marTop w:val="106"/>
          <w:marBottom w:val="0"/>
          <w:divBdr>
            <w:top w:val="none" w:sz="0" w:space="0" w:color="auto"/>
            <w:left w:val="none" w:sz="0" w:space="0" w:color="auto"/>
            <w:bottom w:val="none" w:sz="0" w:space="0" w:color="auto"/>
            <w:right w:val="none" w:sz="0" w:space="0" w:color="auto"/>
          </w:divBdr>
        </w:div>
      </w:divsChild>
    </w:div>
    <w:div w:id="1977176986">
      <w:bodyDiv w:val="1"/>
      <w:marLeft w:val="0"/>
      <w:marRight w:val="0"/>
      <w:marTop w:val="0"/>
      <w:marBottom w:val="0"/>
      <w:divBdr>
        <w:top w:val="none" w:sz="0" w:space="0" w:color="auto"/>
        <w:left w:val="none" w:sz="0" w:space="0" w:color="auto"/>
        <w:bottom w:val="none" w:sz="0" w:space="0" w:color="auto"/>
        <w:right w:val="none" w:sz="0" w:space="0" w:color="auto"/>
      </w:divBdr>
      <w:divsChild>
        <w:div w:id="1049574518">
          <w:marLeft w:val="547"/>
          <w:marRight w:val="0"/>
          <w:marTop w:val="96"/>
          <w:marBottom w:val="0"/>
          <w:divBdr>
            <w:top w:val="none" w:sz="0" w:space="0" w:color="auto"/>
            <w:left w:val="none" w:sz="0" w:space="0" w:color="auto"/>
            <w:bottom w:val="none" w:sz="0" w:space="0" w:color="auto"/>
            <w:right w:val="none" w:sz="0" w:space="0" w:color="auto"/>
          </w:divBdr>
        </w:div>
        <w:div w:id="1713073359">
          <w:marLeft w:val="1166"/>
          <w:marRight w:val="0"/>
          <w:marTop w:val="86"/>
          <w:marBottom w:val="0"/>
          <w:divBdr>
            <w:top w:val="none" w:sz="0" w:space="0" w:color="auto"/>
            <w:left w:val="none" w:sz="0" w:space="0" w:color="auto"/>
            <w:bottom w:val="none" w:sz="0" w:space="0" w:color="auto"/>
            <w:right w:val="none" w:sz="0" w:space="0" w:color="auto"/>
          </w:divBdr>
        </w:div>
        <w:div w:id="248972522">
          <w:marLeft w:val="1800"/>
          <w:marRight w:val="0"/>
          <w:marTop w:val="72"/>
          <w:marBottom w:val="0"/>
          <w:divBdr>
            <w:top w:val="none" w:sz="0" w:space="0" w:color="auto"/>
            <w:left w:val="none" w:sz="0" w:space="0" w:color="auto"/>
            <w:bottom w:val="none" w:sz="0" w:space="0" w:color="auto"/>
            <w:right w:val="none" w:sz="0" w:space="0" w:color="auto"/>
          </w:divBdr>
        </w:div>
        <w:div w:id="1588225955">
          <w:marLeft w:val="2520"/>
          <w:marRight w:val="0"/>
          <w:marTop w:val="62"/>
          <w:marBottom w:val="0"/>
          <w:divBdr>
            <w:top w:val="none" w:sz="0" w:space="0" w:color="auto"/>
            <w:left w:val="none" w:sz="0" w:space="0" w:color="auto"/>
            <w:bottom w:val="none" w:sz="0" w:space="0" w:color="auto"/>
            <w:right w:val="none" w:sz="0" w:space="0" w:color="auto"/>
          </w:divBdr>
        </w:div>
        <w:div w:id="865944289">
          <w:marLeft w:val="1166"/>
          <w:marRight w:val="0"/>
          <w:marTop w:val="86"/>
          <w:marBottom w:val="0"/>
          <w:divBdr>
            <w:top w:val="none" w:sz="0" w:space="0" w:color="auto"/>
            <w:left w:val="none" w:sz="0" w:space="0" w:color="auto"/>
            <w:bottom w:val="none" w:sz="0" w:space="0" w:color="auto"/>
            <w:right w:val="none" w:sz="0" w:space="0" w:color="auto"/>
          </w:divBdr>
        </w:div>
        <w:div w:id="746920360">
          <w:marLeft w:val="1800"/>
          <w:marRight w:val="0"/>
          <w:marTop w:val="72"/>
          <w:marBottom w:val="0"/>
          <w:divBdr>
            <w:top w:val="none" w:sz="0" w:space="0" w:color="auto"/>
            <w:left w:val="none" w:sz="0" w:space="0" w:color="auto"/>
            <w:bottom w:val="none" w:sz="0" w:space="0" w:color="auto"/>
            <w:right w:val="none" w:sz="0" w:space="0" w:color="auto"/>
          </w:divBdr>
        </w:div>
        <w:div w:id="468279676">
          <w:marLeft w:val="2520"/>
          <w:marRight w:val="0"/>
          <w:marTop w:val="62"/>
          <w:marBottom w:val="0"/>
          <w:divBdr>
            <w:top w:val="none" w:sz="0" w:space="0" w:color="auto"/>
            <w:left w:val="none" w:sz="0" w:space="0" w:color="auto"/>
            <w:bottom w:val="none" w:sz="0" w:space="0" w:color="auto"/>
            <w:right w:val="none" w:sz="0" w:space="0" w:color="auto"/>
          </w:divBdr>
        </w:div>
        <w:div w:id="379481779">
          <w:marLeft w:val="1166"/>
          <w:marRight w:val="0"/>
          <w:marTop w:val="86"/>
          <w:marBottom w:val="0"/>
          <w:divBdr>
            <w:top w:val="none" w:sz="0" w:space="0" w:color="auto"/>
            <w:left w:val="none" w:sz="0" w:space="0" w:color="auto"/>
            <w:bottom w:val="none" w:sz="0" w:space="0" w:color="auto"/>
            <w:right w:val="none" w:sz="0" w:space="0" w:color="auto"/>
          </w:divBdr>
        </w:div>
        <w:div w:id="1887258434">
          <w:marLeft w:val="1800"/>
          <w:marRight w:val="0"/>
          <w:marTop w:val="72"/>
          <w:marBottom w:val="0"/>
          <w:divBdr>
            <w:top w:val="none" w:sz="0" w:space="0" w:color="auto"/>
            <w:left w:val="none" w:sz="0" w:space="0" w:color="auto"/>
            <w:bottom w:val="none" w:sz="0" w:space="0" w:color="auto"/>
            <w:right w:val="none" w:sz="0" w:space="0" w:color="auto"/>
          </w:divBdr>
        </w:div>
        <w:div w:id="553741186">
          <w:marLeft w:val="2520"/>
          <w:marRight w:val="0"/>
          <w:marTop w:val="62"/>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1.xml"/><Relationship Id="rId5" Type="http://schemas.openxmlformats.org/officeDocument/2006/relationships/webSettings" Target="webSettings.xml"/><Relationship Id="rId4" Type="http://schemas.openxmlformats.org/officeDocument/2006/relationships/settings" Target="settings.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a:pPr>
            <a:r>
              <a:rPr lang="en-US" sz="1200" dirty="0"/>
              <a:t>Policy Content</a:t>
            </a:r>
          </a:p>
        </c:rich>
      </c:tx>
      <c:overlay val="0"/>
    </c:title>
    <c:autoTitleDeleted val="0"/>
    <c:plotArea>
      <c:layout/>
      <c:doughnutChart>
        <c:varyColors val="1"/>
        <c:ser>
          <c:idx val="0"/>
          <c:order val="0"/>
          <c:tx>
            <c:strRef>
              <c:f>Sheet1!$B$1</c:f>
              <c:strCache>
                <c:ptCount val="1"/>
                <c:pt idx="0">
                  <c:v>Policy Content</c:v>
                </c:pt>
              </c:strCache>
            </c:strRef>
          </c:tx>
          <c:cat>
            <c:strRef>
              <c:f>Sheet1!$A$2:$A$4</c:f>
              <c:strCache>
                <c:ptCount val="3"/>
                <c:pt idx="0">
                  <c:v>Problem Definition</c:v>
                </c:pt>
                <c:pt idx="1">
                  <c:v>Goals</c:v>
                </c:pt>
                <c:pt idx="2">
                  <c:v>Instruments</c:v>
                </c:pt>
              </c:strCache>
            </c:strRef>
          </c:cat>
          <c:val>
            <c:numRef>
              <c:f>Sheet1!$B$2:$B$4</c:f>
              <c:numCache>
                <c:formatCode>General</c:formatCode>
                <c:ptCount val="3"/>
                <c:pt idx="0">
                  <c:v>5</c:v>
                </c:pt>
                <c:pt idx="1">
                  <c:v>5</c:v>
                </c:pt>
                <c:pt idx="2">
                  <c:v>5</c:v>
                </c:pt>
              </c:numCache>
            </c:numRef>
          </c:val>
        </c:ser>
        <c:dLbls>
          <c:showLegendKey val="0"/>
          <c:showVal val="0"/>
          <c:showCatName val="0"/>
          <c:showSerName val="0"/>
          <c:showPercent val="0"/>
          <c:showBubbleSize val="0"/>
          <c:showLeaderLines val="1"/>
        </c:dLbls>
        <c:firstSliceAng val="0"/>
        <c:holeSize val="50"/>
      </c:doughnutChart>
    </c:plotArea>
    <c:legend>
      <c:legendPos val="r"/>
      <c:overlay val="0"/>
      <c:txPr>
        <a:bodyPr/>
        <a:lstStyle/>
        <a:p>
          <a:pPr>
            <a:defRPr sz="800"/>
          </a:pPr>
          <a:endParaRPr lang="en-US"/>
        </a:p>
      </c:txPr>
    </c:legend>
    <c:plotVisOnly val="1"/>
    <c:dispBlanksAs val="zero"/>
    <c:showDLblsOverMax val="0"/>
  </c:chart>
  <c:txPr>
    <a:bodyPr/>
    <a:lstStyle/>
    <a:p>
      <a:pPr>
        <a:defRPr sz="1800"/>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2</Pages>
  <Words>646</Words>
  <Characters>3688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Kayle</dc:creator>
  <cp:lastModifiedBy>Kayle</cp:lastModifiedBy>
  <cp:revision>1</cp:revision>
  <dcterms:created xsi:type="dcterms:W3CDTF">2012-12-07T18:49:00Z</dcterms:created>
  <dcterms:modified xsi:type="dcterms:W3CDTF">2012-12-07T19:41:00Z</dcterms:modified>
</cp:coreProperties>
</file>