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6DD92" w14:textId="617A83B0" w:rsidR="00CA35EC" w:rsidRDefault="00F10226">
      <w:r>
        <w:t>MHR520 Ryerson University</w:t>
      </w:r>
    </w:p>
    <w:p w14:paraId="5FB4B898" w14:textId="531A9569" w:rsidR="00F10226" w:rsidRDefault="00F10226">
      <w:r>
        <w:t>Jan/ 2019</w:t>
      </w:r>
    </w:p>
    <w:p w14:paraId="1575C78A" w14:textId="6274C615" w:rsidR="000D31F0" w:rsidRDefault="000D31F0"/>
    <w:p w14:paraId="323C2755" w14:textId="77777777" w:rsidR="00F10226" w:rsidRDefault="00F10226" w:rsidP="00ED1F83">
      <w:pPr>
        <w:pStyle w:val="NormalWeb"/>
        <w:rPr>
          <w:rFonts w:ascii="-webkit-standard" w:hAnsi="-webkit-standard"/>
          <w:color w:val="000000"/>
        </w:rPr>
      </w:pPr>
    </w:p>
    <w:p w14:paraId="0674CD2B" w14:textId="05C3590E" w:rsidR="00ED1F83" w:rsidRDefault="00ED1F83" w:rsidP="00ED1F83">
      <w:pPr>
        <w:pStyle w:val="NormalWeb"/>
        <w:rPr>
          <w:rFonts w:ascii="-webkit-standard" w:hAnsi="-webkit-standard"/>
          <w:color w:val="000000"/>
        </w:rPr>
      </w:pPr>
      <w:r>
        <w:rPr>
          <w:rFonts w:ascii="-webkit-standard" w:hAnsi="-webkit-standard"/>
          <w:color w:val="000000"/>
        </w:rPr>
        <w:t>The 2020 year has been full of changes. Specifically, the current pandemic has made the greatest difference in the lives of working people and has frustrated the economy, forcing it to enter into one of the worst recessions since 2008 (Alessi, 2020)1.</w:t>
      </w:r>
      <w:r>
        <w:rPr>
          <w:rStyle w:val="apple-converted-space"/>
          <w:rFonts w:ascii="-webkit-standard" w:hAnsi="-webkit-standard"/>
          <w:color w:val="000000"/>
        </w:rPr>
        <w:t> </w:t>
      </w:r>
    </w:p>
    <w:p w14:paraId="49EFAA4F" w14:textId="77777777" w:rsidR="00ED1F83" w:rsidRDefault="00ED1F83" w:rsidP="00ED1F83">
      <w:pPr>
        <w:pStyle w:val="NormalWeb"/>
        <w:rPr>
          <w:rFonts w:ascii="-webkit-standard" w:hAnsi="-webkit-standard"/>
          <w:color w:val="000000"/>
        </w:rPr>
      </w:pPr>
      <w:r>
        <w:rPr>
          <w:rFonts w:ascii="-webkit-standard" w:hAnsi="-webkit-standard"/>
          <w:color w:val="000000"/>
        </w:rPr>
        <w:t>One of the persisting issues that is still unresolved and continues to weigh down on employees of all levels is the matter of paid sick leaves. The data shows that 58% of Canadian workers lack enough paid sick leave (GBN, 2021). The number of cases has risen and surpassed 900,000 mark (Jackson, 2021)2, as the pandemic goes on, the lack of paid sick days leaves those, who may contract the virus and suffer from health and financial burdens, in high state of uncertainty.</w:t>
      </w:r>
      <w:r>
        <w:rPr>
          <w:rStyle w:val="apple-converted-space"/>
          <w:rFonts w:ascii="-webkit-standard" w:hAnsi="-webkit-standard"/>
          <w:color w:val="000000"/>
        </w:rPr>
        <w:t> </w:t>
      </w:r>
    </w:p>
    <w:p w14:paraId="0A6581AD" w14:textId="77777777" w:rsidR="00ED1F83" w:rsidRDefault="00ED1F83" w:rsidP="00ED1F83">
      <w:pPr>
        <w:pStyle w:val="NormalWeb"/>
        <w:rPr>
          <w:rFonts w:ascii="-webkit-standard" w:hAnsi="-webkit-standard"/>
          <w:color w:val="000000"/>
        </w:rPr>
      </w:pPr>
      <w:r>
        <w:rPr>
          <w:rFonts w:ascii="-webkit-standard" w:hAnsi="-webkit-standard"/>
          <w:color w:val="000000"/>
        </w:rPr>
        <w:t>Therefore, mandating all Canadian employers to adopt paid sick leave can not only alleviate current financial pressure on the economy but also put a human face on the current employment regime. “However, the lack of Government persistence to put forth efforts in mandating paid sick days continuously leads to failed attempts at passing Bill 239.</w:t>
      </w:r>
      <w:r>
        <w:rPr>
          <w:rStyle w:val="apple-converted-space"/>
          <w:rFonts w:ascii="-webkit-standard" w:hAnsi="-webkit-standard"/>
          <w:color w:val="000000"/>
        </w:rPr>
        <w:t> </w:t>
      </w:r>
    </w:p>
    <w:p w14:paraId="732C8FAE" w14:textId="77777777" w:rsidR="00ED1F83" w:rsidRDefault="00ED1F83" w:rsidP="00ED1F83">
      <w:pPr>
        <w:pStyle w:val="NormalWeb"/>
        <w:rPr>
          <w:rFonts w:ascii="-webkit-standard" w:hAnsi="-webkit-standard"/>
          <w:color w:val="000000"/>
        </w:rPr>
      </w:pPr>
      <w:r>
        <w:rPr>
          <w:rFonts w:ascii="-webkit-standard" w:hAnsi="-webkit-standard"/>
          <w:color w:val="000000"/>
        </w:rPr>
        <w:t>In his famous work, “Employment with a Human Face”, John Budd discusses the importance of efficiency, equity and voice in employment relationship (). His work can further give us insight as to why the government fails to adopt these changes. The failure is evident through 3 lenses that will be viewed in detail. The current Legal Environment favours the employers as the courts showed tendency to rule in favour of employers. The Technical Concept suggests that bargaining power falls more towards large institutions such as employers. Lastly, The Economic Environment with relative power going to scarcity trades in demand.</w:t>
      </w:r>
    </w:p>
    <w:p w14:paraId="34E00260" w14:textId="10C7E230" w:rsidR="000D31F0" w:rsidRDefault="000D31F0"/>
    <w:p w14:paraId="5F3CFF96" w14:textId="4272C13A" w:rsidR="000D31F0" w:rsidRDefault="000D31F0">
      <w:r>
        <w:t>Considering the short term effects this current epidemic has frustrated, it is evident that enforcing all Canadian employers to adopt paid sick leave will further alleviate current financial pressure on the economy.   “58% of Canadians lack enough paid sick leave in considering Covid-19” (GBN, 2021) As cases have risen to over 900,000 from the start of this pandemic in Canada, leaves uncertainty for those who may contract the virus to suffer health and financial conflicts.  However the lack of Government adoption to put forth efforts in mandating sick days</w:t>
      </w:r>
      <w:r w:rsidR="00625C7B">
        <w:t xml:space="preserve">, continuously leads to failed attempts at bill passing. </w:t>
      </w:r>
      <w:r w:rsidR="00404BCA">
        <w:t xml:space="preserve">  “Employment with a Human Face” by John Budd, can further give us insight as to why the government fails to adopt these changes.  The </w:t>
      </w:r>
      <w:r w:rsidR="00404BCA">
        <w:rPr>
          <w:i/>
          <w:iCs/>
        </w:rPr>
        <w:t xml:space="preserve">Legal Environment </w:t>
      </w:r>
      <w:r w:rsidR="00404BCA">
        <w:t xml:space="preserve">is present as courts have tended to rule decisions benefiting employers.  </w:t>
      </w:r>
      <w:r w:rsidR="00404BCA">
        <w:rPr>
          <w:i/>
          <w:iCs/>
        </w:rPr>
        <w:t xml:space="preserve">Technical Concept </w:t>
      </w:r>
      <w:r w:rsidR="00404BCA">
        <w:t xml:space="preserve">suggests bargaining power tends to go to large institution like employers.   Lastly, </w:t>
      </w:r>
      <w:r w:rsidR="00404BCA">
        <w:rPr>
          <w:i/>
          <w:iCs/>
        </w:rPr>
        <w:t xml:space="preserve">The Economic Environment </w:t>
      </w:r>
      <w:r w:rsidR="00404BCA">
        <w:t xml:space="preserve">with relative power going to scarcity trades in demand.  </w:t>
      </w:r>
    </w:p>
    <w:p w14:paraId="476BA284" w14:textId="17AD3822" w:rsidR="00AD7304" w:rsidRDefault="00AD7304"/>
    <w:p w14:paraId="6B4F3462" w14:textId="5899911B" w:rsidR="00EF67F9" w:rsidRDefault="00EF67F9"/>
    <w:p w14:paraId="16609C3E" w14:textId="431E5D74" w:rsidR="00EF67F9" w:rsidRDefault="00EF67F9">
      <w:r>
        <w:lastRenderedPageBreak/>
        <w:t xml:space="preserve">John Budd stated the </w:t>
      </w:r>
      <w:r w:rsidR="008B3D58">
        <w:t xml:space="preserve">multi-step approval </w:t>
      </w:r>
      <w:r>
        <w:t xml:space="preserve">process of labour unions forming and becoming recognised by the NLRA.   Given this complex process gives further complication for employees voices to be heard due to the legal framework.   Provisions set forth by NLRA “Lack of penalties to employer, and failure to completely restrict the use of permanent strike replacements” (Budd, 2004. p50-51) Evidently these provisions are put forth to benefit the employer and portrays relevancy to how </w:t>
      </w:r>
      <w:r w:rsidR="004A46BC">
        <w:t>governments</w:t>
      </w:r>
      <w:r>
        <w:t xml:space="preserve"> are failing to uphold obligations to pay employees through illness.   </w:t>
      </w:r>
      <w:r w:rsidR="004A46BC">
        <w:t>As employee strikes will affect production/ and profits of the company; it is unethical for the government to take side</w:t>
      </w:r>
      <w:r w:rsidR="008B3D58">
        <w:t xml:space="preserve"> for higher</w:t>
      </w:r>
      <w:r w:rsidR="004A46BC">
        <w:t xml:space="preserve"> taxation and economic benefit.  </w:t>
      </w:r>
      <w:r w:rsidR="00785220">
        <w:t>I</w:t>
      </w:r>
      <w:r w:rsidR="004A46BC">
        <w:t>nvestments into well-being of employees during this pandemic will further alleviate the future economic pressure ahead</w:t>
      </w:r>
      <w:r w:rsidR="008B3D58">
        <w:t xml:space="preserve">, </w:t>
      </w:r>
      <w:r w:rsidR="00785220">
        <w:t>and the legal system designed to diminish bargaining units will hurt for long term profits</w:t>
      </w:r>
      <w:r w:rsidR="004A46BC">
        <w:t xml:space="preserve">.  </w:t>
      </w:r>
    </w:p>
    <w:p w14:paraId="0B05662D" w14:textId="1BCE9544" w:rsidR="000C0193" w:rsidRDefault="000C0193"/>
    <w:p w14:paraId="5F411DC1" w14:textId="601F5CF6" w:rsidR="00CA3CB8" w:rsidRDefault="00CA3CB8"/>
    <w:p w14:paraId="2E3E4021" w14:textId="33414D48" w:rsidR="00CA3CB8" w:rsidRPr="00CA3CB8" w:rsidRDefault="00CA3CB8">
      <w:r>
        <w:t xml:space="preserve">In analyzing how the </w:t>
      </w:r>
      <w:r>
        <w:rPr>
          <w:i/>
          <w:iCs/>
        </w:rPr>
        <w:t xml:space="preserve">Technical theory </w:t>
      </w:r>
      <w:r>
        <w:t>portrays relevancy suggests that variables in corporations bargaining power are determined by the corporations size and economic impact.  Therefore corporations with a high amount of employees are designated a bargaining unit whilst he smaller sectors may fail in adopting a union; leading to their voices being overlooked.</w:t>
      </w:r>
    </w:p>
    <w:p w14:paraId="1852FC49" w14:textId="0D7A4AE5" w:rsidR="00CA3CB8" w:rsidRDefault="00CA3CB8">
      <w:r>
        <w:t xml:space="preserve">Furthermore, the technical aspect plays a role in prohibiting the illness leave as the corporate structure shifting from fixed locations to </w:t>
      </w:r>
      <w:r w:rsidR="00D7577D">
        <w:t>non-fixed</w:t>
      </w:r>
      <w:r>
        <w:t xml:space="preserve"> locations.  “A critical component to the technical concept is technology” (Budd, 2004. P23)  </w:t>
      </w:r>
      <w:r w:rsidR="00D7577D">
        <w:t>As the current transition into remote work further reduces well-being initiatives imposed by employers and neglecting the workers voice.  In all, to undervalue corporations and employees bargaining power based on co</w:t>
      </w:r>
      <w:r w:rsidR="00E860B1">
        <w:t>mpany</w:t>
      </w:r>
      <w:r w:rsidR="00D7577D">
        <w:t xml:space="preserve"> size and structure is evident in the failure to impose Bill 239</w:t>
      </w:r>
      <w:r w:rsidR="00E860B1">
        <w:t>; as smaller corporations or those with low turnover have complications in implementing a union.</w:t>
      </w:r>
    </w:p>
    <w:p w14:paraId="58DE1C66" w14:textId="77777777" w:rsidR="00CA3CB8" w:rsidRDefault="00CA3CB8"/>
    <w:p w14:paraId="0FAC01FF" w14:textId="7F3D3438" w:rsidR="000C0193" w:rsidRDefault="00A65963">
      <w:r>
        <w:t>“</w:t>
      </w:r>
      <w:r w:rsidRPr="00A65963">
        <w:rPr>
          <w:i/>
          <w:iCs/>
        </w:rPr>
        <w:t>Economic Environment</w:t>
      </w:r>
      <w:r>
        <w:rPr>
          <w:i/>
          <w:iCs/>
        </w:rPr>
        <w:t xml:space="preserve"> </w:t>
      </w:r>
      <w:r>
        <w:t xml:space="preserve">can be captured by the recognition that labour is derived from demand” (Marshall, 1920) This economic aspect contains the value/supply and demand for the corporations products, in turn affecting the labour force demand.   The notion of bargaining power among employee trade unions is higher during times of demand, and lower </w:t>
      </w:r>
      <w:r w:rsidR="008B3D58">
        <w:t>during periods of company underperformance, puts forth</w:t>
      </w:r>
      <w:r>
        <w:t xml:space="preserve"> job security risk for </w:t>
      </w:r>
      <w:r w:rsidR="008B3D58">
        <w:t>employees</w:t>
      </w:r>
      <w:r>
        <w:t>.  As the Federal government fails to adopt a funded plan for employee illness; is evident as non-essential workplaces, and those with lower demand have lower bargaining power</w:t>
      </w:r>
      <w:r w:rsidR="008B3D58">
        <w:t xml:space="preserve">; leading to their </w:t>
      </w:r>
      <w:r>
        <w:t>non-entitlement to enforced paid sick leave.</w:t>
      </w:r>
    </w:p>
    <w:p w14:paraId="6A0946E5" w14:textId="00F1B775" w:rsidR="007E49AF" w:rsidRDefault="007E49AF"/>
    <w:p w14:paraId="5417A512" w14:textId="2A248BC4" w:rsidR="007E49AF" w:rsidRDefault="007E49AF"/>
    <w:p w14:paraId="5D9821CE" w14:textId="09686A51" w:rsidR="000D31F0" w:rsidRDefault="000D31F0"/>
    <w:sectPr w:rsidR="000D31F0" w:rsidSect="005D32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988"/>
    <w:rsid w:val="00053C6D"/>
    <w:rsid w:val="0007637F"/>
    <w:rsid w:val="000C0193"/>
    <w:rsid w:val="000D31F0"/>
    <w:rsid w:val="00224988"/>
    <w:rsid w:val="00351009"/>
    <w:rsid w:val="00404BCA"/>
    <w:rsid w:val="004A46BC"/>
    <w:rsid w:val="0053462B"/>
    <w:rsid w:val="005D32A7"/>
    <w:rsid w:val="00625C7B"/>
    <w:rsid w:val="006461D2"/>
    <w:rsid w:val="006809FA"/>
    <w:rsid w:val="006D48F7"/>
    <w:rsid w:val="00785220"/>
    <w:rsid w:val="007E49AF"/>
    <w:rsid w:val="008B3D58"/>
    <w:rsid w:val="00A65963"/>
    <w:rsid w:val="00AD7304"/>
    <w:rsid w:val="00CA35EC"/>
    <w:rsid w:val="00CA3CB8"/>
    <w:rsid w:val="00CB3BEA"/>
    <w:rsid w:val="00CD61A6"/>
    <w:rsid w:val="00D7577D"/>
    <w:rsid w:val="00E860B1"/>
    <w:rsid w:val="00ED1F83"/>
    <w:rsid w:val="00ED466A"/>
    <w:rsid w:val="00EF67F9"/>
    <w:rsid w:val="00F102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EDF8413"/>
  <w15:chartTrackingRefBased/>
  <w15:docId w15:val="{B4643B1D-9FB6-6742-8274-B1428C4F2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35EC"/>
    <w:rPr>
      <w:color w:val="0563C1" w:themeColor="hyperlink"/>
      <w:u w:val="single"/>
    </w:rPr>
  </w:style>
  <w:style w:type="character" w:styleId="UnresolvedMention">
    <w:name w:val="Unresolved Mention"/>
    <w:basedOn w:val="DefaultParagraphFont"/>
    <w:uiPriority w:val="99"/>
    <w:semiHidden/>
    <w:unhideWhenUsed/>
    <w:rsid w:val="00CA35EC"/>
    <w:rPr>
      <w:color w:val="605E5C"/>
      <w:shd w:val="clear" w:color="auto" w:fill="E1DFDD"/>
    </w:rPr>
  </w:style>
  <w:style w:type="character" w:styleId="FollowedHyperlink">
    <w:name w:val="FollowedHyperlink"/>
    <w:basedOn w:val="DefaultParagraphFont"/>
    <w:uiPriority w:val="99"/>
    <w:semiHidden/>
    <w:unhideWhenUsed/>
    <w:rsid w:val="00CA35EC"/>
    <w:rPr>
      <w:color w:val="954F72" w:themeColor="followedHyperlink"/>
      <w:u w:val="single"/>
    </w:rPr>
  </w:style>
  <w:style w:type="paragraph" w:styleId="NormalWeb">
    <w:name w:val="Normal (Web)"/>
    <w:basedOn w:val="Normal"/>
    <w:uiPriority w:val="99"/>
    <w:semiHidden/>
    <w:unhideWhenUsed/>
    <w:rsid w:val="00ED1F83"/>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ED1F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718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803</Words>
  <Characters>4579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De Santis</dc:creator>
  <cp:keywords/>
  <dc:description/>
  <cp:lastModifiedBy>Marco De Santis</cp:lastModifiedBy>
  <cp:revision>5</cp:revision>
  <dcterms:created xsi:type="dcterms:W3CDTF">2021-03-17T21:25:00Z</dcterms:created>
  <dcterms:modified xsi:type="dcterms:W3CDTF">2021-11-21T16:26:00Z</dcterms:modified>
</cp:coreProperties>
</file>