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BE2" w:rsidRDefault="00602BE2">
      <w:pPr>
        <w:jc w:val="center"/>
        <w:rPr>
          <w:rFonts w:ascii="Transit" w:hAnsi="Transit" w:cs="Transit"/>
          <w:b/>
          <w:bCs/>
          <w:sz w:val="32"/>
          <w:szCs w:val="32"/>
          <w:u w:val="single"/>
          <w:lang w:val="en-US"/>
        </w:rPr>
      </w:pPr>
      <w:r>
        <w:rPr>
          <w:rFonts w:ascii="Transit" w:hAnsi="Transit" w:cs="Transit"/>
          <w:b/>
          <w:bCs/>
          <w:sz w:val="32"/>
          <w:szCs w:val="32"/>
          <w:u w:val="single"/>
          <w:lang w:val="en-US"/>
        </w:rPr>
        <w:t>Criminal Law Midterm Notes</w:t>
      </w:r>
    </w:p>
    <w:p w:rsidR="00602BE2" w:rsidRDefault="00602BE2">
      <w:pPr>
        <w:jc w:val="right"/>
        <w:rPr>
          <w:rFonts w:ascii="Transit" w:hAnsi="Transit" w:cs="Transit"/>
          <w:sz w:val="22"/>
          <w:szCs w:val="22"/>
          <w:lang w:val="en-US"/>
        </w:rPr>
      </w:pPr>
      <w:r>
        <w:rPr>
          <w:rFonts w:ascii="Transit" w:hAnsi="Transit" w:cs="Transit"/>
          <w:sz w:val="22"/>
          <w:szCs w:val="22"/>
          <w:lang w:val="en-US"/>
        </w:rPr>
        <w:t>Note Legend</w:t>
      </w:r>
    </w:p>
    <w:p w:rsidR="00602BE2" w:rsidRDefault="00602BE2">
      <w:pPr>
        <w:jc w:val="right"/>
        <w:rPr>
          <w:rFonts w:ascii="Transit" w:hAnsi="Transit" w:cs="Transit"/>
          <w:color w:val="800080"/>
          <w:sz w:val="22"/>
          <w:szCs w:val="22"/>
          <w:lang w:val="en-US"/>
        </w:rPr>
      </w:pPr>
      <w:r>
        <w:rPr>
          <w:rFonts w:ascii="Transit" w:hAnsi="Transit" w:cs="Transit"/>
          <w:color w:val="800080"/>
          <w:sz w:val="22"/>
          <w:szCs w:val="22"/>
          <w:lang w:val="en-US"/>
        </w:rPr>
        <w:t>Examples</w:t>
      </w:r>
    </w:p>
    <w:p w:rsidR="00602BE2" w:rsidRDefault="00602BE2">
      <w:pPr>
        <w:jc w:val="right"/>
        <w:rPr>
          <w:rFonts w:ascii="Transit" w:hAnsi="Transit" w:cs="Transit"/>
          <w:color w:val="FF6600"/>
          <w:sz w:val="22"/>
          <w:szCs w:val="22"/>
          <w:lang w:val="en-US"/>
        </w:rPr>
      </w:pPr>
      <w:r>
        <w:rPr>
          <w:rFonts w:ascii="Transit" w:hAnsi="Transit" w:cs="Transit"/>
          <w:color w:val="FF6600"/>
          <w:sz w:val="22"/>
          <w:szCs w:val="22"/>
          <w:lang w:val="en-US"/>
        </w:rPr>
        <w:t>Cases</w:t>
      </w:r>
    </w:p>
    <w:p w:rsidR="00602BE2" w:rsidRDefault="00602BE2">
      <w:pPr>
        <w:jc w:val="right"/>
        <w:rPr>
          <w:rFonts w:ascii="Transit" w:hAnsi="Transit" w:cs="Transit"/>
          <w:color w:val="008000"/>
          <w:sz w:val="22"/>
          <w:szCs w:val="22"/>
          <w:lang w:val="en-US"/>
        </w:rPr>
      </w:pPr>
      <w:r>
        <w:rPr>
          <w:rFonts w:ascii="Transit" w:hAnsi="Transit" w:cs="Transit"/>
          <w:color w:val="008000"/>
          <w:sz w:val="22"/>
          <w:szCs w:val="22"/>
          <w:lang w:val="en-US"/>
        </w:rPr>
        <w:t>Legislation</w:t>
      </w:r>
    </w:p>
    <w:p w:rsidR="00602BE2" w:rsidRDefault="00602BE2">
      <w:pPr>
        <w:jc w:val="right"/>
        <w:rPr>
          <w:rFonts w:ascii="Transit" w:hAnsi="Transit" w:cs="Transit"/>
          <w:color w:val="000080"/>
          <w:sz w:val="22"/>
          <w:szCs w:val="22"/>
          <w:lang w:val="en-US"/>
        </w:rPr>
      </w:pPr>
      <w:r>
        <w:rPr>
          <w:rFonts w:ascii="Transit" w:hAnsi="Transit" w:cs="Transit"/>
          <w:color w:val="000080"/>
          <w:sz w:val="22"/>
          <w:szCs w:val="22"/>
          <w:lang w:val="en-US"/>
        </w:rPr>
        <w:t>Defences</w:t>
      </w:r>
    </w:p>
    <w:p w:rsidR="00602BE2" w:rsidRDefault="00602BE2">
      <w:pPr>
        <w:jc w:val="right"/>
        <w:rPr>
          <w:rFonts w:ascii="Transit" w:hAnsi="Transit" w:cs="Transit"/>
          <w:b/>
          <w:bCs/>
          <w:sz w:val="22"/>
          <w:szCs w:val="22"/>
          <w:lang w:val="en-US"/>
        </w:rPr>
      </w:pPr>
      <w:r>
        <w:rPr>
          <w:rFonts w:ascii="Transit" w:hAnsi="Transit" w:cs="Transit"/>
          <w:b/>
          <w:bCs/>
          <w:sz w:val="22"/>
          <w:szCs w:val="22"/>
          <w:lang w:val="en-US"/>
        </w:rPr>
        <w:t>Terms</w:t>
      </w:r>
    </w:p>
    <w:p w:rsidR="00602BE2" w:rsidRDefault="00602BE2">
      <w:pPr>
        <w:jc w:val="center"/>
        <w:rPr>
          <w:b/>
          <w:bCs/>
          <w:sz w:val="32"/>
          <w:szCs w:val="32"/>
          <w:u w:val="single"/>
          <w:lang w:val="en-US"/>
        </w:rPr>
      </w:pPr>
    </w:p>
    <w:p w:rsidR="00602BE2" w:rsidRDefault="00602BE2">
      <w:pPr>
        <w:jc w:val="both"/>
        <w:rPr>
          <w:sz w:val="24"/>
          <w:szCs w:val="24"/>
          <w:lang w:val="en-US"/>
        </w:rPr>
      </w:pPr>
      <w:r>
        <w:rPr>
          <w:sz w:val="24"/>
          <w:szCs w:val="24"/>
          <w:lang w:val="en-US"/>
        </w:rPr>
        <w:t>Terms you need to know!</w:t>
      </w:r>
    </w:p>
    <w:p w:rsidR="00602BE2" w:rsidRDefault="00602BE2">
      <w:pPr>
        <w:jc w:val="both"/>
        <w:rPr>
          <w:sz w:val="24"/>
          <w:szCs w:val="24"/>
          <w:lang w:val="en-US"/>
        </w:rPr>
      </w:pPr>
    </w:p>
    <w:p w:rsidR="00602BE2" w:rsidRDefault="00602BE2">
      <w:pPr>
        <w:jc w:val="right"/>
        <w:rPr>
          <w:b/>
          <w:bCs/>
          <w:sz w:val="24"/>
          <w:szCs w:val="24"/>
          <w:u w:val="single"/>
          <w:lang w:val="en-US"/>
        </w:rPr>
      </w:pPr>
      <w:r>
        <w:rPr>
          <w:b/>
          <w:bCs/>
          <w:sz w:val="24"/>
          <w:szCs w:val="24"/>
          <w:u w:val="single"/>
          <w:lang w:val="en-US"/>
        </w:rPr>
        <w:t>TYPES OF OFFENCES</w:t>
      </w:r>
    </w:p>
    <w:p w:rsidR="00602BE2" w:rsidRDefault="00602BE2">
      <w:pPr>
        <w:jc w:val="both"/>
        <w:rPr>
          <w:sz w:val="24"/>
          <w:szCs w:val="24"/>
          <w:lang w:val="en-US"/>
        </w:rPr>
      </w:pPr>
      <w:r>
        <w:rPr>
          <w:b/>
          <w:bCs/>
          <w:sz w:val="24"/>
          <w:szCs w:val="24"/>
          <w:lang w:val="en-US"/>
        </w:rPr>
        <w:t>General</w:t>
      </w:r>
      <w:r>
        <w:rPr>
          <w:sz w:val="24"/>
          <w:szCs w:val="24"/>
          <w:lang w:val="en-US"/>
        </w:rPr>
        <w:t>/</w:t>
      </w:r>
      <w:r>
        <w:rPr>
          <w:b/>
          <w:bCs/>
          <w:sz w:val="24"/>
          <w:szCs w:val="24"/>
          <w:lang w:val="en-US"/>
        </w:rPr>
        <w:t xml:space="preserve">basic intent </w:t>
      </w:r>
      <w:r>
        <w:rPr>
          <w:sz w:val="24"/>
          <w:szCs w:val="24"/>
          <w:lang w:val="en-US"/>
        </w:rPr>
        <w:t>offences: The defendant does not have to have foreseen any consequence, or harm, beyond that laid down in the definition of the actus reus. Crown prosecutor must prove that the accused committed the prohibited act intentionally and with the necessary knowledge of the material circumstances.</w:t>
      </w:r>
    </w:p>
    <w:p w:rsidR="00602BE2" w:rsidRDefault="00602BE2">
      <w:pPr>
        <w:jc w:val="both"/>
        <w:rPr>
          <w:sz w:val="24"/>
          <w:szCs w:val="24"/>
          <w:lang w:val="en-US"/>
        </w:rPr>
      </w:pPr>
      <w:r>
        <w:rPr>
          <w:sz w:val="24"/>
          <w:szCs w:val="24"/>
          <w:lang w:val="en-US"/>
        </w:rPr>
        <w:tab/>
      </w:r>
      <w:r>
        <w:rPr>
          <w:color w:val="800080"/>
          <w:sz w:val="24"/>
          <w:szCs w:val="24"/>
          <w:lang w:val="en-US"/>
        </w:rPr>
        <w:t>Examples:</w:t>
      </w:r>
    </w:p>
    <w:p w:rsidR="00602BE2" w:rsidRDefault="00602BE2">
      <w:pPr>
        <w:jc w:val="both"/>
        <w:rPr>
          <w:sz w:val="24"/>
          <w:szCs w:val="24"/>
          <w:lang w:val="en-US"/>
        </w:rPr>
      </w:pPr>
      <w:r>
        <w:rPr>
          <w:b/>
          <w:bCs/>
          <w:sz w:val="24"/>
          <w:szCs w:val="24"/>
          <w:lang w:val="en-US"/>
        </w:rPr>
        <w:t xml:space="preserve">Assault: </w:t>
      </w:r>
      <w:r>
        <w:rPr>
          <w:sz w:val="24"/>
          <w:szCs w:val="24"/>
          <w:lang w:val="en-US"/>
        </w:rPr>
        <w:t>application of force without consent of the victim or a threat where the victim reasonably believes the accused has the present ability to carry  out the threat</w:t>
      </w:r>
    </w:p>
    <w:p w:rsidR="00602BE2" w:rsidRDefault="00602BE2">
      <w:pPr>
        <w:ind w:left="992"/>
        <w:jc w:val="both"/>
        <w:rPr>
          <w:i/>
          <w:iCs/>
          <w:sz w:val="24"/>
          <w:szCs w:val="24"/>
          <w:lang w:val="en-US"/>
        </w:rPr>
      </w:pPr>
      <w:r>
        <w:rPr>
          <w:i/>
          <w:iCs/>
          <w:sz w:val="24"/>
          <w:szCs w:val="24"/>
          <w:lang w:val="en-US"/>
        </w:rPr>
        <w:t>Keep in mind:</w:t>
      </w:r>
    </w:p>
    <w:p w:rsidR="00602BE2" w:rsidRDefault="00602BE2">
      <w:pPr>
        <w:ind w:left="992"/>
        <w:jc w:val="both"/>
        <w:rPr>
          <w:sz w:val="24"/>
          <w:szCs w:val="24"/>
          <w:lang w:val="en-US"/>
        </w:rPr>
      </w:pPr>
      <w:r>
        <w:rPr>
          <w:sz w:val="24"/>
          <w:szCs w:val="24"/>
          <w:lang w:val="en-US"/>
        </w:rPr>
        <w:t>The Crown  has to prove that the defendant intended to bring about the actus reus of the assault</w:t>
      </w:r>
    </w:p>
    <w:p w:rsidR="00602BE2" w:rsidRDefault="00602BE2">
      <w:pPr>
        <w:jc w:val="both"/>
        <w:rPr>
          <w:sz w:val="24"/>
          <w:szCs w:val="24"/>
          <w:lang w:val="en-US"/>
        </w:rPr>
      </w:pPr>
      <w:r>
        <w:rPr>
          <w:b/>
          <w:bCs/>
          <w:sz w:val="24"/>
          <w:szCs w:val="24"/>
          <w:lang w:val="en-US"/>
        </w:rPr>
        <w:t xml:space="preserve">Wilful damage to property: </w:t>
      </w:r>
      <w:r>
        <w:rPr>
          <w:sz w:val="24"/>
          <w:szCs w:val="24"/>
          <w:lang w:val="en-US"/>
        </w:rPr>
        <w:t>infliction of factual damages to the subject property</w:t>
      </w:r>
    </w:p>
    <w:p w:rsidR="00602BE2" w:rsidRDefault="00602BE2">
      <w:pPr>
        <w:ind w:left="992"/>
        <w:jc w:val="both"/>
        <w:rPr>
          <w:i/>
          <w:iCs/>
          <w:sz w:val="24"/>
          <w:szCs w:val="24"/>
          <w:lang w:val="en-US"/>
        </w:rPr>
      </w:pPr>
      <w:r>
        <w:rPr>
          <w:i/>
          <w:iCs/>
          <w:sz w:val="24"/>
          <w:szCs w:val="24"/>
          <w:lang w:val="en-US"/>
        </w:rPr>
        <w:t>Keep in mind:</w:t>
      </w:r>
    </w:p>
    <w:p w:rsidR="00602BE2" w:rsidRDefault="00602BE2">
      <w:pPr>
        <w:ind w:left="992"/>
        <w:jc w:val="both"/>
        <w:rPr>
          <w:sz w:val="24"/>
          <w:szCs w:val="24"/>
          <w:lang w:val="en-US"/>
        </w:rPr>
      </w:pPr>
      <w:r>
        <w:rPr>
          <w:sz w:val="24"/>
          <w:szCs w:val="24"/>
          <w:lang w:val="en-US"/>
        </w:rPr>
        <w:t>the Crown has to prove the accused intentionally caused the actus reus of the offence</w:t>
      </w:r>
    </w:p>
    <w:p w:rsidR="00602BE2" w:rsidRDefault="00602BE2">
      <w:pPr>
        <w:ind w:left="992"/>
        <w:jc w:val="both"/>
        <w:rPr>
          <w:sz w:val="24"/>
          <w:szCs w:val="24"/>
          <w:lang w:val="en-US"/>
        </w:rPr>
      </w:pPr>
    </w:p>
    <w:p w:rsidR="00602BE2" w:rsidRDefault="00602BE2">
      <w:pPr>
        <w:jc w:val="both"/>
        <w:rPr>
          <w:sz w:val="24"/>
          <w:szCs w:val="24"/>
          <w:lang w:val="en-US"/>
        </w:rPr>
      </w:pPr>
      <w:r>
        <w:rPr>
          <w:b/>
          <w:bCs/>
          <w:sz w:val="24"/>
          <w:szCs w:val="24"/>
          <w:lang w:val="en-US"/>
        </w:rPr>
        <w:t xml:space="preserve">Specific/Ulterior Offence: </w:t>
      </w:r>
      <w:r>
        <w:rPr>
          <w:sz w:val="24"/>
          <w:szCs w:val="24"/>
          <w:lang w:val="en-US"/>
        </w:rPr>
        <w:t>where in theory the mens rea goes beyond the actus reus, in the sense that the defendant has some ulterior purpose in mind.</w:t>
      </w:r>
      <w:r>
        <w:rPr>
          <w:b/>
          <w:bCs/>
          <w:sz w:val="24"/>
          <w:szCs w:val="24"/>
          <w:lang w:val="en-US"/>
        </w:rPr>
        <w:t xml:space="preserve"> </w:t>
      </w:r>
      <w:r>
        <w:rPr>
          <w:sz w:val="24"/>
          <w:szCs w:val="24"/>
          <w:lang w:val="en-US"/>
        </w:rPr>
        <w:t xml:space="preserve">Crown prosecutor must prove an additional element to obtain a conviction. </w:t>
      </w:r>
    </w:p>
    <w:p w:rsidR="00602BE2" w:rsidRDefault="00602BE2">
      <w:pPr>
        <w:jc w:val="both"/>
        <w:rPr>
          <w:sz w:val="24"/>
          <w:szCs w:val="24"/>
          <w:lang w:val="en-US"/>
        </w:rPr>
      </w:pPr>
      <w:r>
        <w:rPr>
          <w:color w:val="800080"/>
          <w:sz w:val="24"/>
          <w:szCs w:val="24"/>
          <w:lang w:val="en-US"/>
        </w:rPr>
        <w:tab/>
        <w:t>Examples</w:t>
      </w:r>
      <w:r>
        <w:rPr>
          <w:sz w:val="24"/>
          <w:szCs w:val="24"/>
          <w:lang w:val="en-US"/>
        </w:rPr>
        <w:t>:</w:t>
      </w:r>
    </w:p>
    <w:p w:rsidR="00602BE2" w:rsidRDefault="00602BE2">
      <w:pPr>
        <w:jc w:val="both"/>
        <w:rPr>
          <w:sz w:val="24"/>
          <w:szCs w:val="24"/>
          <w:lang w:val="en-US"/>
        </w:rPr>
      </w:pPr>
      <w:r>
        <w:rPr>
          <w:sz w:val="24"/>
          <w:szCs w:val="24"/>
          <w:lang w:val="en-US"/>
        </w:rPr>
        <w:t xml:space="preserve">- murder </w:t>
      </w:r>
      <w:r>
        <w:rPr>
          <w:color w:val="008000"/>
          <w:sz w:val="24"/>
          <w:szCs w:val="24"/>
          <w:lang w:val="en-US"/>
        </w:rPr>
        <w:t>(s.235 CC)</w:t>
      </w:r>
    </w:p>
    <w:p w:rsidR="00602BE2" w:rsidRDefault="00602BE2">
      <w:pPr>
        <w:jc w:val="both"/>
        <w:rPr>
          <w:sz w:val="24"/>
          <w:szCs w:val="24"/>
          <w:lang w:val="en-US"/>
        </w:rPr>
      </w:pPr>
      <w:r>
        <w:rPr>
          <w:sz w:val="24"/>
          <w:szCs w:val="24"/>
          <w:lang w:val="en-US"/>
        </w:rPr>
        <w:t xml:space="preserve">-assault with intent to wound </w:t>
      </w:r>
      <w:r>
        <w:rPr>
          <w:color w:val="008000"/>
          <w:sz w:val="24"/>
          <w:szCs w:val="24"/>
          <w:lang w:val="en-US"/>
        </w:rPr>
        <w:t>(s.244 CC)</w:t>
      </w:r>
    </w:p>
    <w:p w:rsidR="00602BE2" w:rsidRDefault="00602BE2">
      <w:pPr>
        <w:jc w:val="both"/>
        <w:rPr>
          <w:sz w:val="24"/>
          <w:szCs w:val="24"/>
          <w:lang w:val="en-US"/>
        </w:rPr>
      </w:pPr>
      <w:r>
        <w:rPr>
          <w:sz w:val="24"/>
          <w:szCs w:val="24"/>
          <w:lang w:val="en-US"/>
        </w:rPr>
        <w:t xml:space="preserve">-breaking and entering with intent to commit an indictable offence </w:t>
      </w:r>
      <w:r>
        <w:rPr>
          <w:color w:val="008000"/>
          <w:sz w:val="24"/>
          <w:szCs w:val="24"/>
          <w:lang w:val="en-US"/>
        </w:rPr>
        <w:t>(s.349 (1)(a )CC)</w:t>
      </w:r>
    </w:p>
    <w:p w:rsidR="00602BE2" w:rsidRDefault="00602BE2">
      <w:pPr>
        <w:jc w:val="both"/>
        <w:rPr>
          <w:sz w:val="24"/>
          <w:szCs w:val="24"/>
          <w:lang w:val="en-US"/>
        </w:rPr>
      </w:pPr>
      <w:r>
        <w:rPr>
          <w:sz w:val="24"/>
          <w:szCs w:val="24"/>
          <w:lang w:val="en-US"/>
        </w:rPr>
        <w:t xml:space="preserve">-possessing a weapon for the purpose of committing an offence </w:t>
      </w:r>
      <w:r>
        <w:rPr>
          <w:color w:val="008000"/>
          <w:sz w:val="24"/>
          <w:szCs w:val="24"/>
          <w:lang w:val="en-US"/>
        </w:rPr>
        <w:t>(s.88)</w:t>
      </w:r>
    </w:p>
    <w:p w:rsidR="00602BE2" w:rsidRDefault="00602BE2">
      <w:pPr>
        <w:jc w:val="both"/>
        <w:rPr>
          <w:sz w:val="24"/>
          <w:szCs w:val="24"/>
          <w:lang w:val="en-US"/>
        </w:rPr>
      </w:pPr>
      <w:r>
        <w:rPr>
          <w:sz w:val="24"/>
          <w:szCs w:val="24"/>
          <w:lang w:val="en-US"/>
        </w:rPr>
        <w:t xml:space="preserve">-robbery-assaulting a person with the to steal from the victim </w:t>
      </w:r>
      <w:r>
        <w:rPr>
          <w:color w:val="008000"/>
          <w:sz w:val="24"/>
          <w:szCs w:val="24"/>
          <w:lang w:val="en-US"/>
        </w:rPr>
        <w:t>s.348(1)(a)</w:t>
      </w:r>
    </w:p>
    <w:p w:rsidR="00602BE2" w:rsidRDefault="00602BE2">
      <w:pPr>
        <w:jc w:val="both"/>
        <w:rPr>
          <w:sz w:val="24"/>
          <w:szCs w:val="24"/>
          <w:lang w:val="en-US"/>
        </w:rPr>
      </w:pPr>
      <w:r>
        <w:rPr>
          <w:sz w:val="24"/>
          <w:szCs w:val="24"/>
          <w:lang w:val="en-US"/>
        </w:rPr>
        <w:t xml:space="preserve">-breaking and entering with the intent to commit an indictable offence </w:t>
      </w:r>
      <w:r>
        <w:rPr>
          <w:color w:val="008000"/>
          <w:sz w:val="24"/>
          <w:szCs w:val="24"/>
          <w:lang w:val="en-US"/>
        </w:rPr>
        <w:t>s.348 (1) (a)</w:t>
      </w:r>
    </w:p>
    <w:p w:rsidR="00602BE2" w:rsidRDefault="00602BE2">
      <w:pPr>
        <w:jc w:val="both"/>
        <w:rPr>
          <w:sz w:val="24"/>
          <w:szCs w:val="24"/>
          <w:lang w:val="en-US"/>
        </w:rPr>
      </w:pPr>
      <w:r>
        <w:rPr>
          <w:sz w:val="24"/>
          <w:szCs w:val="24"/>
          <w:lang w:val="en-US"/>
        </w:rPr>
        <w:t xml:space="preserve">-discharging a firearm with the intent to wound a person or prevent arrest  </w:t>
      </w:r>
      <w:r>
        <w:rPr>
          <w:color w:val="008000"/>
          <w:sz w:val="24"/>
          <w:szCs w:val="24"/>
          <w:lang w:val="en-US"/>
        </w:rPr>
        <w:t xml:space="preserve">s.344 </w:t>
      </w:r>
    </w:p>
    <w:p w:rsidR="00602BE2" w:rsidRDefault="00602BE2">
      <w:pPr>
        <w:ind w:left="992"/>
        <w:jc w:val="both"/>
        <w:rPr>
          <w:i/>
          <w:iCs/>
          <w:sz w:val="24"/>
          <w:szCs w:val="24"/>
          <w:lang w:val="en-US"/>
        </w:rPr>
      </w:pPr>
      <w:r>
        <w:rPr>
          <w:i/>
          <w:iCs/>
          <w:sz w:val="24"/>
          <w:szCs w:val="24"/>
          <w:lang w:val="en-US"/>
        </w:rPr>
        <w:t>Keep in mind:</w:t>
      </w:r>
    </w:p>
    <w:p w:rsidR="00602BE2" w:rsidRDefault="00602BE2">
      <w:pPr>
        <w:ind w:left="992"/>
        <w:jc w:val="both"/>
        <w:rPr>
          <w:sz w:val="24"/>
          <w:szCs w:val="24"/>
          <w:lang w:val="en-US"/>
        </w:rPr>
      </w:pPr>
      <w:r>
        <w:rPr>
          <w:sz w:val="24"/>
          <w:szCs w:val="24"/>
          <w:lang w:val="en-US"/>
        </w:rPr>
        <w:t xml:space="preserve">The concept of </w:t>
      </w:r>
      <w:r>
        <w:rPr>
          <w:b/>
          <w:bCs/>
          <w:sz w:val="24"/>
          <w:szCs w:val="24"/>
          <w:lang w:val="en-US"/>
        </w:rPr>
        <w:t>specific or ulterior intent</w:t>
      </w:r>
      <w:r>
        <w:rPr>
          <w:sz w:val="24"/>
          <w:szCs w:val="24"/>
          <w:lang w:val="en-US"/>
        </w:rPr>
        <w:t xml:space="preserve">: Roach and Stuart try to clarify… Simon Verdun </w:t>
      </w:r>
      <w:r>
        <w:rPr>
          <w:sz w:val="24"/>
          <w:szCs w:val="24"/>
        </w:rPr>
        <w:t>–</w:t>
      </w:r>
      <w:r>
        <w:rPr>
          <w:sz w:val="24"/>
          <w:szCs w:val="24"/>
          <w:lang w:val="en-US"/>
        </w:rPr>
        <w:t xml:space="preserve">Jones argue that the concept is primarily relevant to the concept of the defence of  </w:t>
      </w:r>
      <w:r>
        <w:rPr>
          <w:color w:val="000080"/>
          <w:sz w:val="24"/>
          <w:szCs w:val="24"/>
          <w:lang w:val="en-US"/>
        </w:rPr>
        <w:t>intoxication</w:t>
      </w:r>
      <w:r>
        <w:rPr>
          <w:color w:val="000000"/>
          <w:sz w:val="24"/>
          <w:szCs w:val="24"/>
          <w:lang w:val="en-US"/>
        </w:rPr>
        <w:t>.</w:t>
      </w:r>
      <w:r>
        <w:rPr>
          <w:color w:val="000080"/>
          <w:sz w:val="24"/>
          <w:szCs w:val="24"/>
          <w:lang w:val="en-US"/>
        </w:rPr>
        <w:t xml:space="preserve"> Intoxication</w:t>
      </w:r>
      <w:r>
        <w:rPr>
          <w:sz w:val="24"/>
          <w:szCs w:val="24"/>
          <w:lang w:val="en-US"/>
        </w:rPr>
        <w:t xml:space="preserve"> may be a partial defence to a criminal code offence requiring proof of specific or ulterior intent. Under </w:t>
      </w:r>
      <w:r>
        <w:rPr>
          <w:color w:val="008000"/>
          <w:sz w:val="24"/>
          <w:szCs w:val="24"/>
          <w:lang w:val="en-US"/>
        </w:rPr>
        <w:t>S. 33.1 CC</w:t>
      </w:r>
      <w:r>
        <w:rPr>
          <w:sz w:val="24"/>
          <w:szCs w:val="24"/>
          <w:lang w:val="en-US"/>
        </w:rPr>
        <w:t xml:space="preserve">, intoxication can </w:t>
      </w:r>
      <w:r>
        <w:rPr>
          <w:i/>
          <w:iCs/>
          <w:sz w:val="24"/>
          <w:szCs w:val="24"/>
          <w:lang w:val="en-US"/>
        </w:rPr>
        <w:t>never</w:t>
      </w:r>
      <w:r>
        <w:rPr>
          <w:sz w:val="24"/>
          <w:szCs w:val="24"/>
          <w:lang w:val="en-US"/>
        </w:rPr>
        <w:t xml:space="preserve"> be a defence to a general or basic intent offence if “it involves an element of an assault or any other interference  or threat of interference by a person with the bodily integrity of another person</w:t>
      </w:r>
      <w:r>
        <w:rPr>
          <w:sz w:val="24"/>
          <w:szCs w:val="24"/>
        </w:rPr>
        <w:t>”</w:t>
      </w:r>
      <w:r>
        <w:rPr>
          <w:sz w:val="24"/>
          <w:szCs w:val="24"/>
          <w:lang w:val="en-US"/>
        </w:rPr>
        <w:t>.</w:t>
      </w:r>
    </w:p>
    <w:p w:rsidR="00602BE2" w:rsidRDefault="00602BE2">
      <w:pPr>
        <w:jc w:val="both"/>
        <w:rPr>
          <w:sz w:val="24"/>
          <w:szCs w:val="24"/>
          <w:lang w:val="en-US"/>
        </w:rPr>
      </w:pPr>
    </w:p>
    <w:p w:rsidR="00602BE2" w:rsidRDefault="00602BE2">
      <w:pPr>
        <w:jc w:val="both"/>
        <w:rPr>
          <w:sz w:val="24"/>
          <w:szCs w:val="24"/>
          <w:lang w:val="en-US"/>
        </w:rPr>
      </w:pPr>
      <w:r>
        <w:rPr>
          <w:b/>
          <w:bCs/>
          <w:sz w:val="24"/>
          <w:szCs w:val="24"/>
          <w:lang w:val="en-US"/>
        </w:rPr>
        <w:t xml:space="preserve">Entrapment: </w:t>
      </w:r>
      <w:r>
        <w:rPr>
          <w:sz w:val="24"/>
          <w:szCs w:val="24"/>
          <w:lang w:val="en-US"/>
        </w:rPr>
        <w:t xml:space="preserve">objectionable police conduct. It also includes disreputable police conduct that goes beyond providing a suspect an opportunity to commit a crime and actually induces the commission of the crime. </w:t>
      </w:r>
    </w:p>
    <w:p w:rsidR="00602BE2" w:rsidRDefault="00602BE2">
      <w:pPr>
        <w:jc w:val="both"/>
        <w:rPr>
          <w:color w:val="800080"/>
          <w:sz w:val="24"/>
          <w:szCs w:val="24"/>
          <w:lang w:val="en-US"/>
        </w:rPr>
      </w:pPr>
      <w:r>
        <w:rPr>
          <w:color w:val="800080"/>
          <w:sz w:val="24"/>
          <w:szCs w:val="24"/>
          <w:lang w:val="en-US"/>
        </w:rPr>
        <w:tab/>
        <w:t>Examples:</w:t>
      </w:r>
    </w:p>
    <w:p w:rsidR="00602BE2" w:rsidRDefault="00602BE2">
      <w:pPr>
        <w:jc w:val="both"/>
        <w:rPr>
          <w:sz w:val="24"/>
          <w:szCs w:val="24"/>
          <w:lang w:val="en-US"/>
        </w:rPr>
      </w:pPr>
      <w:r>
        <w:rPr>
          <w:sz w:val="24"/>
          <w:szCs w:val="24"/>
          <w:lang w:val="en-US"/>
        </w:rPr>
        <w:t>-offering a suspect an opportunity to commit a crime without a reasonable suspicion that he or she is involved with crime</w:t>
      </w:r>
    </w:p>
    <w:p w:rsidR="00602BE2" w:rsidRDefault="00602BE2">
      <w:pPr>
        <w:jc w:val="both"/>
        <w:rPr>
          <w:sz w:val="24"/>
          <w:szCs w:val="24"/>
          <w:lang w:val="en-US"/>
        </w:rPr>
      </w:pPr>
      <w:r>
        <w:rPr>
          <w:sz w:val="24"/>
          <w:szCs w:val="24"/>
          <w:lang w:val="en-US"/>
        </w:rPr>
        <w:t xml:space="preserve"> -when the police are not pursuing a bona fide inquiry in a high crime area</w:t>
      </w:r>
    </w:p>
    <w:p w:rsidR="00602BE2" w:rsidRDefault="00602BE2">
      <w:pPr>
        <w:ind w:left="992"/>
        <w:jc w:val="both"/>
        <w:rPr>
          <w:sz w:val="24"/>
          <w:szCs w:val="24"/>
          <w:lang w:val="en-US"/>
        </w:rPr>
      </w:pPr>
      <w:r>
        <w:rPr>
          <w:i/>
          <w:iCs/>
          <w:sz w:val="24"/>
          <w:szCs w:val="24"/>
          <w:lang w:val="en-US"/>
        </w:rPr>
        <w:t>Keep in mind:</w:t>
      </w:r>
    </w:p>
    <w:p w:rsidR="00602BE2" w:rsidRDefault="00602BE2">
      <w:pPr>
        <w:ind w:left="992"/>
        <w:jc w:val="both"/>
        <w:rPr>
          <w:sz w:val="24"/>
          <w:szCs w:val="24"/>
          <w:lang w:val="en-US"/>
        </w:rPr>
      </w:pPr>
      <w:r>
        <w:rPr>
          <w:sz w:val="24"/>
          <w:szCs w:val="24"/>
          <w:lang w:val="en-US"/>
        </w:rPr>
        <w:t xml:space="preserve">-In Canada, the onus to prove entrapment is on the accused. </w:t>
      </w:r>
    </w:p>
    <w:p w:rsidR="00602BE2" w:rsidRDefault="00602BE2">
      <w:pPr>
        <w:ind w:left="992"/>
        <w:jc w:val="both"/>
        <w:rPr>
          <w:sz w:val="24"/>
          <w:szCs w:val="24"/>
          <w:lang w:val="en-US"/>
        </w:rPr>
      </w:pPr>
      <w:r>
        <w:rPr>
          <w:sz w:val="24"/>
          <w:szCs w:val="24"/>
          <w:lang w:val="en-US"/>
        </w:rPr>
        <w:t xml:space="preserve">-The accused must prove it on a balance of probabilities. </w:t>
      </w:r>
    </w:p>
    <w:p w:rsidR="00602BE2" w:rsidRDefault="00602BE2">
      <w:pPr>
        <w:ind w:left="992"/>
        <w:jc w:val="both"/>
        <w:rPr>
          <w:sz w:val="24"/>
          <w:szCs w:val="24"/>
          <w:lang w:val="en-US"/>
        </w:rPr>
      </w:pPr>
      <w:r>
        <w:rPr>
          <w:sz w:val="24"/>
          <w:szCs w:val="24"/>
          <w:lang w:val="en-US"/>
        </w:rPr>
        <w:t xml:space="preserve">-The remedy is a stay or proceedings.  </w:t>
      </w:r>
    </w:p>
    <w:p w:rsidR="00602BE2" w:rsidRDefault="00602BE2">
      <w:pPr>
        <w:ind w:left="992"/>
        <w:jc w:val="both"/>
        <w:rPr>
          <w:sz w:val="24"/>
          <w:szCs w:val="24"/>
          <w:lang w:val="en-US"/>
        </w:rPr>
      </w:pPr>
      <w:r>
        <w:rPr>
          <w:sz w:val="24"/>
          <w:szCs w:val="24"/>
          <w:lang w:val="en-US"/>
        </w:rPr>
        <w:t xml:space="preserve">-The judge alone decides on the issue of entrapment. He may exclude the evidence and stay the proceedings or he may allow it in as part of the entire package of evidence where the violation is marginal and technical. Canadian judges allow police to use low level entrapment type police procedures to prevent crime as a regular part of crime prevention programs .They also tend to allow them in known crime areas, especially in known drug dealing and drug uses areas involving people known to be associated with the drug trade.  </w:t>
      </w:r>
    </w:p>
    <w:p w:rsidR="00602BE2" w:rsidRDefault="00602BE2">
      <w:pPr>
        <w:jc w:val="both"/>
        <w:rPr>
          <w:sz w:val="24"/>
          <w:szCs w:val="24"/>
          <w:lang w:val="en-US"/>
        </w:rPr>
      </w:pPr>
    </w:p>
    <w:p w:rsidR="00602BE2" w:rsidRDefault="00602BE2">
      <w:pPr>
        <w:jc w:val="both"/>
        <w:rPr>
          <w:sz w:val="24"/>
          <w:szCs w:val="24"/>
          <w:lang w:val="en-US"/>
        </w:rPr>
      </w:pPr>
      <w:r>
        <w:rPr>
          <w:b/>
          <w:bCs/>
          <w:sz w:val="24"/>
          <w:szCs w:val="24"/>
          <w:lang w:val="en-US"/>
        </w:rPr>
        <w:t xml:space="preserve">Duress: </w:t>
      </w:r>
      <w:r>
        <w:rPr>
          <w:i/>
          <w:iCs/>
          <w:sz w:val="24"/>
          <w:szCs w:val="24"/>
          <w:lang w:val="en-US"/>
        </w:rPr>
        <w:t>two aspects</w:t>
      </w:r>
    </w:p>
    <w:p w:rsidR="00602BE2" w:rsidRDefault="00602BE2">
      <w:pPr>
        <w:jc w:val="both"/>
        <w:rPr>
          <w:sz w:val="24"/>
          <w:szCs w:val="24"/>
          <w:lang w:val="en-US"/>
        </w:rPr>
      </w:pPr>
      <w:r>
        <w:rPr>
          <w:sz w:val="24"/>
          <w:szCs w:val="24"/>
          <w:lang w:val="en-US"/>
        </w:rPr>
        <w:t>1. negates the person's consent to an act (it was only performed because of extreme unlawful pressure.)</w:t>
      </w:r>
    </w:p>
    <w:p w:rsidR="00602BE2" w:rsidRDefault="00602BE2">
      <w:pPr>
        <w:jc w:val="both"/>
        <w:rPr>
          <w:sz w:val="24"/>
          <w:szCs w:val="24"/>
          <w:lang w:val="en-US"/>
        </w:rPr>
      </w:pPr>
      <w:r>
        <w:rPr>
          <w:sz w:val="24"/>
          <w:szCs w:val="24"/>
          <w:lang w:val="en-US"/>
        </w:rPr>
        <w:t>2. similar to a plea of guilty, admitting partial culpability, so that if the defence is not accepted then the criminal act is admitted.</w:t>
      </w:r>
    </w:p>
    <w:p w:rsidR="00602BE2" w:rsidRDefault="00602BE2">
      <w:pPr>
        <w:jc w:val="both"/>
        <w:rPr>
          <w:color w:val="800080"/>
          <w:sz w:val="24"/>
          <w:szCs w:val="24"/>
          <w:lang w:val="en-US"/>
        </w:rPr>
      </w:pPr>
      <w:r>
        <w:rPr>
          <w:color w:val="800080"/>
          <w:sz w:val="24"/>
          <w:szCs w:val="24"/>
          <w:lang w:val="en-US"/>
        </w:rPr>
        <w:t>Example:</w:t>
      </w:r>
    </w:p>
    <w:p w:rsidR="00602BE2" w:rsidRDefault="00602BE2">
      <w:pPr>
        <w:jc w:val="both"/>
        <w:rPr>
          <w:sz w:val="24"/>
          <w:szCs w:val="24"/>
          <w:lang w:val="en-US"/>
        </w:rPr>
      </w:pPr>
      <w:r>
        <w:rPr>
          <w:color w:val="FF6600"/>
          <w:sz w:val="24"/>
          <w:szCs w:val="24"/>
          <w:lang w:val="en-US"/>
        </w:rPr>
        <w:t xml:space="preserve">R. v. Ruzic (SCC) </w:t>
      </w:r>
      <w:r>
        <w:rPr>
          <w:color w:val="000000"/>
          <w:sz w:val="24"/>
          <w:szCs w:val="24"/>
          <w:lang w:val="en-US"/>
        </w:rPr>
        <w:t xml:space="preserve">deals with </w:t>
      </w:r>
      <w:r>
        <w:rPr>
          <w:color w:val="FF6600"/>
          <w:sz w:val="24"/>
          <w:szCs w:val="24"/>
          <w:lang w:val="en-US"/>
        </w:rPr>
        <w:t xml:space="preserve">Criminal Code of Canada (CCC) Section 17 duress </w:t>
      </w:r>
      <w:r>
        <w:rPr>
          <w:sz w:val="24"/>
          <w:szCs w:val="24"/>
          <w:lang w:val="en-US"/>
        </w:rPr>
        <w:t xml:space="preserve">and </w:t>
      </w:r>
      <w:r>
        <w:rPr>
          <w:color w:val="008000"/>
          <w:sz w:val="24"/>
          <w:szCs w:val="24"/>
          <w:lang w:val="en-US"/>
        </w:rPr>
        <w:t>Canadian Charter of Rights and Freedoms, (CCRF) Section 7 -</w:t>
      </w:r>
      <w:r>
        <w:rPr>
          <w:sz w:val="24"/>
          <w:szCs w:val="24"/>
          <w:lang w:val="en-US"/>
        </w:rPr>
        <w:t>The Court held that section 7 of the CCRF requires that the defence of duress be available to an accused even when they were not under immediate threat of bodily harm at the time the offence was committed.</w:t>
      </w:r>
    </w:p>
    <w:p w:rsidR="00602BE2" w:rsidRDefault="00602BE2">
      <w:pPr>
        <w:jc w:val="both"/>
        <w:rPr>
          <w:sz w:val="24"/>
          <w:szCs w:val="24"/>
          <w:lang w:val="en-US"/>
        </w:rPr>
      </w:pPr>
    </w:p>
    <w:p w:rsidR="00602BE2" w:rsidRDefault="00602BE2">
      <w:pPr>
        <w:jc w:val="both"/>
        <w:rPr>
          <w:sz w:val="24"/>
          <w:szCs w:val="24"/>
          <w:lang w:val="en-US"/>
        </w:rPr>
      </w:pPr>
      <w:r>
        <w:rPr>
          <w:color w:val="000080"/>
          <w:sz w:val="24"/>
          <w:szCs w:val="24"/>
          <w:lang w:val="en-US"/>
        </w:rPr>
        <w:t>Intoxication:</w:t>
      </w:r>
      <w:r>
        <w:rPr>
          <w:sz w:val="24"/>
          <w:szCs w:val="24"/>
          <w:lang w:val="en-US"/>
        </w:rPr>
        <w:t xml:space="preserve"> law recognizes three degrees of intoxication:</w:t>
      </w:r>
    </w:p>
    <w:p w:rsidR="00602BE2" w:rsidRDefault="00602BE2">
      <w:pPr>
        <w:jc w:val="both"/>
        <w:rPr>
          <w:sz w:val="24"/>
          <w:szCs w:val="24"/>
          <w:lang w:val="en-US"/>
        </w:rPr>
      </w:pPr>
      <w:r>
        <w:rPr>
          <w:b/>
          <w:bCs/>
          <w:i/>
          <w:iCs/>
          <w:sz w:val="24"/>
          <w:szCs w:val="24"/>
          <w:lang w:val="en-US"/>
        </w:rPr>
        <w:t>Mild Intoxication</w:t>
      </w:r>
      <w:r>
        <w:rPr>
          <w:sz w:val="24"/>
          <w:szCs w:val="24"/>
          <w:lang w:val="en-US"/>
        </w:rPr>
        <w:t>: alcohol-induced relaxation of inhibitions and acceptable behaviour. This does not affect the mens rea of an offence</w:t>
      </w:r>
    </w:p>
    <w:p w:rsidR="00602BE2" w:rsidRDefault="00602BE2">
      <w:pPr>
        <w:jc w:val="both"/>
        <w:rPr>
          <w:sz w:val="24"/>
          <w:szCs w:val="24"/>
          <w:lang w:val="en-US"/>
        </w:rPr>
      </w:pPr>
      <w:r>
        <w:rPr>
          <w:b/>
          <w:bCs/>
          <w:i/>
          <w:iCs/>
          <w:sz w:val="24"/>
          <w:szCs w:val="24"/>
          <w:lang w:val="en-US"/>
        </w:rPr>
        <w:t>Advanced Intoxication</w:t>
      </w:r>
      <w:r>
        <w:rPr>
          <w:sz w:val="24"/>
          <w:szCs w:val="24"/>
          <w:lang w:val="en-US"/>
        </w:rPr>
        <w:t>: intoxication to the point of the accused lacking any specific intent to an offence. There is a impairment of the accused's foresight of the consequences of his acts, raising a reasonable doubt on the requisite mens rea. This will only apply to specific intent offences. (</w:t>
      </w:r>
      <w:r>
        <w:rPr>
          <w:color w:val="800080"/>
          <w:sz w:val="24"/>
          <w:szCs w:val="24"/>
          <w:lang w:val="en-US"/>
        </w:rPr>
        <w:t>murder vs. manslaughter</w:t>
      </w:r>
      <w:r>
        <w:rPr>
          <w:sz w:val="24"/>
          <w:szCs w:val="24"/>
          <w:lang w:val="en-US"/>
        </w:rPr>
        <w:t>)</w:t>
      </w:r>
    </w:p>
    <w:p w:rsidR="00602BE2" w:rsidRDefault="00602BE2">
      <w:pPr>
        <w:jc w:val="both"/>
        <w:rPr>
          <w:sz w:val="24"/>
          <w:szCs w:val="24"/>
          <w:lang w:val="en-US"/>
        </w:rPr>
      </w:pPr>
      <w:r>
        <w:rPr>
          <w:b/>
          <w:bCs/>
          <w:i/>
          <w:iCs/>
          <w:sz w:val="24"/>
          <w:szCs w:val="24"/>
          <w:lang w:val="en-US"/>
        </w:rPr>
        <w:t>Extreme Intoxication</w:t>
      </w:r>
      <w:r>
        <w:rPr>
          <w:sz w:val="24"/>
          <w:szCs w:val="24"/>
          <w:lang w:val="en-US"/>
        </w:rPr>
        <w:t xml:space="preserve">: intoxication to the point of automatism-like state. This degree of intoxication negates the voluntariness of the accused's actions. It is a rare defence that only applies to non-violent offences (as per </w:t>
      </w:r>
      <w:r>
        <w:rPr>
          <w:color w:val="FF6600"/>
          <w:sz w:val="24"/>
          <w:szCs w:val="24"/>
          <w:lang w:val="en-US"/>
        </w:rPr>
        <w:t>s. 33.1</w:t>
      </w:r>
      <w:r>
        <w:rPr>
          <w:sz w:val="24"/>
          <w:szCs w:val="24"/>
          <w:lang w:val="en-US"/>
        </w:rPr>
        <w:t>)</w:t>
      </w:r>
    </w:p>
    <w:p w:rsidR="00602BE2" w:rsidRDefault="00602BE2">
      <w:pPr>
        <w:jc w:val="both"/>
        <w:rPr>
          <w:color w:val="000080"/>
          <w:sz w:val="24"/>
          <w:szCs w:val="24"/>
          <w:lang w:val="en-US"/>
        </w:rPr>
      </w:pPr>
    </w:p>
    <w:p w:rsidR="00602BE2" w:rsidRDefault="00602BE2">
      <w:pPr>
        <w:jc w:val="both"/>
        <w:rPr>
          <w:sz w:val="24"/>
          <w:szCs w:val="24"/>
          <w:lang w:val="en-US"/>
        </w:rPr>
      </w:pPr>
      <w:r>
        <w:rPr>
          <w:sz w:val="24"/>
          <w:szCs w:val="24"/>
          <w:lang w:val="en-US"/>
        </w:rPr>
        <w:t>Lack of basic intent or voluntariness to commit an offence produced by self-induced intoxication shall not be a defence to an offence involving:</w:t>
      </w:r>
    </w:p>
    <w:p w:rsidR="00602BE2" w:rsidRDefault="00602BE2">
      <w:pPr>
        <w:jc w:val="both"/>
        <w:rPr>
          <w:sz w:val="24"/>
          <w:szCs w:val="24"/>
          <w:lang w:val="en-US"/>
        </w:rPr>
      </w:pPr>
      <w:r>
        <w:rPr>
          <w:sz w:val="24"/>
          <w:szCs w:val="24"/>
          <w:lang w:val="en-US"/>
        </w:rPr>
        <w:t>-assault</w:t>
      </w:r>
    </w:p>
    <w:p w:rsidR="00602BE2" w:rsidRDefault="00602BE2">
      <w:pPr>
        <w:jc w:val="both"/>
        <w:rPr>
          <w:sz w:val="24"/>
          <w:szCs w:val="24"/>
          <w:lang w:val="en-US"/>
        </w:rPr>
      </w:pPr>
      <w:r>
        <w:rPr>
          <w:sz w:val="24"/>
          <w:szCs w:val="24"/>
          <w:lang w:val="en-US"/>
        </w:rPr>
        <w:t>-interference or threat of interference with the bodily integrity of another person</w:t>
      </w:r>
    </w:p>
    <w:p w:rsidR="00602BE2" w:rsidRDefault="00602BE2">
      <w:pPr>
        <w:jc w:val="both"/>
        <w:rPr>
          <w:sz w:val="24"/>
          <w:szCs w:val="24"/>
          <w:lang w:val="en-US"/>
        </w:rPr>
      </w:pPr>
      <w:r>
        <w:rPr>
          <w:sz w:val="24"/>
          <w:szCs w:val="24"/>
          <w:lang w:val="en-US"/>
        </w:rPr>
        <w:tab/>
      </w:r>
      <w:r>
        <w:rPr>
          <w:color w:val="800080"/>
          <w:sz w:val="24"/>
          <w:szCs w:val="24"/>
          <w:lang w:val="en-US"/>
        </w:rPr>
        <w:t>Example Cases:</w:t>
      </w:r>
    </w:p>
    <w:p w:rsidR="00602BE2" w:rsidRDefault="00602BE2">
      <w:pPr>
        <w:jc w:val="both"/>
        <w:rPr>
          <w:sz w:val="24"/>
          <w:szCs w:val="24"/>
          <w:lang w:val="en-US"/>
        </w:rPr>
      </w:pPr>
      <w:r>
        <w:rPr>
          <w:color w:val="FF6600"/>
          <w:sz w:val="24"/>
          <w:szCs w:val="24"/>
          <w:lang w:val="en-US"/>
        </w:rPr>
        <w:t>R. v. Daviault [1994] 3 S.C.R. 63</w:t>
      </w:r>
      <w:r>
        <w:rPr>
          <w:sz w:val="24"/>
          <w:szCs w:val="24"/>
          <w:lang w:val="en-US"/>
        </w:rPr>
        <w:t>: a Supreme Court of Canada decision on the availability of the defence of intoxication for "general intent" criminal offences. Intoxication can only be used as a defence where it is so extreme that it is akin to automatism or insanity.</w:t>
      </w:r>
    </w:p>
    <w:p w:rsidR="00602BE2" w:rsidRDefault="00602BE2">
      <w:pPr>
        <w:ind w:left="992"/>
        <w:jc w:val="both"/>
        <w:rPr>
          <w:i/>
          <w:iCs/>
          <w:sz w:val="24"/>
          <w:szCs w:val="24"/>
          <w:lang w:val="en-US"/>
        </w:rPr>
      </w:pPr>
      <w:r>
        <w:rPr>
          <w:i/>
          <w:iCs/>
          <w:sz w:val="24"/>
          <w:szCs w:val="24"/>
          <w:lang w:val="en-US"/>
        </w:rPr>
        <w:t>Keep in mind:</w:t>
      </w:r>
    </w:p>
    <w:p w:rsidR="00602BE2" w:rsidRDefault="00602BE2">
      <w:pPr>
        <w:ind w:left="992"/>
        <w:jc w:val="both"/>
        <w:rPr>
          <w:sz w:val="24"/>
          <w:szCs w:val="24"/>
          <w:lang w:val="en-US"/>
        </w:rPr>
      </w:pPr>
      <w:r>
        <w:rPr>
          <w:sz w:val="24"/>
          <w:szCs w:val="24"/>
          <w:lang w:val="en-US"/>
        </w:rPr>
        <w:t>Voluntary and involuntary intoxication</w:t>
      </w:r>
    </w:p>
    <w:p w:rsidR="00602BE2" w:rsidRDefault="00602BE2">
      <w:pPr>
        <w:ind w:left="992"/>
        <w:jc w:val="both"/>
        <w:rPr>
          <w:sz w:val="24"/>
          <w:szCs w:val="24"/>
          <w:lang w:val="en-US"/>
        </w:rPr>
      </w:pPr>
      <w:r>
        <w:rPr>
          <w:sz w:val="24"/>
          <w:szCs w:val="24"/>
          <w:lang w:val="en-US"/>
        </w:rPr>
        <w:t>reaffirmed the existence of the distinction between general and specific intent as a fundamental element  of Canadian criminal law imported originally from  England. Prof. Roach accepts this situation.</w:t>
      </w:r>
    </w:p>
    <w:p w:rsidR="00602BE2" w:rsidRDefault="00602BE2">
      <w:pPr>
        <w:jc w:val="both"/>
        <w:rPr>
          <w:color w:val="FF6600"/>
          <w:sz w:val="24"/>
          <w:szCs w:val="24"/>
          <w:lang w:val="en-US"/>
        </w:rPr>
      </w:pPr>
      <w:r>
        <w:rPr>
          <w:color w:val="FF6600"/>
          <w:sz w:val="24"/>
          <w:szCs w:val="24"/>
          <w:lang w:val="en-US"/>
        </w:rPr>
        <w:t>R .v.  George(1960), 128 C.C.C. 289 (S.C.C.)</w:t>
      </w:r>
    </w:p>
    <w:p w:rsidR="00602BE2" w:rsidRDefault="00602BE2">
      <w:pPr>
        <w:ind w:left="360" w:hanging="360"/>
        <w:jc w:val="both"/>
        <w:rPr>
          <w:i/>
          <w:iCs/>
          <w:sz w:val="24"/>
          <w:szCs w:val="24"/>
          <w:lang w:val="en-US"/>
        </w:rPr>
      </w:pPr>
      <w:r>
        <w:rPr>
          <w:i/>
          <w:iCs/>
          <w:sz w:val="24"/>
          <w:szCs w:val="24"/>
          <w:lang w:val="en-US"/>
        </w:rPr>
        <w:t>Facts</w:t>
      </w:r>
    </w:p>
    <w:p w:rsidR="00602BE2" w:rsidRDefault="00602BE2">
      <w:pPr>
        <w:jc w:val="both"/>
        <w:rPr>
          <w:i/>
          <w:iCs/>
          <w:sz w:val="24"/>
          <w:szCs w:val="24"/>
          <w:lang w:val="en-US"/>
        </w:rPr>
      </w:pPr>
      <w:r>
        <w:rPr>
          <w:sz w:val="24"/>
          <w:szCs w:val="24"/>
          <w:lang w:val="en-US"/>
        </w:rPr>
        <w:t>Accused had visited the home of an old man and demanded money from him. George beat man with his fists, broke man</w:t>
      </w:r>
      <w:r>
        <w:rPr>
          <w:sz w:val="24"/>
          <w:szCs w:val="24"/>
        </w:rPr>
        <w:t>’</w:t>
      </w:r>
      <w:r>
        <w:rPr>
          <w:sz w:val="24"/>
          <w:szCs w:val="24"/>
          <w:lang w:val="en-US"/>
        </w:rPr>
        <w:t>s nose and other serious injuries and stole 22$ from victim. Victim testified George had threatened to kill him unless he gave George money. George found to have committed the act of stealing without having the intent because of intoxication. Accused then charged with robbery.</w:t>
      </w:r>
    </w:p>
    <w:p w:rsidR="00602BE2" w:rsidRDefault="00602BE2">
      <w:pPr>
        <w:ind w:left="360" w:hanging="360"/>
        <w:jc w:val="both"/>
        <w:rPr>
          <w:sz w:val="24"/>
          <w:szCs w:val="24"/>
          <w:lang w:val="en-US"/>
        </w:rPr>
      </w:pPr>
      <w:r>
        <w:rPr>
          <w:i/>
          <w:iCs/>
          <w:sz w:val="24"/>
          <w:szCs w:val="24"/>
          <w:lang w:val="en-US"/>
        </w:rPr>
        <w:t xml:space="preserve">Decision </w:t>
      </w:r>
    </w:p>
    <w:p w:rsidR="00602BE2" w:rsidRDefault="00602BE2">
      <w:pPr>
        <w:jc w:val="both"/>
        <w:rPr>
          <w:sz w:val="24"/>
          <w:szCs w:val="24"/>
          <w:lang w:val="en-US"/>
        </w:rPr>
      </w:pPr>
      <w:r>
        <w:rPr>
          <w:sz w:val="24"/>
          <w:szCs w:val="24"/>
          <w:lang w:val="en-US"/>
        </w:rPr>
        <w:t>Court acquitted George of robbery.</w:t>
      </w:r>
    </w:p>
    <w:p w:rsidR="00602BE2" w:rsidRDefault="00602BE2">
      <w:pPr>
        <w:jc w:val="both"/>
        <w:rPr>
          <w:i/>
          <w:iCs/>
          <w:sz w:val="24"/>
          <w:szCs w:val="24"/>
          <w:lang w:val="en-US"/>
        </w:rPr>
      </w:pPr>
      <w:r>
        <w:rPr>
          <w:sz w:val="24"/>
          <w:szCs w:val="24"/>
          <w:lang w:val="en-US"/>
        </w:rPr>
        <w:t>Crown appealed to BCCA but was unsuccessful and then appealed to SCC.  SCC confirmed acquittal on robbery. The SCC found George to be guilty of common assault.</w:t>
      </w:r>
    </w:p>
    <w:p w:rsidR="00602BE2" w:rsidRDefault="00602BE2">
      <w:pPr>
        <w:ind w:left="360" w:hanging="360"/>
        <w:jc w:val="both"/>
        <w:rPr>
          <w:sz w:val="24"/>
          <w:szCs w:val="24"/>
          <w:lang w:val="en-US"/>
        </w:rPr>
      </w:pPr>
      <w:r>
        <w:rPr>
          <w:i/>
          <w:iCs/>
          <w:sz w:val="24"/>
          <w:szCs w:val="24"/>
          <w:lang w:val="en-US"/>
        </w:rPr>
        <w:t>Reasons</w:t>
      </w:r>
    </w:p>
    <w:p w:rsidR="00602BE2" w:rsidRDefault="00602BE2">
      <w:pPr>
        <w:jc w:val="both"/>
        <w:rPr>
          <w:sz w:val="24"/>
          <w:szCs w:val="24"/>
          <w:lang w:val="en-US"/>
        </w:rPr>
      </w:pPr>
      <w:r>
        <w:rPr>
          <w:sz w:val="24"/>
          <w:szCs w:val="24"/>
          <w:lang w:val="en-US"/>
        </w:rPr>
        <w:t xml:space="preserve">Robbery is a specific intent offence. Drunkenness may be a partial defence. </w:t>
      </w:r>
    </w:p>
    <w:p w:rsidR="00602BE2" w:rsidRDefault="00602BE2">
      <w:pPr>
        <w:jc w:val="both"/>
        <w:rPr>
          <w:sz w:val="24"/>
          <w:szCs w:val="24"/>
          <w:lang w:val="en-US"/>
        </w:rPr>
      </w:pPr>
      <w:r>
        <w:rPr>
          <w:sz w:val="24"/>
          <w:szCs w:val="24"/>
          <w:lang w:val="en-US"/>
        </w:rPr>
        <w:t xml:space="preserve">SCC judged the accused had been rightfully acquitted of robbery. However, every charge of robbery include both an assault and a theft. The accused may always be convicted of the lesser of the included offences in the charge under which he/she is being charged. </w:t>
      </w:r>
    </w:p>
    <w:p w:rsidR="00602BE2" w:rsidRDefault="00602BE2">
      <w:pPr>
        <w:jc w:val="both"/>
        <w:rPr>
          <w:sz w:val="24"/>
          <w:szCs w:val="24"/>
          <w:lang w:val="en-US"/>
        </w:rPr>
      </w:pPr>
      <w:r>
        <w:rPr>
          <w:sz w:val="24"/>
          <w:szCs w:val="24"/>
          <w:lang w:val="en-US"/>
        </w:rPr>
        <w:t xml:space="preserve">The SCC found that a simple assault is a crime of general or basic intent and drunkenness cannot be a  valid defence to such a charge. </w:t>
      </w:r>
    </w:p>
    <w:p w:rsidR="00602BE2" w:rsidRDefault="00602BE2">
      <w:pPr>
        <w:jc w:val="both"/>
        <w:rPr>
          <w:sz w:val="24"/>
          <w:szCs w:val="24"/>
          <w:lang w:val="en-US"/>
        </w:rPr>
      </w:pPr>
    </w:p>
    <w:p w:rsidR="00602BE2" w:rsidRDefault="00602BE2">
      <w:pPr>
        <w:jc w:val="both"/>
        <w:rPr>
          <w:sz w:val="24"/>
          <w:szCs w:val="24"/>
          <w:lang w:val="en-US"/>
        </w:rPr>
      </w:pPr>
      <w:r>
        <w:rPr>
          <w:sz w:val="24"/>
          <w:szCs w:val="24"/>
          <w:lang w:val="en-US"/>
        </w:rPr>
        <w:t>Fauteux,J stated: In considering the questions of men rea a distinction is to be made between</w:t>
      </w:r>
    </w:p>
    <w:p w:rsidR="00602BE2" w:rsidRDefault="00602BE2">
      <w:pPr>
        <w:jc w:val="both"/>
        <w:rPr>
          <w:sz w:val="24"/>
          <w:szCs w:val="24"/>
          <w:lang w:val="en-US"/>
        </w:rPr>
      </w:pPr>
      <w:r>
        <w:rPr>
          <w:sz w:val="24"/>
          <w:szCs w:val="24"/>
          <w:lang w:val="en-US"/>
        </w:rPr>
        <w:tab/>
        <w:t xml:space="preserve">(1) the intention as applied to the acts considered in relation to their purposes and </w:t>
      </w:r>
      <w:r>
        <w:rPr>
          <w:sz w:val="24"/>
          <w:szCs w:val="24"/>
          <w:lang w:val="en-US"/>
        </w:rPr>
        <w:tab/>
        <w:t xml:space="preserve">(2) intention applied to acts considered apart from their purposes. A general intent </w:t>
      </w:r>
      <w:r>
        <w:rPr>
          <w:sz w:val="24"/>
          <w:szCs w:val="24"/>
          <w:lang w:val="en-US"/>
        </w:rPr>
        <w:tab/>
        <w:t xml:space="preserve">attending an act is in some cases the only intent required to constitute a crime </w:t>
      </w:r>
      <w:r>
        <w:rPr>
          <w:sz w:val="24"/>
          <w:szCs w:val="24"/>
          <w:lang w:val="en-US"/>
        </w:rPr>
        <w:tab/>
        <w:t xml:space="preserve">while in others there must be in addition to that general intent  a specific intent </w:t>
      </w:r>
      <w:r>
        <w:rPr>
          <w:sz w:val="24"/>
          <w:szCs w:val="24"/>
          <w:lang w:val="en-US"/>
        </w:rPr>
        <w:tab/>
        <w:t>attending the purpose for commission of the act.</w:t>
      </w:r>
    </w:p>
    <w:p w:rsidR="00602BE2" w:rsidRDefault="00602BE2">
      <w:pPr>
        <w:jc w:val="both"/>
        <w:rPr>
          <w:color w:val="008000"/>
          <w:sz w:val="24"/>
          <w:szCs w:val="24"/>
          <w:lang w:val="en-US"/>
        </w:rPr>
      </w:pPr>
    </w:p>
    <w:p w:rsidR="00602BE2" w:rsidRDefault="00602BE2">
      <w:pPr>
        <w:jc w:val="both"/>
        <w:rPr>
          <w:sz w:val="24"/>
          <w:szCs w:val="24"/>
          <w:lang w:val="en-US"/>
        </w:rPr>
      </w:pPr>
      <w:r>
        <w:rPr>
          <w:color w:val="008000"/>
          <w:sz w:val="24"/>
          <w:szCs w:val="24"/>
          <w:lang w:val="en-US"/>
        </w:rPr>
        <w:t xml:space="preserve">CCC, Section 13: </w:t>
      </w:r>
      <w:r>
        <w:rPr>
          <w:b/>
          <w:bCs/>
          <w:sz w:val="24"/>
          <w:szCs w:val="24"/>
          <w:lang w:val="en-US"/>
        </w:rPr>
        <w:t>age of criminal liability</w:t>
      </w:r>
    </w:p>
    <w:p w:rsidR="00602BE2" w:rsidRDefault="00602BE2">
      <w:pPr>
        <w:jc w:val="both"/>
        <w:rPr>
          <w:sz w:val="24"/>
          <w:szCs w:val="24"/>
          <w:lang w:val="en-US"/>
        </w:rPr>
      </w:pPr>
      <w:r>
        <w:rPr>
          <w:sz w:val="24"/>
          <w:szCs w:val="24"/>
          <w:lang w:val="en-US"/>
        </w:rPr>
        <w:t>The YCJA (Youth Criminal Justice Act) governs the application of criminal and correctional law to those 12 years old or older, but younger than 18 at the time of committing the offence (</w:t>
      </w:r>
      <w:r>
        <w:rPr>
          <w:color w:val="008000"/>
          <w:sz w:val="24"/>
          <w:szCs w:val="24"/>
          <w:lang w:val="en-US"/>
        </w:rPr>
        <w:t xml:space="preserve">Section 2 </w:t>
      </w:r>
      <w:r>
        <w:rPr>
          <w:sz w:val="24"/>
          <w:szCs w:val="24"/>
          <w:lang w:val="en-US"/>
        </w:rPr>
        <w:t xml:space="preserve">of the YCJA). Youth aged 14 to 18 may be tried and/or sentenced as adults under certain conditions, as described later on in the act. The Criminal </w:t>
      </w:r>
      <w:r>
        <w:rPr>
          <w:color w:val="008000"/>
          <w:sz w:val="24"/>
          <w:szCs w:val="24"/>
          <w:lang w:val="en-US"/>
        </w:rPr>
        <w:t>Code of Canada, section 13</w:t>
      </w:r>
      <w:r>
        <w:rPr>
          <w:sz w:val="24"/>
          <w:szCs w:val="24"/>
          <w:lang w:val="en-US"/>
        </w:rPr>
        <w:t>, states "No person shall be convicted of an offence in respect of an act or omission on his or her part while that person was under the age of twelve years."</w:t>
      </w:r>
    </w:p>
    <w:p w:rsidR="00602BE2" w:rsidRDefault="00602BE2">
      <w:pPr>
        <w:jc w:val="both"/>
        <w:rPr>
          <w:sz w:val="24"/>
          <w:szCs w:val="24"/>
          <w:lang w:val="en-US"/>
        </w:rPr>
      </w:pPr>
    </w:p>
    <w:p w:rsidR="00602BE2" w:rsidRDefault="00602BE2">
      <w:pPr>
        <w:jc w:val="right"/>
        <w:rPr>
          <w:sz w:val="24"/>
          <w:szCs w:val="24"/>
          <w:lang w:val="en-US"/>
        </w:rPr>
      </w:pPr>
      <w:r>
        <w:rPr>
          <w:b/>
          <w:bCs/>
          <w:sz w:val="24"/>
          <w:szCs w:val="24"/>
          <w:u w:val="single"/>
          <w:lang w:val="en-US"/>
        </w:rPr>
        <w:t xml:space="preserve">British North America Act, 1867 </w:t>
      </w:r>
      <w:r>
        <w:rPr>
          <w:sz w:val="24"/>
          <w:szCs w:val="24"/>
          <w:u w:val="single"/>
          <w:lang w:val="en-US"/>
        </w:rPr>
        <w:t xml:space="preserve">(now </w:t>
      </w:r>
      <w:r>
        <w:rPr>
          <w:color w:val="008000"/>
          <w:sz w:val="24"/>
          <w:szCs w:val="24"/>
          <w:u w:val="single"/>
          <w:lang w:val="en-US"/>
        </w:rPr>
        <w:t>Constitution Act, 1867</w:t>
      </w:r>
      <w:r>
        <w:rPr>
          <w:sz w:val="24"/>
          <w:szCs w:val="24"/>
          <w:u w:val="single"/>
          <w:lang w:val="en-US"/>
        </w:rPr>
        <w:t xml:space="preserve">) </w:t>
      </w:r>
      <w:r>
        <w:rPr>
          <w:b/>
          <w:bCs/>
          <w:sz w:val="24"/>
          <w:szCs w:val="24"/>
          <w:u w:val="single"/>
          <w:lang w:val="en-US"/>
        </w:rPr>
        <w:t xml:space="preserve"> </w:t>
      </w:r>
    </w:p>
    <w:p w:rsidR="00602BE2" w:rsidRDefault="00602BE2">
      <w:pPr>
        <w:jc w:val="both"/>
        <w:rPr>
          <w:b/>
          <w:bCs/>
          <w:sz w:val="24"/>
          <w:szCs w:val="24"/>
          <w:lang w:val="en-US"/>
        </w:rPr>
      </w:pPr>
      <w:r>
        <w:rPr>
          <w:b/>
          <w:bCs/>
          <w:sz w:val="24"/>
          <w:szCs w:val="24"/>
          <w:lang w:val="en-US"/>
        </w:rPr>
        <w:t>1. Criminal Law Power</w:t>
      </w:r>
    </w:p>
    <w:p w:rsidR="00602BE2" w:rsidRDefault="00602BE2">
      <w:pPr>
        <w:jc w:val="both"/>
        <w:rPr>
          <w:sz w:val="24"/>
          <w:szCs w:val="24"/>
          <w:lang w:val="en-US"/>
        </w:rPr>
      </w:pPr>
      <w:r>
        <w:rPr>
          <w:color w:val="008000"/>
          <w:sz w:val="24"/>
          <w:szCs w:val="24"/>
          <w:lang w:val="en-US"/>
        </w:rPr>
        <w:t xml:space="preserve">Section 91 (27): </w:t>
      </w:r>
      <w:r>
        <w:rPr>
          <w:sz w:val="24"/>
          <w:szCs w:val="24"/>
          <w:lang w:val="en-US"/>
        </w:rPr>
        <w:t>gives Parliament the power to make law related to the "criminal law, except the constitution of courts of criminal jurisdiction, but including the procedure in criminal matters". Parliament can amend said Code.</w:t>
      </w:r>
    </w:p>
    <w:p w:rsidR="00602BE2" w:rsidRDefault="00602BE2">
      <w:pPr>
        <w:jc w:val="both"/>
        <w:rPr>
          <w:sz w:val="24"/>
          <w:szCs w:val="24"/>
          <w:lang w:val="en-US"/>
        </w:rPr>
      </w:pPr>
      <w:r>
        <w:rPr>
          <w:color w:val="008000"/>
          <w:sz w:val="24"/>
          <w:szCs w:val="24"/>
          <w:lang w:val="en-US"/>
        </w:rPr>
        <w:t xml:space="preserve">Section 91(28): </w:t>
      </w:r>
      <w:r>
        <w:rPr>
          <w:sz w:val="24"/>
          <w:szCs w:val="24"/>
          <w:lang w:val="en-US"/>
        </w:rPr>
        <w:t xml:space="preserve">gives Parliament exclusive power over "penitentiaries" </w:t>
      </w:r>
    </w:p>
    <w:p w:rsidR="00602BE2" w:rsidRDefault="00602BE2">
      <w:pPr>
        <w:jc w:val="both"/>
        <w:rPr>
          <w:sz w:val="24"/>
          <w:szCs w:val="24"/>
          <w:lang w:val="en-US"/>
        </w:rPr>
      </w:pPr>
      <w:r>
        <w:rPr>
          <w:color w:val="008000"/>
          <w:sz w:val="24"/>
          <w:szCs w:val="24"/>
          <w:lang w:val="en-US"/>
        </w:rPr>
        <w:t xml:space="preserve">Section 92(6): </w:t>
      </w:r>
      <w:r>
        <w:rPr>
          <w:sz w:val="24"/>
          <w:szCs w:val="24"/>
          <w:lang w:val="en-US"/>
        </w:rPr>
        <w:t>gives the provinces power over the "prisons". This means that offenders sentenced to two years or more go to federal penitentiaries while those with lighter sentences go to provincial prisons.</w:t>
      </w:r>
    </w:p>
    <w:p w:rsidR="00602BE2" w:rsidRDefault="00602BE2">
      <w:pPr>
        <w:jc w:val="both"/>
        <w:rPr>
          <w:sz w:val="24"/>
          <w:szCs w:val="24"/>
          <w:lang w:val="en-US"/>
        </w:rPr>
      </w:pPr>
    </w:p>
    <w:p w:rsidR="00602BE2" w:rsidRDefault="00602BE2">
      <w:pPr>
        <w:jc w:val="both"/>
        <w:rPr>
          <w:color w:val="800080"/>
          <w:sz w:val="24"/>
          <w:szCs w:val="24"/>
          <w:lang w:val="en-US"/>
        </w:rPr>
      </w:pPr>
      <w:r>
        <w:rPr>
          <w:color w:val="800080"/>
          <w:sz w:val="24"/>
          <w:szCs w:val="24"/>
          <w:lang w:val="en-US"/>
        </w:rPr>
        <w:t>Examples:</w:t>
      </w:r>
    </w:p>
    <w:p w:rsidR="00602BE2" w:rsidRDefault="00602BE2">
      <w:pPr>
        <w:jc w:val="both"/>
        <w:rPr>
          <w:sz w:val="24"/>
          <w:szCs w:val="24"/>
          <w:lang w:val="en-US"/>
        </w:rPr>
      </w:pPr>
      <w:r>
        <w:rPr>
          <w:color w:val="FF6600"/>
          <w:sz w:val="24"/>
          <w:szCs w:val="24"/>
          <w:lang w:val="en-US"/>
        </w:rPr>
        <w:t xml:space="preserve">Margarine Reference Case (SCC) </w:t>
      </w:r>
    </w:p>
    <w:p w:rsidR="00602BE2" w:rsidRDefault="00602BE2">
      <w:pPr>
        <w:ind w:left="360" w:hanging="360"/>
        <w:jc w:val="both"/>
        <w:rPr>
          <w:i/>
          <w:iCs/>
          <w:sz w:val="24"/>
          <w:szCs w:val="24"/>
          <w:lang w:val="en-US"/>
        </w:rPr>
      </w:pPr>
      <w:r>
        <w:rPr>
          <w:i/>
          <w:iCs/>
          <w:sz w:val="24"/>
          <w:szCs w:val="24"/>
          <w:lang w:val="en-US"/>
        </w:rPr>
        <w:t>Facts and Issues</w:t>
      </w:r>
    </w:p>
    <w:p w:rsidR="00602BE2" w:rsidRDefault="00602BE2">
      <w:pPr>
        <w:jc w:val="both"/>
        <w:rPr>
          <w:sz w:val="24"/>
          <w:szCs w:val="24"/>
          <w:lang w:val="en-US"/>
        </w:rPr>
      </w:pPr>
      <w:r>
        <w:rPr>
          <w:sz w:val="24"/>
          <w:szCs w:val="24"/>
          <w:lang w:val="en-US"/>
        </w:rPr>
        <w:t>In this case, Parliament had legislated against the production and trade of margarine, in order to give dairy businesses assurances that margarine would not threaten their existence. This was to prevent injury to public health (federal government said there was no evidence it was dangerous)</w:t>
      </w:r>
    </w:p>
    <w:p w:rsidR="00602BE2" w:rsidRDefault="00602BE2">
      <w:pPr>
        <w:jc w:val="both"/>
        <w:rPr>
          <w:sz w:val="24"/>
          <w:szCs w:val="24"/>
          <w:lang w:val="en-US"/>
        </w:rPr>
      </w:pPr>
      <w:r>
        <w:rPr>
          <w:color w:val="008000"/>
          <w:sz w:val="24"/>
          <w:szCs w:val="24"/>
          <w:lang w:val="en-US"/>
        </w:rPr>
        <w:t xml:space="preserve">Under section 91(27) </w:t>
      </w:r>
      <w:r>
        <w:rPr>
          <w:sz w:val="24"/>
          <w:szCs w:val="24"/>
          <w:lang w:val="en-US"/>
        </w:rPr>
        <w:t xml:space="preserve">of the Constitution Act, 1867: Parliament receives exclusive powers to legislate in regard to the criminal law. </w:t>
      </w:r>
    </w:p>
    <w:p w:rsidR="00602BE2" w:rsidRDefault="00602BE2">
      <w:pPr>
        <w:jc w:val="both"/>
        <w:rPr>
          <w:sz w:val="24"/>
          <w:szCs w:val="24"/>
          <w:lang w:val="en-US"/>
        </w:rPr>
      </w:pPr>
      <w:r>
        <w:rPr>
          <w:sz w:val="24"/>
          <w:szCs w:val="24"/>
          <w:lang w:val="en-US"/>
        </w:rPr>
        <w:t xml:space="preserve">In </w:t>
      </w:r>
      <w:r>
        <w:rPr>
          <w:color w:val="FF9900"/>
          <w:sz w:val="24"/>
          <w:szCs w:val="24"/>
          <w:lang w:val="en-US"/>
        </w:rPr>
        <w:t xml:space="preserve">Board of Commerce (1922), </w:t>
      </w:r>
      <w:r>
        <w:rPr>
          <w:sz w:val="24"/>
          <w:szCs w:val="24"/>
          <w:lang w:val="en-US"/>
        </w:rPr>
        <w:t xml:space="preserve">the JCPC seemingly chose to define criminal law power as limited to prohibiting only what was criminal in 1867. </w:t>
      </w:r>
    </w:p>
    <w:p w:rsidR="00602BE2" w:rsidRDefault="00602BE2">
      <w:pPr>
        <w:jc w:val="both"/>
        <w:rPr>
          <w:i/>
          <w:iCs/>
          <w:sz w:val="24"/>
          <w:szCs w:val="24"/>
          <w:lang w:val="en-US"/>
        </w:rPr>
      </w:pPr>
      <w:r>
        <w:rPr>
          <w:sz w:val="24"/>
          <w:szCs w:val="24"/>
          <w:lang w:val="en-US"/>
        </w:rPr>
        <w:t xml:space="preserve">This was overturned in </w:t>
      </w:r>
      <w:r>
        <w:rPr>
          <w:color w:val="FF9900"/>
          <w:sz w:val="24"/>
          <w:szCs w:val="24"/>
          <w:lang w:val="en-US"/>
        </w:rPr>
        <w:t xml:space="preserve">Proprietary Articles Trade Assn. v. A.-G. Can. (1931), </w:t>
      </w:r>
      <w:r>
        <w:rPr>
          <w:sz w:val="24"/>
          <w:szCs w:val="24"/>
          <w:lang w:val="en-US"/>
        </w:rPr>
        <w:t>in which it was found criminal law means Parliament could legitimately prohibit any act "with penal consequences." The problem with the latter decision was that it gave Parliament an excuse to legislate in regard to many matters</w:t>
      </w:r>
    </w:p>
    <w:p w:rsidR="00602BE2" w:rsidRDefault="00602BE2">
      <w:pPr>
        <w:jc w:val="both"/>
        <w:rPr>
          <w:sz w:val="24"/>
          <w:szCs w:val="24"/>
          <w:lang w:val="en-US"/>
        </w:rPr>
      </w:pPr>
      <w:r>
        <w:rPr>
          <w:sz w:val="24"/>
          <w:szCs w:val="24"/>
          <w:lang w:val="en-US"/>
        </w:rPr>
        <w:t>Is a law within the authority of the federal government under the Parliament of Canada's powers to legislate criminal law?</w:t>
      </w:r>
    </w:p>
    <w:p w:rsidR="00602BE2" w:rsidRDefault="00602BE2">
      <w:pPr>
        <w:ind w:left="360" w:hanging="360"/>
        <w:jc w:val="both"/>
        <w:rPr>
          <w:i/>
          <w:iCs/>
          <w:sz w:val="24"/>
          <w:szCs w:val="24"/>
          <w:lang w:val="en-US"/>
        </w:rPr>
      </w:pPr>
      <w:r>
        <w:rPr>
          <w:i/>
          <w:iCs/>
          <w:sz w:val="24"/>
          <w:szCs w:val="24"/>
          <w:lang w:val="en-US"/>
        </w:rPr>
        <w:t>Decision</w:t>
      </w:r>
    </w:p>
    <w:p w:rsidR="00602BE2" w:rsidRDefault="00602BE2">
      <w:pPr>
        <w:jc w:val="both"/>
        <w:rPr>
          <w:i/>
          <w:iCs/>
          <w:sz w:val="24"/>
          <w:szCs w:val="24"/>
          <w:lang w:val="en-US"/>
        </w:rPr>
      </w:pPr>
      <w:r>
        <w:rPr>
          <w:sz w:val="24"/>
          <w:szCs w:val="24"/>
          <w:lang w:val="en-US"/>
        </w:rPr>
        <w:t>Court found that a regulation made by Parliament was ultra vires. It contained sufficient punitive sanctions; however, the subject matter was not the kind that served a public purpose. Justice Rand, for the Majority, struck down the prohibition on production of margarine on the grounds that it was not valid criminal law. The prohibition on importation of margarine, however, was upheld under the federal Trade and Commerce power.</w:t>
      </w:r>
    </w:p>
    <w:p w:rsidR="00602BE2" w:rsidRDefault="00602BE2">
      <w:pPr>
        <w:ind w:left="360" w:hanging="360"/>
        <w:jc w:val="both"/>
        <w:rPr>
          <w:i/>
          <w:iCs/>
          <w:sz w:val="24"/>
          <w:szCs w:val="24"/>
          <w:lang w:val="en-US"/>
        </w:rPr>
      </w:pPr>
      <w:r>
        <w:rPr>
          <w:i/>
          <w:iCs/>
          <w:sz w:val="24"/>
          <w:szCs w:val="24"/>
          <w:lang w:val="en-US"/>
        </w:rPr>
        <w:t>Reasons</w:t>
      </w:r>
    </w:p>
    <w:p w:rsidR="00602BE2" w:rsidRDefault="00602BE2">
      <w:pPr>
        <w:jc w:val="both"/>
        <w:rPr>
          <w:sz w:val="24"/>
          <w:szCs w:val="24"/>
          <w:lang w:val="en-US"/>
        </w:rPr>
      </w:pPr>
      <w:r>
        <w:rPr>
          <w:sz w:val="24"/>
          <w:szCs w:val="24"/>
          <w:lang w:val="en-US"/>
        </w:rPr>
        <w:t>Rand outlined a test to determine if a law falls under the criminal law, two requirements must be met for a law to be criminal in nature:</w:t>
      </w:r>
    </w:p>
    <w:p w:rsidR="00602BE2" w:rsidRDefault="00602BE2">
      <w:pPr>
        <w:ind w:left="992"/>
        <w:jc w:val="both"/>
        <w:rPr>
          <w:sz w:val="24"/>
          <w:szCs w:val="24"/>
          <w:lang w:val="en-US"/>
        </w:rPr>
      </w:pPr>
      <w:r>
        <w:rPr>
          <w:sz w:val="24"/>
          <w:szCs w:val="24"/>
          <w:lang w:val="en-US"/>
        </w:rPr>
        <w:t>-the law must be a prohibition with a penal sanction; and</w:t>
      </w:r>
    </w:p>
    <w:p w:rsidR="00602BE2" w:rsidRDefault="00602BE2">
      <w:pPr>
        <w:ind w:left="992"/>
        <w:jc w:val="both"/>
        <w:rPr>
          <w:sz w:val="24"/>
          <w:szCs w:val="24"/>
          <w:lang w:val="en-US"/>
        </w:rPr>
      </w:pPr>
      <w:r>
        <w:rPr>
          <w:sz w:val="24"/>
          <w:szCs w:val="24"/>
          <w:lang w:val="en-US"/>
        </w:rPr>
        <w:t>-the law must be directed towards a public purpose.</w:t>
      </w:r>
    </w:p>
    <w:p w:rsidR="00602BE2" w:rsidRDefault="00602BE2">
      <w:pPr>
        <w:jc w:val="both"/>
        <w:rPr>
          <w:sz w:val="24"/>
          <w:szCs w:val="24"/>
          <w:lang w:val="en-US"/>
        </w:rPr>
      </w:pPr>
      <w:r>
        <w:rPr>
          <w:sz w:val="24"/>
          <w:szCs w:val="24"/>
          <w:lang w:val="en-US"/>
        </w:rPr>
        <w:t>Public purposes: peace, order, security, health, morality</w:t>
      </w:r>
    </w:p>
    <w:p w:rsidR="00602BE2" w:rsidRDefault="00602BE2">
      <w:pPr>
        <w:jc w:val="both"/>
        <w:rPr>
          <w:sz w:val="24"/>
          <w:szCs w:val="24"/>
          <w:lang w:val="en-US"/>
        </w:rPr>
      </w:pPr>
      <w:r>
        <w:rPr>
          <w:sz w:val="24"/>
          <w:szCs w:val="24"/>
          <w:lang w:val="en-US"/>
        </w:rPr>
        <w:t>The JCPC agreed that the law was primarily related to property and civil rights, a provincial power.</w:t>
      </w:r>
    </w:p>
    <w:p w:rsidR="00602BE2" w:rsidRDefault="00602BE2">
      <w:pPr>
        <w:jc w:val="both"/>
        <w:rPr>
          <w:color w:val="800080"/>
          <w:sz w:val="24"/>
          <w:szCs w:val="24"/>
          <w:lang w:val="en-US"/>
        </w:rPr>
      </w:pPr>
    </w:p>
    <w:p w:rsidR="00602BE2" w:rsidRDefault="00602BE2">
      <w:pPr>
        <w:jc w:val="both"/>
        <w:rPr>
          <w:color w:val="FF6600"/>
          <w:sz w:val="24"/>
          <w:szCs w:val="24"/>
          <w:lang w:val="en-US"/>
        </w:rPr>
      </w:pPr>
      <w:r>
        <w:rPr>
          <w:color w:val="FF6600"/>
          <w:sz w:val="24"/>
          <w:szCs w:val="24"/>
          <w:lang w:val="en-US"/>
        </w:rPr>
        <w:t xml:space="preserve">R. v. Malmo-Levine (SCC)(2003) </w:t>
      </w:r>
    </w:p>
    <w:p w:rsidR="00602BE2" w:rsidRDefault="00602BE2">
      <w:pPr>
        <w:ind w:left="360" w:hanging="360"/>
        <w:jc w:val="both"/>
        <w:rPr>
          <w:i/>
          <w:iCs/>
          <w:sz w:val="24"/>
          <w:szCs w:val="24"/>
          <w:lang w:val="en-US"/>
        </w:rPr>
      </w:pPr>
      <w:r>
        <w:rPr>
          <w:i/>
          <w:iCs/>
          <w:sz w:val="24"/>
          <w:szCs w:val="24"/>
          <w:lang w:val="en-US"/>
        </w:rPr>
        <w:t>Facts and Issues</w:t>
      </w:r>
    </w:p>
    <w:p w:rsidR="00602BE2" w:rsidRDefault="00602BE2">
      <w:pPr>
        <w:jc w:val="both"/>
        <w:rPr>
          <w:sz w:val="24"/>
          <w:szCs w:val="24"/>
          <w:lang w:val="en-US"/>
        </w:rPr>
      </w:pPr>
      <w:r>
        <w:rPr>
          <w:sz w:val="24"/>
          <w:szCs w:val="24"/>
          <w:lang w:val="en-US"/>
        </w:rPr>
        <w:t>The Narcotics Control Act (now Controlled Drugs and Substances Act) deals with harm required to support Criminal Code offence</w:t>
      </w:r>
    </w:p>
    <w:p w:rsidR="00602BE2" w:rsidRDefault="00602BE2">
      <w:pPr>
        <w:jc w:val="both"/>
        <w:rPr>
          <w:sz w:val="24"/>
          <w:szCs w:val="24"/>
          <w:lang w:val="en-US"/>
        </w:rPr>
      </w:pPr>
      <w:r>
        <w:rPr>
          <w:sz w:val="24"/>
          <w:szCs w:val="24"/>
          <w:lang w:val="en-US"/>
        </w:rPr>
        <w:t xml:space="preserve">Malmo-Levine's argument focused on whether there should be a requirement of harm for criminal law. He argued that the constitutional power to enact criminal law under section </w:t>
      </w:r>
      <w:r>
        <w:rPr>
          <w:color w:val="008000"/>
          <w:sz w:val="24"/>
          <w:szCs w:val="24"/>
          <w:lang w:val="en-US"/>
        </w:rPr>
        <w:t xml:space="preserve">91(27) </w:t>
      </w:r>
      <w:r>
        <w:rPr>
          <w:sz w:val="24"/>
          <w:szCs w:val="24"/>
          <w:lang w:val="en-US"/>
        </w:rPr>
        <w:t>of the Constitution Act, 1867 is limited to conduct that causes harm. He further argued that the "</w:t>
      </w:r>
      <w:r>
        <w:rPr>
          <w:b/>
          <w:bCs/>
          <w:sz w:val="24"/>
          <w:szCs w:val="24"/>
          <w:lang w:val="en-US"/>
        </w:rPr>
        <w:t>harm principle</w:t>
      </w:r>
      <w:r>
        <w:rPr>
          <w:sz w:val="24"/>
          <w:szCs w:val="24"/>
          <w:lang w:val="en-US"/>
        </w:rPr>
        <w:t>" should be a principle of fundamental justice under section 7 of the Canadian Charter of Rights and Freedoms.</w:t>
      </w:r>
    </w:p>
    <w:p w:rsidR="00602BE2" w:rsidRDefault="00602BE2">
      <w:pPr>
        <w:ind w:left="360" w:hanging="360"/>
        <w:jc w:val="both"/>
        <w:rPr>
          <w:i/>
          <w:iCs/>
          <w:sz w:val="24"/>
          <w:szCs w:val="24"/>
          <w:lang w:val="en-US"/>
        </w:rPr>
      </w:pPr>
      <w:r>
        <w:rPr>
          <w:i/>
          <w:iCs/>
          <w:sz w:val="24"/>
          <w:szCs w:val="24"/>
          <w:lang w:val="en-US"/>
        </w:rPr>
        <w:t>Descion</w:t>
      </w:r>
    </w:p>
    <w:p w:rsidR="00602BE2" w:rsidRDefault="00602BE2">
      <w:pPr>
        <w:jc w:val="both"/>
        <w:rPr>
          <w:sz w:val="24"/>
          <w:szCs w:val="24"/>
          <w:lang w:val="en-US"/>
        </w:rPr>
      </w:pPr>
      <w:r>
        <w:rPr>
          <w:sz w:val="24"/>
          <w:szCs w:val="24"/>
          <w:lang w:val="en-US"/>
        </w:rPr>
        <w:t>The constitutional decision of the Supreme Court of Canada. The Court rejected a constitutional challenge of the criminalization of marijuana</w:t>
      </w:r>
    </w:p>
    <w:p w:rsidR="00602BE2" w:rsidRDefault="00602BE2">
      <w:pPr>
        <w:ind w:left="360" w:hanging="360"/>
        <w:jc w:val="both"/>
        <w:rPr>
          <w:i/>
          <w:iCs/>
          <w:sz w:val="24"/>
          <w:szCs w:val="24"/>
          <w:lang w:val="en-US"/>
        </w:rPr>
      </w:pPr>
      <w:r>
        <w:rPr>
          <w:i/>
          <w:iCs/>
          <w:sz w:val="24"/>
          <w:szCs w:val="24"/>
          <w:lang w:val="en-US"/>
        </w:rPr>
        <w:t>Reasons</w:t>
      </w:r>
    </w:p>
    <w:p w:rsidR="00602BE2" w:rsidRDefault="00602BE2">
      <w:pPr>
        <w:jc w:val="both"/>
        <w:rPr>
          <w:sz w:val="24"/>
          <w:szCs w:val="24"/>
          <w:lang w:val="en-US"/>
        </w:rPr>
      </w:pPr>
      <w:r>
        <w:rPr>
          <w:sz w:val="24"/>
          <w:szCs w:val="24"/>
          <w:lang w:val="en-US"/>
        </w:rPr>
        <w:t xml:space="preserve">Gonthier and Binnie JJ., writing the majority, rejected all the arguments for the requirements of harm under </w:t>
      </w:r>
      <w:r>
        <w:rPr>
          <w:color w:val="008000"/>
          <w:sz w:val="24"/>
          <w:szCs w:val="24"/>
          <w:lang w:val="en-US"/>
        </w:rPr>
        <w:t xml:space="preserve">section 91(27) </w:t>
      </w:r>
      <w:r>
        <w:rPr>
          <w:sz w:val="24"/>
          <w:szCs w:val="24"/>
          <w:lang w:val="en-US"/>
        </w:rPr>
        <w:t>of the Constitution Act, 1867 and section 7 of the Charter. They held that Parliament need not establish harm but only a reasonable apprehension of harm.</w:t>
      </w:r>
    </w:p>
    <w:p w:rsidR="00602BE2" w:rsidRDefault="00602BE2">
      <w:pPr>
        <w:jc w:val="both"/>
        <w:rPr>
          <w:sz w:val="24"/>
          <w:szCs w:val="24"/>
          <w:lang w:val="en-US"/>
        </w:rPr>
      </w:pPr>
      <w:r>
        <w:rPr>
          <w:sz w:val="24"/>
          <w:szCs w:val="24"/>
          <w:lang w:val="en-US"/>
        </w:rPr>
        <w:t>The criminal law power, they state, includes the protection of vulnerable groups. Thus the government is able to control activities for the protection of drug users and society.</w:t>
      </w:r>
    </w:p>
    <w:p w:rsidR="00602BE2" w:rsidRDefault="00602BE2">
      <w:pPr>
        <w:jc w:val="both"/>
        <w:rPr>
          <w:sz w:val="24"/>
          <w:szCs w:val="24"/>
          <w:lang w:val="en-US"/>
        </w:rPr>
      </w:pPr>
    </w:p>
    <w:p w:rsidR="00602BE2" w:rsidRDefault="00602BE2">
      <w:pPr>
        <w:jc w:val="both"/>
        <w:rPr>
          <w:sz w:val="24"/>
          <w:szCs w:val="24"/>
          <w:lang w:val="en-US"/>
        </w:rPr>
      </w:pPr>
      <w:r>
        <w:rPr>
          <w:color w:val="FF6600"/>
          <w:sz w:val="24"/>
          <w:szCs w:val="24"/>
          <w:lang w:val="en-US"/>
        </w:rPr>
        <w:t xml:space="preserve">Firearms Reference Case (2000) (SCC) </w:t>
      </w:r>
    </w:p>
    <w:p w:rsidR="00602BE2" w:rsidRDefault="00602BE2">
      <w:pPr>
        <w:ind w:left="360" w:hanging="360"/>
        <w:jc w:val="both"/>
        <w:rPr>
          <w:i/>
          <w:iCs/>
          <w:sz w:val="24"/>
          <w:szCs w:val="24"/>
          <w:lang w:val="en-US"/>
        </w:rPr>
      </w:pPr>
      <w:r>
        <w:rPr>
          <w:i/>
          <w:iCs/>
          <w:sz w:val="24"/>
          <w:szCs w:val="24"/>
          <w:lang w:val="en-US"/>
        </w:rPr>
        <w:t>Facts and Issues</w:t>
      </w:r>
    </w:p>
    <w:p w:rsidR="00602BE2" w:rsidRDefault="00602BE2">
      <w:pPr>
        <w:jc w:val="both"/>
        <w:rPr>
          <w:sz w:val="24"/>
          <w:szCs w:val="24"/>
          <w:lang w:val="en-US"/>
        </w:rPr>
      </w:pPr>
      <w:r>
        <w:rPr>
          <w:sz w:val="24"/>
          <w:szCs w:val="24"/>
          <w:lang w:val="en-US"/>
        </w:rPr>
        <w:t>The government of Canada amended the Criminal Code of Canada in 1995 to include the controversial Firearms Act, which required gun owners to have them registered and to obtain licences for them.</w:t>
      </w:r>
    </w:p>
    <w:p w:rsidR="00602BE2" w:rsidRDefault="00602BE2">
      <w:pPr>
        <w:jc w:val="both"/>
        <w:rPr>
          <w:sz w:val="24"/>
          <w:szCs w:val="24"/>
          <w:lang w:val="en-US"/>
        </w:rPr>
      </w:pPr>
      <w:r>
        <w:rPr>
          <w:sz w:val="24"/>
          <w:szCs w:val="24"/>
          <w:lang w:val="en-US"/>
        </w:rPr>
        <w:t>The government of Alberta submitted a reference question to the Alberta Court of Appeal to determine whether the Act was in relation to matters under the jurisdiction of the federal government. The government of Alberta argued that the law was in relation to personal property and thus was a matter in the jurisdiction of the province. The federal government, however, argued that the law was in the realm of criminal law, which is under federal jurisdiction.</w:t>
      </w:r>
    </w:p>
    <w:p w:rsidR="00602BE2" w:rsidRDefault="00602BE2">
      <w:pPr>
        <w:ind w:left="360" w:hanging="360"/>
        <w:jc w:val="both"/>
        <w:rPr>
          <w:i/>
          <w:iCs/>
          <w:sz w:val="24"/>
          <w:szCs w:val="24"/>
          <w:lang w:val="en-US"/>
        </w:rPr>
      </w:pPr>
      <w:r>
        <w:rPr>
          <w:i/>
          <w:iCs/>
          <w:sz w:val="24"/>
          <w:szCs w:val="24"/>
          <w:lang w:val="en-US"/>
        </w:rPr>
        <w:t>Decision</w:t>
      </w:r>
    </w:p>
    <w:p w:rsidR="00602BE2" w:rsidRDefault="00602BE2">
      <w:pPr>
        <w:jc w:val="both"/>
        <w:rPr>
          <w:sz w:val="24"/>
          <w:szCs w:val="24"/>
          <w:lang w:val="en-US"/>
        </w:rPr>
      </w:pPr>
      <w:r>
        <w:rPr>
          <w:sz w:val="24"/>
          <w:szCs w:val="24"/>
          <w:lang w:val="en-US"/>
        </w:rPr>
        <w:t>A unanimous Court held that the federal Firearms Act was constitutionally valid under the federal criminal law power.</w:t>
      </w:r>
    </w:p>
    <w:p w:rsidR="00602BE2" w:rsidRDefault="00602BE2">
      <w:pPr>
        <w:ind w:left="360" w:hanging="360"/>
        <w:jc w:val="both"/>
        <w:rPr>
          <w:i/>
          <w:iCs/>
          <w:sz w:val="24"/>
          <w:szCs w:val="24"/>
          <w:lang w:val="en-US"/>
        </w:rPr>
      </w:pPr>
      <w:r>
        <w:rPr>
          <w:i/>
          <w:iCs/>
          <w:sz w:val="24"/>
          <w:szCs w:val="24"/>
          <w:lang w:val="en-US"/>
        </w:rPr>
        <w:t>Reasons</w:t>
      </w:r>
    </w:p>
    <w:p w:rsidR="00602BE2" w:rsidRDefault="00602BE2">
      <w:pPr>
        <w:jc w:val="both"/>
        <w:rPr>
          <w:sz w:val="24"/>
          <w:szCs w:val="24"/>
          <w:lang w:val="en-US"/>
        </w:rPr>
      </w:pPr>
      <w:r>
        <w:rPr>
          <w:sz w:val="24"/>
          <w:szCs w:val="24"/>
          <w:lang w:val="en-US"/>
        </w:rPr>
        <w:t>The unanimous Court held that the pith and substance of the Act was in relation to "public safety" which was a matter within the criminal law power of the federal government. The Court cited the Margarine Reference for the requirements of criminal law</w:t>
      </w:r>
    </w:p>
    <w:p w:rsidR="00602BE2" w:rsidRDefault="00602BE2">
      <w:pPr>
        <w:jc w:val="both"/>
        <w:rPr>
          <w:sz w:val="24"/>
          <w:szCs w:val="24"/>
          <w:lang w:val="en-US"/>
        </w:rPr>
      </w:pPr>
      <w:r>
        <w:rPr>
          <w:sz w:val="24"/>
          <w:szCs w:val="24"/>
          <w:lang w:val="en-US"/>
        </w:rPr>
        <w:t>The Court went on to argue that there would be a moral danger if firearms are used irresponsibly (morality is an element in criminal law, as established in the Margarine Reference)</w:t>
      </w:r>
    </w:p>
    <w:p w:rsidR="00602BE2" w:rsidRDefault="00602BE2">
      <w:pPr>
        <w:jc w:val="both"/>
        <w:rPr>
          <w:sz w:val="24"/>
          <w:szCs w:val="24"/>
          <w:lang w:val="en-US"/>
        </w:rPr>
      </w:pPr>
      <w:r>
        <w:rPr>
          <w:sz w:val="24"/>
          <w:szCs w:val="24"/>
          <w:lang w:val="en-US"/>
        </w:rPr>
        <w:t>Finally, the Court rejected all arguments that the law was too expensive or disadvantageous to rural regions, as these were matters for Parliament to consider rather than legal issues liable to judicial review.</w:t>
      </w:r>
    </w:p>
    <w:p w:rsidR="00602BE2" w:rsidRDefault="00602BE2">
      <w:pPr>
        <w:jc w:val="both"/>
        <w:rPr>
          <w:b/>
          <w:bCs/>
          <w:sz w:val="24"/>
          <w:szCs w:val="24"/>
          <w:lang w:val="en-US"/>
        </w:rPr>
      </w:pPr>
    </w:p>
    <w:p w:rsidR="00602BE2" w:rsidRDefault="00602BE2">
      <w:pPr>
        <w:jc w:val="both"/>
        <w:rPr>
          <w:b/>
          <w:bCs/>
          <w:sz w:val="24"/>
          <w:szCs w:val="24"/>
          <w:lang w:val="en-US"/>
        </w:rPr>
      </w:pPr>
      <w:r>
        <w:rPr>
          <w:b/>
          <w:bCs/>
          <w:sz w:val="24"/>
          <w:szCs w:val="24"/>
          <w:lang w:val="en-US"/>
        </w:rPr>
        <w:t>2. Administration of Justice Power</w:t>
      </w:r>
    </w:p>
    <w:p w:rsidR="00602BE2" w:rsidRDefault="00602BE2">
      <w:pPr>
        <w:jc w:val="both"/>
        <w:rPr>
          <w:sz w:val="24"/>
          <w:szCs w:val="24"/>
          <w:lang w:val="en-US"/>
        </w:rPr>
      </w:pPr>
      <w:r>
        <w:rPr>
          <w:color w:val="008000"/>
          <w:sz w:val="24"/>
          <w:szCs w:val="24"/>
          <w:lang w:val="en-US"/>
        </w:rPr>
        <w:t xml:space="preserve">Section 92 (14): </w:t>
      </w:r>
      <w:r>
        <w:rPr>
          <w:sz w:val="24"/>
          <w:szCs w:val="24"/>
          <w:lang w:val="en-US"/>
        </w:rPr>
        <w:t>the provinces are delegated the power to administer justice, "including the constitution, maintenance, and organization of provincial courts, both of civil and criminal jurisdictions, and including procedure in civil matters in both courts". Allows the provinces to prosecute offences under the Criminal Code and to create a provincial police force such as the OPP and the Sûreté du Québec (SQ).</w:t>
      </w:r>
    </w:p>
    <w:p w:rsidR="00602BE2" w:rsidRDefault="00602BE2">
      <w:pPr>
        <w:jc w:val="both"/>
        <w:rPr>
          <w:sz w:val="24"/>
          <w:szCs w:val="24"/>
          <w:lang w:val="en-US"/>
        </w:rPr>
      </w:pPr>
      <w:r>
        <w:rPr>
          <w:color w:val="008000"/>
          <w:sz w:val="24"/>
          <w:szCs w:val="24"/>
          <w:lang w:val="en-US"/>
        </w:rPr>
        <w:t xml:space="preserve">Section 101: </w:t>
      </w:r>
      <w:r>
        <w:rPr>
          <w:sz w:val="24"/>
          <w:szCs w:val="24"/>
          <w:lang w:val="en-US"/>
        </w:rPr>
        <w:t xml:space="preserve">gives Parliament power to create a "general court of appeal for Canada" and "additional Courts for the better Administration of the Laws of Canada". </w:t>
      </w:r>
    </w:p>
    <w:p w:rsidR="00602BE2" w:rsidRDefault="00602BE2">
      <w:pPr>
        <w:jc w:val="both"/>
        <w:rPr>
          <w:sz w:val="24"/>
          <w:szCs w:val="24"/>
          <w:lang w:val="en-US"/>
        </w:rPr>
      </w:pPr>
      <w:r>
        <w:rPr>
          <w:sz w:val="24"/>
          <w:szCs w:val="24"/>
          <w:lang w:val="en-US"/>
        </w:rPr>
        <w:t xml:space="preserve">i.e. Supreme Court of Canada and lower federal courts. </w:t>
      </w:r>
    </w:p>
    <w:p w:rsidR="00602BE2" w:rsidRDefault="00602BE2">
      <w:pPr>
        <w:jc w:val="both"/>
        <w:rPr>
          <w:sz w:val="24"/>
          <w:szCs w:val="24"/>
          <w:lang w:val="en-US"/>
        </w:rPr>
      </w:pPr>
    </w:p>
    <w:p w:rsidR="00602BE2" w:rsidRDefault="00602BE2">
      <w:pPr>
        <w:jc w:val="both"/>
        <w:rPr>
          <w:b/>
          <w:bCs/>
          <w:sz w:val="24"/>
          <w:szCs w:val="24"/>
          <w:lang w:val="en-US"/>
        </w:rPr>
      </w:pPr>
      <w:r>
        <w:rPr>
          <w:b/>
          <w:bCs/>
          <w:sz w:val="24"/>
          <w:szCs w:val="24"/>
          <w:lang w:val="en-US"/>
        </w:rPr>
        <w:t>3. Appointment of S.96 Judges</w:t>
      </w:r>
    </w:p>
    <w:p w:rsidR="00602BE2" w:rsidRDefault="00602BE2">
      <w:pPr>
        <w:jc w:val="both"/>
        <w:rPr>
          <w:sz w:val="24"/>
          <w:szCs w:val="24"/>
          <w:lang w:val="en-US"/>
        </w:rPr>
      </w:pPr>
      <w:r>
        <w:rPr>
          <w:color w:val="008000"/>
          <w:sz w:val="24"/>
          <w:szCs w:val="24"/>
          <w:lang w:val="en-US"/>
        </w:rPr>
        <w:t xml:space="preserve">Section 96: </w:t>
      </w:r>
      <w:r>
        <w:rPr>
          <w:sz w:val="24"/>
          <w:szCs w:val="24"/>
          <w:lang w:val="en-US"/>
        </w:rPr>
        <w:t>authorizes the federal government to appoint judges for "the Superior, District, and County Courts in each Province". Although the provinces pay for these courts and determine their jurisdiction and procedural rules, the federal government appoints and pays their judges.</w:t>
      </w:r>
    </w:p>
    <w:p w:rsidR="00602BE2" w:rsidRDefault="00602BE2">
      <w:pPr>
        <w:jc w:val="both"/>
        <w:rPr>
          <w:sz w:val="24"/>
          <w:szCs w:val="24"/>
          <w:lang w:val="en-US"/>
        </w:rPr>
      </w:pPr>
    </w:p>
    <w:p w:rsidR="00602BE2" w:rsidRDefault="00602BE2">
      <w:pPr>
        <w:jc w:val="right"/>
        <w:rPr>
          <w:b/>
          <w:bCs/>
          <w:sz w:val="24"/>
          <w:szCs w:val="24"/>
          <w:u w:val="single"/>
          <w:lang w:val="en-US"/>
        </w:rPr>
      </w:pPr>
      <w:r>
        <w:rPr>
          <w:b/>
          <w:bCs/>
          <w:sz w:val="24"/>
          <w:szCs w:val="24"/>
          <w:u w:val="single"/>
          <w:lang w:val="en-US"/>
        </w:rPr>
        <w:t>Cases to Look Out For</w:t>
      </w:r>
    </w:p>
    <w:p w:rsidR="00602BE2" w:rsidRDefault="00602BE2">
      <w:pPr>
        <w:jc w:val="both"/>
        <w:rPr>
          <w:sz w:val="24"/>
          <w:szCs w:val="24"/>
          <w:lang w:val="en-US"/>
        </w:rPr>
      </w:pPr>
    </w:p>
    <w:p w:rsidR="00602BE2" w:rsidRDefault="00602BE2">
      <w:pPr>
        <w:jc w:val="both"/>
        <w:rPr>
          <w:sz w:val="24"/>
          <w:szCs w:val="24"/>
          <w:lang w:val="en-US"/>
        </w:rPr>
      </w:pPr>
      <w:r>
        <w:rPr>
          <w:color w:val="FF6600"/>
          <w:sz w:val="24"/>
          <w:szCs w:val="24"/>
          <w:lang w:val="en-US"/>
        </w:rPr>
        <w:t xml:space="preserve">R. v. Oakes (SCC) </w:t>
      </w:r>
    </w:p>
    <w:p w:rsidR="00602BE2" w:rsidRDefault="00602BE2">
      <w:pPr>
        <w:ind w:left="360" w:hanging="360"/>
        <w:jc w:val="both"/>
        <w:rPr>
          <w:i/>
          <w:iCs/>
          <w:sz w:val="24"/>
          <w:szCs w:val="24"/>
          <w:lang w:val="en-US"/>
        </w:rPr>
      </w:pPr>
      <w:r>
        <w:rPr>
          <w:i/>
          <w:iCs/>
          <w:sz w:val="24"/>
          <w:szCs w:val="24"/>
          <w:lang w:val="en-US"/>
        </w:rPr>
        <w:t>Facts and isssues</w:t>
      </w:r>
    </w:p>
    <w:p w:rsidR="00602BE2" w:rsidRDefault="00602BE2">
      <w:pPr>
        <w:jc w:val="both"/>
        <w:rPr>
          <w:sz w:val="24"/>
          <w:szCs w:val="24"/>
          <w:lang w:val="en-US"/>
        </w:rPr>
      </w:pPr>
      <w:r>
        <w:rPr>
          <w:sz w:val="24"/>
          <w:szCs w:val="24"/>
          <w:lang w:val="en-US"/>
        </w:rPr>
        <w:t xml:space="preserve">David Edwin Oakes was caught with 8 vials of hashish oil. Despite his protests that the vials were meant for pain relief and that the money he had was from a workers' compensation cheque, </w:t>
      </w:r>
      <w:r>
        <w:rPr>
          <w:color w:val="008000"/>
          <w:sz w:val="24"/>
          <w:szCs w:val="24"/>
          <w:lang w:val="en-US"/>
        </w:rPr>
        <w:t xml:space="preserve">Section 8 of the Narcotic Control Act (NCA) </w:t>
      </w:r>
      <w:r>
        <w:rPr>
          <w:sz w:val="24"/>
          <w:szCs w:val="24"/>
          <w:lang w:val="en-US"/>
        </w:rPr>
        <w:t>established a 'rebuttable presumption" that possession of a narcotic inferred an intention to traffic unless the accused established the absence of such an intention.</w:t>
      </w:r>
    </w:p>
    <w:p w:rsidR="00602BE2" w:rsidRDefault="00602BE2">
      <w:pPr>
        <w:jc w:val="both"/>
        <w:rPr>
          <w:sz w:val="24"/>
          <w:szCs w:val="24"/>
          <w:lang w:val="en-US"/>
        </w:rPr>
      </w:pPr>
      <w:r>
        <w:rPr>
          <w:sz w:val="24"/>
          <w:szCs w:val="24"/>
          <w:lang w:val="en-US"/>
        </w:rPr>
        <w:t xml:space="preserve">Oakes claimed that the reverse onus created by the presumption of possession for purposes of trafficking violated the presumption of innocence guarantee under </w:t>
      </w:r>
      <w:r>
        <w:rPr>
          <w:color w:val="008000"/>
          <w:sz w:val="24"/>
          <w:szCs w:val="24"/>
          <w:lang w:val="en-US"/>
        </w:rPr>
        <w:t>section 11(d) of the Charter</w:t>
      </w:r>
      <w:r>
        <w:rPr>
          <w:sz w:val="24"/>
          <w:szCs w:val="24"/>
          <w:lang w:val="en-US"/>
        </w:rPr>
        <w:t xml:space="preserve">. The issue before the Court was whether s. 8 of the NCA violated s. 11(d) of the Charter, and whether any violation of s. 11(d) could be upheld under </w:t>
      </w:r>
      <w:r>
        <w:rPr>
          <w:color w:val="008000"/>
          <w:sz w:val="24"/>
          <w:szCs w:val="24"/>
          <w:lang w:val="en-US"/>
        </w:rPr>
        <w:t>s. 1</w:t>
      </w:r>
      <w:r>
        <w:rPr>
          <w:sz w:val="24"/>
          <w:szCs w:val="24"/>
          <w:lang w:val="en-US"/>
        </w:rPr>
        <w:t>.</w:t>
      </w:r>
    </w:p>
    <w:p w:rsidR="00602BE2" w:rsidRDefault="00602BE2">
      <w:pPr>
        <w:jc w:val="both"/>
        <w:rPr>
          <w:sz w:val="24"/>
          <w:szCs w:val="24"/>
          <w:lang w:val="en-US"/>
        </w:rPr>
      </w:pPr>
    </w:p>
    <w:p w:rsidR="00602BE2" w:rsidRDefault="00602BE2">
      <w:pPr>
        <w:ind w:left="360" w:hanging="360"/>
        <w:jc w:val="both"/>
        <w:rPr>
          <w:i/>
          <w:iCs/>
          <w:sz w:val="24"/>
          <w:szCs w:val="24"/>
          <w:lang w:val="en-US"/>
        </w:rPr>
      </w:pPr>
      <w:r>
        <w:rPr>
          <w:i/>
          <w:iCs/>
          <w:sz w:val="24"/>
          <w:szCs w:val="24"/>
          <w:lang w:val="en-US"/>
        </w:rPr>
        <w:t xml:space="preserve">Decision </w:t>
      </w:r>
    </w:p>
    <w:p w:rsidR="00602BE2" w:rsidRDefault="00602BE2">
      <w:pPr>
        <w:jc w:val="both"/>
        <w:rPr>
          <w:sz w:val="24"/>
          <w:szCs w:val="24"/>
          <w:lang w:val="en-US"/>
        </w:rPr>
      </w:pPr>
      <w:r>
        <w:rPr>
          <w:sz w:val="24"/>
          <w:szCs w:val="24"/>
          <w:lang w:val="en-US"/>
        </w:rPr>
        <w:t xml:space="preserve">The Court was unanimous in holding that the shift in onus violated both Oakes's section 11(d) rights and indirectly his section 7 rights, and could not be justified under section 1 of the charter. </w:t>
      </w:r>
    </w:p>
    <w:p w:rsidR="00602BE2" w:rsidRDefault="00602BE2">
      <w:pPr>
        <w:jc w:val="both"/>
        <w:rPr>
          <w:sz w:val="24"/>
          <w:szCs w:val="24"/>
          <w:lang w:val="en-US"/>
        </w:rPr>
      </w:pPr>
    </w:p>
    <w:p w:rsidR="00602BE2" w:rsidRDefault="00602BE2">
      <w:pPr>
        <w:ind w:left="360" w:hanging="360"/>
        <w:jc w:val="both"/>
        <w:rPr>
          <w:i/>
          <w:iCs/>
          <w:sz w:val="24"/>
          <w:szCs w:val="24"/>
          <w:lang w:val="en-US"/>
        </w:rPr>
      </w:pPr>
      <w:r>
        <w:rPr>
          <w:i/>
          <w:iCs/>
          <w:sz w:val="24"/>
          <w:szCs w:val="24"/>
          <w:lang w:val="en-US"/>
        </w:rPr>
        <w:t>Reasons</w:t>
      </w:r>
    </w:p>
    <w:p w:rsidR="00602BE2" w:rsidRDefault="00602BE2">
      <w:pPr>
        <w:jc w:val="both"/>
        <w:rPr>
          <w:i/>
          <w:iCs/>
          <w:sz w:val="24"/>
          <w:szCs w:val="24"/>
          <w:lang w:val="en-US"/>
        </w:rPr>
      </w:pPr>
      <w:r>
        <w:rPr>
          <w:sz w:val="24"/>
          <w:szCs w:val="24"/>
          <w:lang w:val="en-US"/>
        </w:rPr>
        <w:t>This was because there was no rational connection between basic possession and the presumption of trafficking, and therefore the shift in onus is not related to the previous challenge to section 11(d) of the charter.</w:t>
      </w:r>
    </w:p>
    <w:p w:rsidR="00602BE2" w:rsidRDefault="00602BE2">
      <w:pPr>
        <w:jc w:val="both"/>
        <w:rPr>
          <w:sz w:val="24"/>
          <w:szCs w:val="24"/>
          <w:lang w:val="en-US"/>
        </w:rPr>
      </w:pPr>
      <w:r>
        <w:rPr>
          <w:b/>
          <w:bCs/>
          <w:color w:val="000000"/>
          <w:sz w:val="24"/>
          <w:szCs w:val="24"/>
          <w:lang w:val="en-US"/>
        </w:rPr>
        <w:t>‘Oakes Test’</w:t>
      </w:r>
      <w:r>
        <w:rPr>
          <w:sz w:val="24"/>
          <w:szCs w:val="24"/>
          <w:lang w:val="en-US"/>
        </w:rPr>
        <w:t>:</w:t>
      </w:r>
    </w:p>
    <w:p w:rsidR="00602BE2" w:rsidRDefault="00602BE2">
      <w:pPr>
        <w:jc w:val="both"/>
        <w:rPr>
          <w:sz w:val="24"/>
          <w:szCs w:val="24"/>
          <w:lang w:val="en-US"/>
        </w:rPr>
      </w:pPr>
      <w:r>
        <w:rPr>
          <w:sz w:val="24"/>
          <w:szCs w:val="24"/>
          <w:lang w:val="en-US"/>
        </w:rPr>
        <w:t>1. the objective to be served by the measures limiting a Charter right must be sufficiently important to warrant overriding a constitutionally protected right or freedom.</w:t>
      </w:r>
    </w:p>
    <w:p w:rsidR="00602BE2" w:rsidRDefault="00602BE2">
      <w:pPr>
        <w:jc w:val="both"/>
        <w:rPr>
          <w:sz w:val="24"/>
          <w:szCs w:val="24"/>
          <w:lang w:val="en-US"/>
        </w:rPr>
      </w:pPr>
      <w:r>
        <w:rPr>
          <w:sz w:val="24"/>
          <w:szCs w:val="24"/>
          <w:lang w:val="en-US"/>
        </w:rPr>
        <w:t>2.  the party invoking s. 1 must show the means to be reasonable and demonstrably justified. This involves a form of proportionality test involving three important components.</w:t>
      </w:r>
    </w:p>
    <w:p w:rsidR="00602BE2" w:rsidRDefault="00602BE2">
      <w:pPr>
        <w:jc w:val="both"/>
        <w:rPr>
          <w:sz w:val="24"/>
          <w:szCs w:val="24"/>
          <w:lang w:val="en-US"/>
        </w:rPr>
      </w:pPr>
      <w:r>
        <w:rPr>
          <w:sz w:val="24"/>
          <w:szCs w:val="24"/>
          <w:lang w:val="en-US"/>
        </w:rPr>
        <w:tab/>
        <w:t xml:space="preserve">i. To begin, the measures must be fair and not arbitrary, carefully designed to </w:t>
      </w:r>
      <w:r>
        <w:rPr>
          <w:sz w:val="24"/>
          <w:szCs w:val="24"/>
          <w:lang w:val="en-US"/>
        </w:rPr>
        <w:tab/>
        <w:t>achieve the objective in question and rationally connected to that objective.</w:t>
      </w:r>
    </w:p>
    <w:p w:rsidR="00602BE2" w:rsidRDefault="00602BE2">
      <w:pPr>
        <w:jc w:val="both"/>
        <w:rPr>
          <w:sz w:val="24"/>
          <w:szCs w:val="24"/>
          <w:lang w:val="en-US"/>
        </w:rPr>
      </w:pPr>
      <w:r>
        <w:rPr>
          <w:sz w:val="24"/>
          <w:szCs w:val="24"/>
          <w:lang w:val="en-US"/>
        </w:rPr>
        <w:tab/>
        <w:t>ii. In addition, the means should impair the right in question as little as possible.</w:t>
      </w:r>
    </w:p>
    <w:p w:rsidR="00602BE2" w:rsidRDefault="00602BE2">
      <w:pPr>
        <w:jc w:val="both"/>
        <w:rPr>
          <w:sz w:val="24"/>
          <w:szCs w:val="24"/>
          <w:lang w:val="en-US"/>
        </w:rPr>
      </w:pPr>
      <w:r>
        <w:rPr>
          <w:sz w:val="24"/>
          <w:szCs w:val="24"/>
          <w:lang w:val="en-US"/>
        </w:rPr>
        <w:tab/>
        <w:t xml:space="preserve">iii. Lastly, there must be a proportionality between the effects of the limiting </w:t>
      </w:r>
      <w:r>
        <w:rPr>
          <w:sz w:val="24"/>
          <w:szCs w:val="24"/>
          <w:lang w:val="en-US"/>
        </w:rPr>
        <w:tab/>
        <w:t xml:space="preserve">measure and the objective -- the more severe the deleterious effects of a measure, </w:t>
      </w:r>
      <w:r>
        <w:rPr>
          <w:sz w:val="24"/>
          <w:szCs w:val="24"/>
          <w:lang w:val="en-US"/>
        </w:rPr>
        <w:tab/>
        <w:t>the more important the objective must be.</w:t>
      </w:r>
    </w:p>
    <w:p w:rsidR="00602BE2" w:rsidRDefault="00602BE2">
      <w:pPr>
        <w:jc w:val="both"/>
        <w:rPr>
          <w:sz w:val="24"/>
          <w:szCs w:val="24"/>
          <w:lang w:val="en-US"/>
        </w:rPr>
      </w:pPr>
    </w:p>
    <w:p w:rsidR="00602BE2" w:rsidRDefault="00602BE2">
      <w:pPr>
        <w:jc w:val="both"/>
        <w:rPr>
          <w:sz w:val="24"/>
          <w:szCs w:val="24"/>
          <w:lang w:val="en-US"/>
        </w:rPr>
      </w:pPr>
      <w:r>
        <w:rPr>
          <w:color w:val="008000"/>
          <w:sz w:val="24"/>
          <w:szCs w:val="24"/>
          <w:lang w:val="en-US"/>
        </w:rPr>
        <w:t xml:space="preserve">CCC Section 19 </w:t>
      </w:r>
      <w:r>
        <w:rPr>
          <w:b/>
          <w:bCs/>
          <w:sz w:val="24"/>
          <w:szCs w:val="24"/>
          <w:lang w:val="en-US"/>
        </w:rPr>
        <w:t>Ignorance of the Law</w:t>
      </w:r>
      <w:r>
        <w:rPr>
          <w:sz w:val="24"/>
          <w:szCs w:val="24"/>
          <w:lang w:val="en-US"/>
        </w:rPr>
        <w:t>: not a defence. Section 19 of the Criminal Code prohibits this. In rare cases, ignorance of a law other than the one under which the accused is charged can be a defence if knowledge of that law is a relevant circumstance required to be proved as part of the actus reus and/or mens rea.</w:t>
      </w:r>
    </w:p>
    <w:p w:rsidR="00602BE2" w:rsidRDefault="00602BE2">
      <w:pPr>
        <w:jc w:val="both"/>
        <w:rPr>
          <w:sz w:val="24"/>
          <w:szCs w:val="24"/>
          <w:lang w:val="en-US"/>
        </w:rPr>
      </w:pPr>
    </w:p>
    <w:p w:rsidR="00602BE2" w:rsidRDefault="00602BE2">
      <w:pPr>
        <w:jc w:val="both"/>
        <w:rPr>
          <w:color w:val="FF6600"/>
          <w:sz w:val="24"/>
          <w:szCs w:val="24"/>
          <w:lang w:val="en-US"/>
        </w:rPr>
      </w:pPr>
      <w:r>
        <w:rPr>
          <w:color w:val="FF6600"/>
          <w:sz w:val="24"/>
          <w:szCs w:val="24"/>
          <w:lang w:val="en-US"/>
        </w:rPr>
        <w:t xml:space="preserve">Levis (City) v. Tetreault </w:t>
      </w:r>
    </w:p>
    <w:p w:rsidR="00602BE2" w:rsidRDefault="00602BE2">
      <w:pPr>
        <w:jc w:val="both"/>
        <w:rPr>
          <w:sz w:val="24"/>
          <w:szCs w:val="24"/>
          <w:lang w:val="en-US"/>
        </w:rPr>
      </w:pPr>
      <w:r>
        <w:rPr>
          <w:sz w:val="24"/>
          <w:szCs w:val="24"/>
          <w:lang w:val="en-US"/>
        </w:rPr>
        <w:t xml:space="preserve">On April 13, 2006, a unanimous panel of seven Supreme Court of Canada judges in the </w:t>
      </w:r>
    </w:p>
    <w:p w:rsidR="00602BE2" w:rsidRDefault="00602BE2">
      <w:pPr>
        <w:jc w:val="both"/>
        <w:rPr>
          <w:color w:val="000080"/>
          <w:sz w:val="24"/>
          <w:szCs w:val="24"/>
          <w:lang w:val="en-US"/>
        </w:rPr>
      </w:pPr>
      <w:r>
        <w:rPr>
          <w:sz w:val="24"/>
          <w:szCs w:val="24"/>
          <w:lang w:val="en-US"/>
        </w:rPr>
        <w:t xml:space="preserve">case of in the case of Levis (City) v. Tetreault affirmed the defence of </w:t>
      </w:r>
      <w:r>
        <w:rPr>
          <w:color w:val="000080"/>
          <w:sz w:val="24"/>
          <w:szCs w:val="24"/>
          <w:lang w:val="en-US"/>
        </w:rPr>
        <w:t xml:space="preserve">officially induced </w:t>
      </w:r>
    </w:p>
    <w:p w:rsidR="00602BE2" w:rsidRDefault="00602BE2">
      <w:pPr>
        <w:jc w:val="both"/>
        <w:rPr>
          <w:sz w:val="24"/>
          <w:szCs w:val="24"/>
          <w:lang w:val="en-US"/>
        </w:rPr>
      </w:pPr>
      <w:r>
        <w:rPr>
          <w:color w:val="000080"/>
          <w:sz w:val="24"/>
          <w:szCs w:val="24"/>
          <w:lang w:val="en-US"/>
        </w:rPr>
        <w:t xml:space="preserve">Error. </w:t>
      </w:r>
      <w:r>
        <w:rPr>
          <w:sz w:val="24"/>
          <w:szCs w:val="24"/>
          <w:lang w:val="en-US"/>
        </w:rPr>
        <w:t>The panel said that  in proving the six elements set out in Jorgensen, it is necessary for the accused to establish the reasonableness of not only the advise received, but also of the reliance on  the advice. This will be assessed objectively from the perspective of a reasonable person in a situation similar to that of the accused. In assessing this evidence  “[v]arious factors will be taken into consideration . . . including the efforts made by the accused to obtain information, the clarity or obscurity of the law, the position and role of the official who gave the information, or opinion”</w:t>
      </w:r>
    </w:p>
    <w:p w:rsidR="00602BE2" w:rsidRDefault="00602BE2">
      <w:pPr>
        <w:jc w:val="both"/>
        <w:rPr>
          <w:sz w:val="24"/>
          <w:szCs w:val="24"/>
          <w:lang w:val="en-US"/>
        </w:rPr>
      </w:pPr>
    </w:p>
    <w:p w:rsidR="00602BE2" w:rsidRDefault="00602BE2">
      <w:pPr>
        <w:jc w:val="both"/>
        <w:rPr>
          <w:sz w:val="24"/>
          <w:szCs w:val="24"/>
          <w:lang w:val="en-US"/>
        </w:rPr>
      </w:pPr>
      <w:r>
        <w:rPr>
          <w:color w:val="FF6600"/>
          <w:sz w:val="24"/>
          <w:szCs w:val="24"/>
          <w:lang w:val="en-US"/>
        </w:rPr>
        <w:t xml:space="preserve"> R. v. Bernard 2005 SCC 43</w:t>
      </w:r>
    </w:p>
    <w:p w:rsidR="00602BE2" w:rsidRDefault="00602BE2">
      <w:pPr>
        <w:ind w:left="360" w:hanging="360"/>
        <w:jc w:val="both"/>
        <w:rPr>
          <w:i/>
          <w:iCs/>
          <w:sz w:val="24"/>
          <w:szCs w:val="24"/>
          <w:lang w:val="en-US"/>
        </w:rPr>
      </w:pPr>
      <w:r>
        <w:rPr>
          <w:i/>
          <w:iCs/>
          <w:sz w:val="24"/>
          <w:szCs w:val="24"/>
          <w:lang w:val="en-US"/>
        </w:rPr>
        <w:t>Facts</w:t>
      </w:r>
    </w:p>
    <w:p w:rsidR="00602BE2" w:rsidRDefault="00602BE2">
      <w:pPr>
        <w:jc w:val="both"/>
        <w:rPr>
          <w:sz w:val="24"/>
          <w:szCs w:val="24"/>
          <w:lang w:val="en-US"/>
        </w:rPr>
      </w:pPr>
      <w:r>
        <w:rPr>
          <w:sz w:val="24"/>
          <w:szCs w:val="24"/>
          <w:lang w:val="en-US"/>
        </w:rPr>
        <w:t>The Court narrowed the test from R. v. Marshall for determining the extent of constitutional protection upon aboriginal practices. This decision considers two separate cases. In the first one, Stephen Marshall (no relation to Donald Marshall) and 34 other Mi'kmaqs were charged with cutting down timber on Nova Scotia Crown land without a permit. In the second case, Joshua Bernard, a Mi'kmaq was charged with possession of logs stolen from a rural New Brunswick saw mill that was cut from Crown lands.</w:t>
      </w:r>
    </w:p>
    <w:p w:rsidR="00602BE2" w:rsidRDefault="00602BE2">
      <w:pPr>
        <w:ind w:left="360" w:hanging="360"/>
        <w:jc w:val="both"/>
        <w:rPr>
          <w:i/>
          <w:iCs/>
          <w:sz w:val="24"/>
          <w:szCs w:val="24"/>
          <w:lang w:val="en-US"/>
        </w:rPr>
      </w:pPr>
      <w:r>
        <w:rPr>
          <w:i/>
          <w:iCs/>
          <w:sz w:val="24"/>
          <w:szCs w:val="24"/>
          <w:lang w:val="en-US"/>
        </w:rPr>
        <w:t xml:space="preserve">Decision </w:t>
      </w:r>
    </w:p>
    <w:p w:rsidR="00602BE2" w:rsidRDefault="00602BE2">
      <w:pPr>
        <w:jc w:val="both"/>
        <w:rPr>
          <w:sz w:val="24"/>
          <w:szCs w:val="24"/>
          <w:lang w:val="en-US"/>
        </w:rPr>
      </w:pPr>
      <w:r>
        <w:rPr>
          <w:sz w:val="24"/>
          <w:szCs w:val="24"/>
          <w:lang w:val="en-US"/>
        </w:rPr>
        <w:t xml:space="preserve">McLachlin, writing for the majority, held that there was no right to logging under the treaties. </w:t>
      </w:r>
    </w:p>
    <w:p w:rsidR="00602BE2" w:rsidRDefault="00602BE2">
      <w:pPr>
        <w:ind w:left="360" w:hanging="360"/>
        <w:jc w:val="both"/>
        <w:rPr>
          <w:i/>
          <w:iCs/>
          <w:sz w:val="24"/>
          <w:szCs w:val="24"/>
          <w:lang w:val="en-US"/>
        </w:rPr>
      </w:pPr>
      <w:r>
        <w:rPr>
          <w:i/>
          <w:iCs/>
          <w:sz w:val="24"/>
          <w:szCs w:val="24"/>
          <w:lang w:val="en-US"/>
        </w:rPr>
        <w:t>Reasons</w:t>
      </w:r>
    </w:p>
    <w:p w:rsidR="00602BE2" w:rsidRDefault="00602BE2">
      <w:pPr>
        <w:jc w:val="both"/>
        <w:rPr>
          <w:sz w:val="24"/>
          <w:szCs w:val="24"/>
          <w:lang w:val="en-US"/>
        </w:rPr>
      </w:pPr>
      <w:r>
        <w:rPr>
          <w:sz w:val="24"/>
          <w:szCs w:val="24"/>
          <w:lang w:val="en-US"/>
        </w:rPr>
        <w:t>From the evidence she found that it did not support the conclusion that logging formed the basis of the Mi'kmaq's traditional identity. The majority restored the convictions at trial.</w:t>
      </w:r>
    </w:p>
    <w:p w:rsidR="00602BE2" w:rsidRDefault="00602BE2">
      <w:pPr>
        <w:jc w:val="both"/>
        <w:rPr>
          <w:sz w:val="24"/>
          <w:szCs w:val="24"/>
          <w:lang w:val="en-US"/>
        </w:rPr>
      </w:pPr>
    </w:p>
    <w:p w:rsidR="00602BE2" w:rsidRDefault="00602BE2">
      <w:pPr>
        <w:jc w:val="both"/>
        <w:rPr>
          <w:color w:val="FF6600"/>
          <w:sz w:val="24"/>
          <w:szCs w:val="24"/>
          <w:lang w:val="en-US"/>
        </w:rPr>
      </w:pPr>
      <w:r>
        <w:rPr>
          <w:color w:val="FF6600"/>
          <w:sz w:val="24"/>
          <w:szCs w:val="24"/>
          <w:lang w:val="en-US"/>
        </w:rPr>
        <w:t xml:space="preserve">R. v. Martineau (SCC) </w:t>
      </w:r>
    </w:p>
    <w:p w:rsidR="00602BE2" w:rsidRDefault="00602BE2">
      <w:pPr>
        <w:ind w:left="360" w:hanging="360"/>
        <w:jc w:val="both"/>
        <w:rPr>
          <w:i/>
          <w:iCs/>
          <w:sz w:val="24"/>
          <w:szCs w:val="24"/>
          <w:lang w:val="en-US"/>
        </w:rPr>
      </w:pPr>
      <w:r>
        <w:rPr>
          <w:i/>
          <w:iCs/>
          <w:sz w:val="24"/>
          <w:szCs w:val="24"/>
          <w:lang w:val="en-US"/>
        </w:rPr>
        <w:t>Facts</w:t>
      </w:r>
    </w:p>
    <w:p w:rsidR="00602BE2" w:rsidRDefault="00602BE2">
      <w:pPr>
        <w:jc w:val="both"/>
        <w:rPr>
          <w:sz w:val="24"/>
          <w:szCs w:val="24"/>
          <w:lang w:val="en-US"/>
        </w:rPr>
      </w:pPr>
      <w:r>
        <w:rPr>
          <w:sz w:val="24"/>
          <w:szCs w:val="24"/>
          <w:lang w:val="en-US"/>
        </w:rPr>
        <w:t>Patrick Tremblay and 15 year-old Mr. Martineau set out to rob a trailer. Martineau was armed with a pellet gun and Tremblay with a rifle.  During the robbery Tremblay shot and killed Mr. and Mrs. McLean. Martineau did not plan for this.</w:t>
      </w:r>
    </w:p>
    <w:p w:rsidR="00602BE2" w:rsidRDefault="00602BE2">
      <w:pPr>
        <w:jc w:val="both"/>
        <w:rPr>
          <w:sz w:val="24"/>
          <w:szCs w:val="24"/>
          <w:lang w:val="en-US"/>
        </w:rPr>
      </w:pPr>
      <w:r>
        <w:rPr>
          <w:sz w:val="24"/>
          <w:szCs w:val="24"/>
          <w:lang w:val="en-US"/>
        </w:rPr>
        <w:t>Martineau was charged with second degree murder under s.213(a) and (d) of the CCC</w:t>
      </w:r>
      <w:r>
        <w:rPr>
          <w:color w:val="008000"/>
          <w:sz w:val="24"/>
          <w:szCs w:val="24"/>
          <w:lang w:val="en-US"/>
        </w:rPr>
        <w:t xml:space="preserve">(now s. 230(a) and (d)) </w:t>
      </w:r>
      <w:r>
        <w:rPr>
          <w:sz w:val="24"/>
          <w:szCs w:val="24"/>
          <w:lang w:val="en-US"/>
        </w:rPr>
        <w:t xml:space="preserve">for both deaths </w:t>
      </w:r>
      <w:r>
        <w:rPr>
          <w:color w:val="008000"/>
          <w:sz w:val="24"/>
          <w:szCs w:val="24"/>
          <w:lang w:val="en-US"/>
        </w:rPr>
        <w:t xml:space="preserve">(under s.21(1) and (2)) </w:t>
      </w:r>
      <w:r>
        <w:rPr>
          <w:sz w:val="24"/>
          <w:szCs w:val="24"/>
          <w:lang w:val="en-US"/>
        </w:rPr>
        <w:t>and was transferred to adult court.</w:t>
      </w:r>
    </w:p>
    <w:p w:rsidR="00602BE2" w:rsidRDefault="00602BE2">
      <w:pPr>
        <w:jc w:val="both"/>
        <w:rPr>
          <w:sz w:val="24"/>
          <w:szCs w:val="24"/>
          <w:lang w:val="en-US"/>
        </w:rPr>
      </w:pPr>
      <w:r>
        <w:rPr>
          <w:sz w:val="24"/>
          <w:szCs w:val="24"/>
          <w:lang w:val="en-US"/>
        </w:rPr>
        <w:t xml:space="preserve">The issue before the Court was whether the appeal court was correct in holding </w:t>
      </w:r>
      <w:r>
        <w:rPr>
          <w:color w:val="008000"/>
          <w:sz w:val="24"/>
          <w:szCs w:val="24"/>
          <w:lang w:val="en-US"/>
        </w:rPr>
        <w:t xml:space="preserve">s.213(a) </w:t>
      </w:r>
      <w:r>
        <w:rPr>
          <w:sz w:val="24"/>
          <w:szCs w:val="24"/>
          <w:lang w:val="en-US"/>
        </w:rPr>
        <w:t xml:space="preserve">as a violation of </w:t>
      </w:r>
      <w:r>
        <w:rPr>
          <w:color w:val="008000"/>
          <w:sz w:val="24"/>
          <w:szCs w:val="24"/>
          <w:lang w:val="en-US"/>
        </w:rPr>
        <w:t xml:space="preserve">ss. 7 </w:t>
      </w:r>
      <w:r>
        <w:rPr>
          <w:sz w:val="24"/>
          <w:szCs w:val="24"/>
          <w:lang w:val="en-US"/>
        </w:rPr>
        <w:t xml:space="preserve">and </w:t>
      </w:r>
      <w:r>
        <w:rPr>
          <w:color w:val="008000"/>
          <w:sz w:val="24"/>
          <w:szCs w:val="24"/>
          <w:lang w:val="en-US"/>
        </w:rPr>
        <w:t xml:space="preserve">11(d) </w:t>
      </w:r>
      <w:r>
        <w:rPr>
          <w:sz w:val="24"/>
          <w:szCs w:val="24"/>
          <w:lang w:val="en-US"/>
        </w:rPr>
        <w:t>of the Charter.</w:t>
      </w:r>
    </w:p>
    <w:p w:rsidR="00602BE2" w:rsidRDefault="00602BE2">
      <w:pPr>
        <w:ind w:left="360" w:hanging="360"/>
        <w:jc w:val="both"/>
        <w:rPr>
          <w:i/>
          <w:iCs/>
          <w:sz w:val="24"/>
          <w:szCs w:val="24"/>
          <w:lang w:val="en-US"/>
        </w:rPr>
      </w:pPr>
      <w:r>
        <w:rPr>
          <w:i/>
          <w:iCs/>
          <w:sz w:val="24"/>
          <w:szCs w:val="24"/>
          <w:lang w:val="en-US"/>
        </w:rPr>
        <w:t xml:space="preserve">Decision </w:t>
      </w:r>
    </w:p>
    <w:p w:rsidR="00602BE2" w:rsidRDefault="00602BE2">
      <w:pPr>
        <w:jc w:val="both"/>
        <w:rPr>
          <w:i/>
          <w:iCs/>
          <w:sz w:val="24"/>
          <w:szCs w:val="24"/>
          <w:lang w:val="en-US"/>
        </w:rPr>
      </w:pPr>
      <w:r>
        <w:rPr>
          <w:sz w:val="24"/>
          <w:szCs w:val="24"/>
          <w:lang w:val="en-US"/>
        </w:rPr>
        <w:t xml:space="preserve">At trial Martineau was convicted. In appeal at the Alberta Court of Appeal the court overturned the decision, concluding that </w:t>
      </w:r>
      <w:r>
        <w:rPr>
          <w:color w:val="008000"/>
          <w:sz w:val="24"/>
          <w:szCs w:val="24"/>
          <w:lang w:val="en-US"/>
        </w:rPr>
        <w:t xml:space="preserve">s.213(a) </w:t>
      </w:r>
      <w:r>
        <w:rPr>
          <w:sz w:val="24"/>
          <w:szCs w:val="24"/>
          <w:lang w:val="en-US"/>
        </w:rPr>
        <w:t>violated</w:t>
      </w:r>
      <w:r>
        <w:rPr>
          <w:color w:val="008000"/>
          <w:sz w:val="24"/>
          <w:szCs w:val="24"/>
          <w:lang w:val="en-US"/>
        </w:rPr>
        <w:t xml:space="preserve"> s.7 </w:t>
      </w:r>
      <w:r>
        <w:rPr>
          <w:color w:val="000000"/>
          <w:sz w:val="24"/>
          <w:szCs w:val="24"/>
          <w:lang w:val="en-US"/>
        </w:rPr>
        <w:t xml:space="preserve">and </w:t>
      </w:r>
      <w:r>
        <w:rPr>
          <w:color w:val="008000"/>
          <w:sz w:val="24"/>
          <w:szCs w:val="24"/>
          <w:lang w:val="en-US"/>
        </w:rPr>
        <w:t xml:space="preserve">s.11(d) </w:t>
      </w:r>
      <w:r>
        <w:rPr>
          <w:sz w:val="24"/>
          <w:szCs w:val="24"/>
          <w:lang w:val="en-US"/>
        </w:rPr>
        <w:t xml:space="preserve">of the Canadian Charter of Rights and Freedoms. </w:t>
      </w:r>
      <w:r>
        <w:rPr>
          <w:i/>
          <w:iCs/>
          <w:sz w:val="24"/>
          <w:szCs w:val="24"/>
          <w:lang w:val="en-US"/>
        </w:rPr>
        <w:t xml:space="preserve">The Supreme Court upheld the ruling </w:t>
      </w:r>
      <w:r>
        <w:rPr>
          <w:sz w:val="24"/>
          <w:szCs w:val="24"/>
          <w:lang w:val="en-US"/>
        </w:rPr>
        <w:t xml:space="preserve">of the Appeal Court. </w:t>
      </w:r>
      <w:r>
        <w:rPr>
          <w:color w:val="008000"/>
          <w:sz w:val="24"/>
          <w:szCs w:val="24"/>
          <w:lang w:val="en-US"/>
        </w:rPr>
        <w:t xml:space="preserve">s.213(a), </w:t>
      </w:r>
      <w:r>
        <w:rPr>
          <w:sz w:val="24"/>
          <w:szCs w:val="24"/>
          <w:lang w:val="en-US"/>
        </w:rPr>
        <w:t>deciding that it violated the Charter and could not be saved under s.1.</w:t>
      </w:r>
    </w:p>
    <w:p w:rsidR="00602BE2" w:rsidRDefault="00602BE2">
      <w:pPr>
        <w:ind w:left="360" w:hanging="360"/>
        <w:jc w:val="both"/>
        <w:rPr>
          <w:i/>
          <w:iCs/>
          <w:sz w:val="24"/>
          <w:szCs w:val="24"/>
          <w:lang w:val="en-US"/>
        </w:rPr>
      </w:pPr>
      <w:r>
        <w:rPr>
          <w:i/>
          <w:iCs/>
          <w:sz w:val="24"/>
          <w:szCs w:val="24"/>
          <w:lang w:val="en-US"/>
        </w:rPr>
        <w:t>Reasons</w:t>
      </w:r>
    </w:p>
    <w:p w:rsidR="00602BE2" w:rsidRDefault="00602BE2">
      <w:pPr>
        <w:jc w:val="both"/>
        <w:rPr>
          <w:sz w:val="24"/>
          <w:szCs w:val="24"/>
          <w:lang w:val="en-US"/>
        </w:rPr>
      </w:pPr>
      <w:r>
        <w:rPr>
          <w:sz w:val="24"/>
          <w:szCs w:val="24"/>
          <w:lang w:val="en-US"/>
        </w:rPr>
        <w:t>Section 213(a) is known as the "</w:t>
      </w:r>
      <w:r>
        <w:rPr>
          <w:b/>
          <w:bCs/>
          <w:sz w:val="24"/>
          <w:szCs w:val="24"/>
          <w:lang w:val="en-US"/>
        </w:rPr>
        <w:t>constructive murder</w:t>
      </w:r>
      <w:r>
        <w:rPr>
          <w:sz w:val="24"/>
          <w:szCs w:val="24"/>
          <w:lang w:val="en-US"/>
        </w:rPr>
        <w:t>" provision of the criminal code.</w:t>
      </w:r>
    </w:p>
    <w:p w:rsidR="00602BE2" w:rsidRDefault="00602BE2">
      <w:pPr>
        <w:jc w:val="both"/>
        <w:rPr>
          <w:sz w:val="24"/>
          <w:szCs w:val="24"/>
          <w:lang w:val="en-US"/>
        </w:rPr>
      </w:pPr>
      <w:r>
        <w:rPr>
          <w:sz w:val="24"/>
          <w:szCs w:val="24"/>
          <w:lang w:val="en-US"/>
        </w:rPr>
        <w:t xml:space="preserve"> Section 213(a) defined culpable homicide as murder where a person causes the death of another while committing specific indictable offences. This meant that one could be charged with murder under s. 213(a), despite having had neither an intent to kill nor the subjective knowledge that death might ensue from their actions. </w:t>
      </w:r>
    </w:p>
    <w:p w:rsidR="00602BE2" w:rsidRDefault="00602BE2">
      <w:pPr>
        <w:jc w:val="both"/>
        <w:rPr>
          <w:sz w:val="24"/>
          <w:szCs w:val="24"/>
          <w:lang w:val="en-US"/>
        </w:rPr>
      </w:pPr>
      <w:r>
        <w:rPr>
          <w:sz w:val="24"/>
          <w:szCs w:val="24"/>
          <w:lang w:val="en-US"/>
        </w:rPr>
        <w:t xml:space="preserve">Section 213(a) of the Code violated the principle of fundamental justice that an appropriate mens rea must be proven by the Crown in both ss. 7 and 11(d) of the Charter. </w:t>
      </w:r>
    </w:p>
    <w:p w:rsidR="00602BE2" w:rsidRDefault="00602BE2">
      <w:pPr>
        <w:jc w:val="both"/>
        <w:rPr>
          <w:sz w:val="24"/>
          <w:szCs w:val="24"/>
          <w:lang w:val="en-US"/>
        </w:rPr>
      </w:pPr>
      <w:r>
        <w:rPr>
          <w:sz w:val="24"/>
          <w:szCs w:val="24"/>
          <w:lang w:val="en-US"/>
        </w:rPr>
        <w:t xml:space="preserve">The appropriate level of mens rea should be correlated to </w:t>
      </w:r>
    </w:p>
    <w:p w:rsidR="00602BE2" w:rsidRDefault="00602BE2">
      <w:pPr>
        <w:jc w:val="both"/>
        <w:rPr>
          <w:sz w:val="24"/>
          <w:szCs w:val="24"/>
          <w:lang w:val="en-US"/>
        </w:rPr>
      </w:pPr>
      <w:r>
        <w:rPr>
          <w:sz w:val="24"/>
          <w:szCs w:val="24"/>
          <w:lang w:val="en-US"/>
        </w:rPr>
        <w:t xml:space="preserve">(1) the severity of the punishment </w:t>
      </w:r>
    </w:p>
    <w:p w:rsidR="00602BE2" w:rsidRDefault="00602BE2">
      <w:pPr>
        <w:jc w:val="both"/>
        <w:rPr>
          <w:sz w:val="24"/>
          <w:szCs w:val="24"/>
          <w:lang w:val="en-US"/>
        </w:rPr>
      </w:pPr>
      <w:r>
        <w:rPr>
          <w:sz w:val="24"/>
          <w:szCs w:val="24"/>
          <w:lang w:val="en-US"/>
        </w:rPr>
        <w:t xml:space="preserve">(2) the social stigma stemming from conviction. </w:t>
      </w:r>
    </w:p>
    <w:p w:rsidR="00602BE2" w:rsidRDefault="00602BE2">
      <w:pPr>
        <w:jc w:val="both"/>
        <w:rPr>
          <w:sz w:val="24"/>
          <w:szCs w:val="24"/>
          <w:lang w:val="en-US"/>
        </w:rPr>
      </w:pPr>
      <w:r>
        <w:rPr>
          <w:sz w:val="24"/>
          <w:szCs w:val="24"/>
          <w:lang w:val="en-US"/>
        </w:rPr>
        <w:t>Thus, the violation was not justifiable under s. 1 of the Charter because it failed the proportionality test.</w:t>
      </w:r>
    </w:p>
    <w:p w:rsidR="00602BE2" w:rsidRDefault="00602BE2">
      <w:pPr>
        <w:jc w:val="both"/>
        <w:rPr>
          <w:sz w:val="24"/>
          <w:szCs w:val="24"/>
          <w:lang w:val="en-US"/>
        </w:rPr>
      </w:pPr>
    </w:p>
    <w:p w:rsidR="00602BE2" w:rsidRDefault="00602BE2">
      <w:pPr>
        <w:jc w:val="both"/>
        <w:rPr>
          <w:color w:val="FF6600"/>
          <w:sz w:val="24"/>
          <w:szCs w:val="24"/>
          <w:lang w:val="en-US"/>
        </w:rPr>
      </w:pPr>
      <w:r>
        <w:rPr>
          <w:color w:val="FF6600"/>
          <w:sz w:val="24"/>
          <w:szCs w:val="24"/>
          <w:lang w:val="en-US"/>
        </w:rPr>
        <w:t xml:space="preserve">Askov v. R., [1990] 2 S.C.R. </w:t>
      </w:r>
    </w:p>
    <w:p w:rsidR="00602BE2" w:rsidRDefault="00602BE2">
      <w:pPr>
        <w:ind w:left="360" w:hanging="360"/>
        <w:jc w:val="both"/>
        <w:rPr>
          <w:i/>
          <w:iCs/>
          <w:sz w:val="24"/>
          <w:szCs w:val="24"/>
          <w:lang w:val="en-US"/>
        </w:rPr>
      </w:pPr>
      <w:r>
        <w:rPr>
          <w:i/>
          <w:iCs/>
          <w:sz w:val="24"/>
          <w:szCs w:val="24"/>
          <w:lang w:val="en-US"/>
        </w:rPr>
        <w:t>Facts</w:t>
      </w:r>
    </w:p>
    <w:p w:rsidR="00602BE2" w:rsidRDefault="00602BE2">
      <w:pPr>
        <w:jc w:val="both"/>
        <w:rPr>
          <w:sz w:val="24"/>
          <w:szCs w:val="24"/>
          <w:lang w:val="en-US"/>
        </w:rPr>
      </w:pPr>
      <w:r>
        <w:rPr>
          <w:sz w:val="24"/>
          <w:szCs w:val="24"/>
          <w:lang w:val="en-US"/>
        </w:rPr>
        <w:t xml:space="preserve">An appeal heard before the Supreme Court of Canada which established the criteria and standards by which Canadian courts judge whether an accused's right under the Canadian Charter of Rights and Freedoms, </w:t>
      </w:r>
      <w:r>
        <w:rPr>
          <w:color w:val="008000"/>
          <w:sz w:val="24"/>
          <w:szCs w:val="24"/>
          <w:lang w:val="en-US"/>
        </w:rPr>
        <w:t xml:space="preserve">Section 11(b) </w:t>
      </w:r>
      <w:r>
        <w:rPr>
          <w:sz w:val="24"/>
          <w:szCs w:val="24"/>
          <w:lang w:val="en-US"/>
        </w:rPr>
        <w:t>"to be tried within a reasonable time" has been infringed.</w:t>
      </w:r>
    </w:p>
    <w:p w:rsidR="00602BE2" w:rsidRDefault="00602BE2">
      <w:pPr>
        <w:ind w:left="360" w:hanging="360"/>
        <w:jc w:val="both"/>
        <w:rPr>
          <w:i/>
          <w:iCs/>
          <w:sz w:val="24"/>
          <w:szCs w:val="24"/>
          <w:lang w:val="en-US"/>
        </w:rPr>
      </w:pPr>
      <w:r>
        <w:rPr>
          <w:i/>
          <w:iCs/>
          <w:sz w:val="24"/>
          <w:szCs w:val="24"/>
          <w:lang w:val="en-US"/>
        </w:rPr>
        <w:t xml:space="preserve">Decision </w:t>
      </w:r>
    </w:p>
    <w:p w:rsidR="00602BE2" w:rsidRDefault="00602BE2">
      <w:pPr>
        <w:jc w:val="both"/>
        <w:rPr>
          <w:sz w:val="24"/>
          <w:szCs w:val="24"/>
          <w:lang w:val="en-US"/>
        </w:rPr>
      </w:pPr>
      <w:r>
        <w:rPr>
          <w:sz w:val="24"/>
          <w:szCs w:val="24"/>
          <w:lang w:val="en-US"/>
        </w:rPr>
        <w:t>The appellants argued successfully that criminal charges against them should be stayed on the grounds that their trial had been unreasonably delayed. Disagreeing with the Court of Appeal for Ontario, the Supreme Court found that the delays were indeed unreasonable and directed a stay of proceedings against the appellants.</w:t>
      </w:r>
    </w:p>
    <w:p w:rsidR="00602BE2" w:rsidRDefault="00602BE2">
      <w:pPr>
        <w:ind w:left="360" w:hanging="360"/>
        <w:jc w:val="both"/>
        <w:rPr>
          <w:i/>
          <w:iCs/>
          <w:sz w:val="24"/>
          <w:szCs w:val="24"/>
          <w:lang w:val="en-US"/>
        </w:rPr>
      </w:pPr>
      <w:r>
        <w:rPr>
          <w:i/>
          <w:iCs/>
          <w:sz w:val="24"/>
          <w:szCs w:val="24"/>
          <w:lang w:val="en-US"/>
        </w:rPr>
        <w:t>Reasons</w:t>
      </w:r>
    </w:p>
    <w:p w:rsidR="00602BE2" w:rsidRDefault="00602BE2">
      <w:pPr>
        <w:jc w:val="both"/>
        <w:rPr>
          <w:sz w:val="24"/>
          <w:szCs w:val="24"/>
          <w:lang w:val="en-US"/>
        </w:rPr>
      </w:pPr>
      <w:r>
        <w:rPr>
          <w:sz w:val="24"/>
          <w:szCs w:val="24"/>
          <w:lang w:val="en-US"/>
        </w:rPr>
        <w:t>the length of the delay</w:t>
      </w:r>
    </w:p>
    <w:p w:rsidR="00602BE2" w:rsidRDefault="00602BE2">
      <w:pPr>
        <w:jc w:val="both"/>
        <w:rPr>
          <w:sz w:val="24"/>
          <w:szCs w:val="24"/>
          <w:lang w:val="en-US"/>
        </w:rPr>
      </w:pPr>
      <w:r>
        <w:rPr>
          <w:sz w:val="24"/>
          <w:szCs w:val="24"/>
          <w:lang w:val="en-US"/>
        </w:rPr>
        <w:t>the explanation for the delay</w:t>
      </w:r>
    </w:p>
    <w:p w:rsidR="00602BE2" w:rsidRDefault="00602BE2">
      <w:pPr>
        <w:jc w:val="both"/>
        <w:rPr>
          <w:sz w:val="24"/>
          <w:szCs w:val="24"/>
          <w:lang w:val="en-US"/>
        </w:rPr>
      </w:pPr>
      <w:r>
        <w:rPr>
          <w:sz w:val="24"/>
          <w:szCs w:val="24"/>
          <w:lang w:val="en-US"/>
        </w:rPr>
        <w:t>a waiver of the right by the accused</w:t>
      </w:r>
    </w:p>
    <w:p w:rsidR="00602BE2" w:rsidRDefault="00602BE2">
      <w:pPr>
        <w:jc w:val="both"/>
        <w:rPr>
          <w:sz w:val="24"/>
          <w:szCs w:val="24"/>
          <w:lang w:val="en-US"/>
        </w:rPr>
      </w:pPr>
      <w:r>
        <w:rPr>
          <w:sz w:val="24"/>
          <w:szCs w:val="24"/>
          <w:lang w:val="en-US"/>
        </w:rPr>
        <w:t>prejudice to the accused</w:t>
      </w:r>
    </w:p>
    <w:p w:rsidR="00602BE2" w:rsidRDefault="00602BE2">
      <w:pPr>
        <w:jc w:val="both"/>
        <w:rPr>
          <w:i/>
          <w:iCs/>
          <w:sz w:val="24"/>
          <w:szCs w:val="24"/>
          <w:lang w:val="en-US"/>
        </w:rPr>
      </w:pPr>
    </w:p>
    <w:p w:rsidR="00602BE2" w:rsidRDefault="00602BE2">
      <w:pPr>
        <w:jc w:val="both"/>
        <w:rPr>
          <w:i/>
          <w:iCs/>
          <w:sz w:val="24"/>
          <w:szCs w:val="24"/>
          <w:lang w:val="en-US"/>
        </w:rPr>
      </w:pPr>
    </w:p>
    <w:p w:rsidR="00602BE2" w:rsidRDefault="00602BE2">
      <w:pPr>
        <w:jc w:val="both"/>
        <w:rPr>
          <w:i/>
          <w:iCs/>
          <w:sz w:val="24"/>
          <w:szCs w:val="24"/>
          <w:lang w:val="en-US"/>
        </w:rPr>
      </w:pPr>
      <w:r>
        <w:rPr>
          <w:sz w:val="24"/>
          <w:szCs w:val="24"/>
          <w:lang w:val="en-US"/>
        </w:rPr>
        <w:t xml:space="preserve"> </w:t>
      </w:r>
      <w:r>
        <w:rPr>
          <w:color w:val="FF6600"/>
          <w:sz w:val="24"/>
          <w:szCs w:val="24"/>
          <w:lang w:val="en-US"/>
        </w:rPr>
        <w:t>O</w:t>
      </w:r>
      <w:r>
        <w:rPr>
          <w:color w:val="FF6600"/>
          <w:sz w:val="24"/>
          <w:szCs w:val="24"/>
        </w:rPr>
        <w:t>’</w:t>
      </w:r>
      <w:r>
        <w:rPr>
          <w:color w:val="FF6600"/>
          <w:sz w:val="24"/>
          <w:szCs w:val="24"/>
          <w:lang w:val="en-US"/>
        </w:rPr>
        <w:t>Grady v. Sparling (1969)</w:t>
      </w:r>
    </w:p>
    <w:p w:rsidR="00602BE2" w:rsidRDefault="00602BE2">
      <w:pPr>
        <w:ind w:left="360" w:hanging="360"/>
        <w:jc w:val="both"/>
        <w:rPr>
          <w:i/>
          <w:iCs/>
          <w:sz w:val="24"/>
          <w:szCs w:val="24"/>
          <w:lang w:val="en-US"/>
        </w:rPr>
      </w:pPr>
      <w:r>
        <w:rPr>
          <w:i/>
          <w:iCs/>
          <w:sz w:val="24"/>
          <w:szCs w:val="24"/>
          <w:lang w:val="en-US"/>
        </w:rPr>
        <w:t>Facts</w:t>
      </w:r>
    </w:p>
    <w:p w:rsidR="00602BE2" w:rsidRDefault="00602BE2">
      <w:pPr>
        <w:ind w:left="360" w:hanging="360"/>
        <w:jc w:val="both"/>
        <w:rPr>
          <w:i/>
          <w:iCs/>
          <w:sz w:val="24"/>
          <w:szCs w:val="24"/>
          <w:lang w:val="en-US"/>
        </w:rPr>
      </w:pPr>
      <w:r>
        <w:rPr>
          <w:i/>
          <w:iCs/>
          <w:sz w:val="24"/>
          <w:szCs w:val="24"/>
          <w:lang w:val="en-US"/>
        </w:rPr>
        <w:t xml:space="preserve">Decision </w:t>
      </w:r>
    </w:p>
    <w:p w:rsidR="00602BE2" w:rsidRDefault="00602BE2">
      <w:pPr>
        <w:ind w:left="360" w:hanging="360"/>
        <w:jc w:val="both"/>
        <w:rPr>
          <w:sz w:val="24"/>
          <w:szCs w:val="24"/>
          <w:lang w:val="en-US"/>
        </w:rPr>
      </w:pPr>
      <w:r>
        <w:rPr>
          <w:i/>
          <w:iCs/>
          <w:sz w:val="24"/>
          <w:szCs w:val="24"/>
          <w:lang w:val="en-US"/>
        </w:rPr>
        <w:t>Reasons</w:t>
      </w:r>
    </w:p>
    <w:p w:rsidR="00602BE2" w:rsidRDefault="00602BE2">
      <w:pPr>
        <w:jc w:val="both"/>
        <w:rPr>
          <w:sz w:val="24"/>
          <w:szCs w:val="24"/>
          <w:lang w:val="en-US"/>
        </w:rPr>
      </w:pPr>
    </w:p>
    <w:p w:rsidR="00602BE2" w:rsidRDefault="00602BE2">
      <w:pPr>
        <w:jc w:val="both"/>
        <w:rPr>
          <w:color w:val="FF6600"/>
          <w:sz w:val="24"/>
          <w:szCs w:val="24"/>
          <w:lang w:val="en-US"/>
        </w:rPr>
      </w:pPr>
      <w:r>
        <w:rPr>
          <w:color w:val="FF6600"/>
          <w:sz w:val="22"/>
          <w:szCs w:val="22"/>
          <w:lang w:val="en-US"/>
        </w:rPr>
        <w:t>R. v. Runic (SCC)</w:t>
      </w:r>
    </w:p>
    <w:p w:rsidR="00602BE2" w:rsidRDefault="00602BE2">
      <w:pPr>
        <w:ind w:left="360" w:hanging="360"/>
        <w:jc w:val="both"/>
        <w:rPr>
          <w:i/>
          <w:iCs/>
          <w:sz w:val="24"/>
          <w:szCs w:val="24"/>
          <w:lang w:val="en-US"/>
        </w:rPr>
      </w:pPr>
      <w:r>
        <w:rPr>
          <w:i/>
          <w:iCs/>
          <w:sz w:val="24"/>
          <w:szCs w:val="24"/>
          <w:lang w:val="en-US"/>
        </w:rPr>
        <w:t>Facts</w:t>
      </w:r>
    </w:p>
    <w:p w:rsidR="00602BE2" w:rsidRDefault="00602BE2">
      <w:pPr>
        <w:ind w:left="360" w:hanging="360"/>
        <w:jc w:val="both"/>
        <w:rPr>
          <w:i/>
          <w:iCs/>
          <w:sz w:val="24"/>
          <w:szCs w:val="24"/>
          <w:lang w:val="en-US"/>
        </w:rPr>
      </w:pPr>
      <w:r>
        <w:rPr>
          <w:i/>
          <w:iCs/>
          <w:sz w:val="24"/>
          <w:szCs w:val="24"/>
          <w:lang w:val="en-US"/>
        </w:rPr>
        <w:t xml:space="preserve">Decision </w:t>
      </w:r>
    </w:p>
    <w:p w:rsidR="00602BE2" w:rsidRDefault="00602BE2">
      <w:pPr>
        <w:ind w:left="360" w:hanging="360"/>
        <w:jc w:val="both"/>
        <w:rPr>
          <w:i/>
          <w:iCs/>
          <w:sz w:val="24"/>
          <w:szCs w:val="24"/>
          <w:lang w:val="en-US"/>
        </w:rPr>
      </w:pPr>
      <w:r>
        <w:rPr>
          <w:i/>
          <w:iCs/>
          <w:sz w:val="24"/>
          <w:szCs w:val="24"/>
          <w:lang w:val="en-US"/>
        </w:rPr>
        <w:t>Reasons</w:t>
      </w:r>
    </w:p>
    <w:p w:rsidR="00602BE2" w:rsidRDefault="00602BE2">
      <w:pPr>
        <w:jc w:val="both"/>
        <w:rPr>
          <w:sz w:val="24"/>
          <w:szCs w:val="24"/>
          <w:lang w:val="en-US"/>
        </w:rPr>
      </w:pPr>
    </w:p>
    <w:p w:rsidR="00602BE2" w:rsidRDefault="00602BE2">
      <w:pPr>
        <w:ind w:left="360" w:hanging="360"/>
        <w:jc w:val="both"/>
        <w:rPr>
          <w:i/>
          <w:iCs/>
          <w:sz w:val="24"/>
          <w:szCs w:val="24"/>
          <w:lang w:val="en-US"/>
        </w:rPr>
      </w:pPr>
      <w:r>
        <w:rPr>
          <w:i/>
          <w:iCs/>
          <w:sz w:val="24"/>
          <w:szCs w:val="24"/>
          <w:lang w:val="en-US"/>
        </w:rPr>
        <w:t>Facts</w:t>
      </w:r>
    </w:p>
    <w:p w:rsidR="00602BE2" w:rsidRDefault="00602BE2">
      <w:pPr>
        <w:ind w:left="360" w:hanging="360"/>
        <w:jc w:val="both"/>
        <w:rPr>
          <w:i/>
          <w:iCs/>
          <w:sz w:val="24"/>
          <w:szCs w:val="24"/>
          <w:lang w:val="en-US"/>
        </w:rPr>
      </w:pPr>
      <w:r>
        <w:rPr>
          <w:i/>
          <w:iCs/>
          <w:sz w:val="24"/>
          <w:szCs w:val="24"/>
          <w:lang w:val="en-US"/>
        </w:rPr>
        <w:t xml:space="preserve">Decision </w:t>
      </w:r>
    </w:p>
    <w:p w:rsidR="00602BE2" w:rsidRDefault="00602BE2">
      <w:pPr>
        <w:ind w:left="360" w:hanging="360"/>
        <w:jc w:val="both"/>
        <w:rPr>
          <w:sz w:val="24"/>
          <w:szCs w:val="24"/>
          <w:lang w:val="en-US"/>
        </w:rPr>
      </w:pPr>
      <w:r>
        <w:rPr>
          <w:i/>
          <w:iCs/>
          <w:sz w:val="24"/>
          <w:szCs w:val="24"/>
          <w:lang w:val="en-US"/>
        </w:rPr>
        <w:t>Reasons</w:t>
      </w:r>
    </w:p>
    <w:p w:rsidR="00602BE2" w:rsidRDefault="00602BE2">
      <w:pPr>
        <w:jc w:val="both"/>
        <w:rPr>
          <w:sz w:val="24"/>
          <w:szCs w:val="24"/>
          <w:lang w:val="en-US"/>
        </w:rPr>
      </w:pPr>
    </w:p>
    <w:p w:rsidR="00602BE2" w:rsidRDefault="00602BE2">
      <w:pPr>
        <w:jc w:val="both"/>
        <w:rPr>
          <w:sz w:val="24"/>
          <w:szCs w:val="24"/>
          <w:lang w:val="en-US"/>
        </w:rPr>
      </w:pPr>
    </w:p>
    <w:p w:rsidR="00602BE2" w:rsidRDefault="00602BE2">
      <w:pPr>
        <w:jc w:val="both"/>
        <w:rPr>
          <w:b/>
          <w:bCs/>
          <w:sz w:val="32"/>
          <w:szCs w:val="32"/>
          <w:u w:val="single"/>
          <w:lang w:val="en-US"/>
        </w:rPr>
      </w:pPr>
    </w:p>
    <w:sectPr w:rsidR="00602BE2" w:rsidSect="00602BE2">
      <w:headerReference w:type="default" r:id="rId6"/>
      <w:footerReference w:type="default" r:id="rId7"/>
      <w:pgSz w:w="12240" w:h="15840"/>
      <w:pgMar w:top="1440" w:right="1800" w:bottom="1440" w:left="1800" w:header="720" w:footer="864"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2BE2" w:rsidRDefault="00602BE2" w:rsidP="00602BE2">
      <w:r>
        <w:separator/>
      </w:r>
    </w:p>
  </w:endnote>
  <w:endnote w:type="continuationSeparator" w:id="0">
    <w:p w:rsidR="00602BE2" w:rsidRDefault="00602BE2" w:rsidP="00602BE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ransit">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BE2" w:rsidRDefault="00602BE2">
    <w:pPr>
      <w:tabs>
        <w:tab w:val="center" w:pos="4320"/>
        <w:tab w:val="right" w:pos="8640"/>
      </w:tabs>
      <w:rPr>
        <w:rFonts w:cstheme="minorBidi"/>
        <w:kern w:val="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2BE2" w:rsidRDefault="00602BE2" w:rsidP="00602BE2">
      <w:r>
        <w:separator/>
      </w:r>
    </w:p>
  </w:footnote>
  <w:footnote w:type="continuationSeparator" w:id="0">
    <w:p w:rsidR="00602BE2" w:rsidRDefault="00602BE2" w:rsidP="00602B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BE2" w:rsidRDefault="00602BE2">
    <w:pPr>
      <w:tabs>
        <w:tab w:val="center" w:pos="4320"/>
        <w:tab w:val="right" w:pos="8640"/>
      </w:tabs>
      <w:rPr>
        <w:rFonts w:cstheme="minorBidi"/>
        <w:kern w:val="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lorPos" w:val="-1"/>
    <w:docVar w:name="ColorSet" w:val="-1"/>
    <w:docVar w:name="StylePos" w:val="-1"/>
    <w:docVar w:name="StyleSet" w:val="-1"/>
  </w:docVars>
  <w:rsids>
    <w:rsidRoot w:val="00602BE2"/>
    <w:rsid w:val="00602BE2"/>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0</Pages>
  <Words>0</Words>
  <Characters>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0</cp:revision>
</cp:coreProperties>
</file>