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Ex1.xml" ContentType="application/vnd.ms-office.chartex+xml"/>
  <Override PartName="/word/charts/style1.xml" ContentType="application/vnd.ms-office.chartstyle+xml"/>
  <Override PartName="/word/charts/colors1.xml" ContentType="application/vnd.ms-office.chartcolorstyle+xml"/>
  <Override PartName="/word/charts/chartEx2.xml" ContentType="application/vnd.ms-office.chartex+xml"/>
  <Override PartName="/word/charts/style2.xml" ContentType="application/vnd.ms-office.chartstyle+xml"/>
  <Override PartName="/word/charts/colors2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A482BF3" w14:textId="3BBEC9FC" w:rsidR="00CD5B64" w:rsidRPr="00790AEA" w:rsidRDefault="00CD5B64" w:rsidP="00790AE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90AEA">
        <w:rPr>
          <w:rFonts w:ascii="Times New Roman" w:hAnsi="Times New Roman" w:cs="Times New Roman"/>
          <w:b/>
          <w:bCs/>
          <w:sz w:val="28"/>
          <w:szCs w:val="28"/>
        </w:rPr>
        <w:t xml:space="preserve">GEOG2020 Assignment 2: </w:t>
      </w:r>
    </w:p>
    <w:p w14:paraId="2157A16A" w14:textId="5AB56A77" w:rsidR="00CD5B64" w:rsidRPr="00790AEA" w:rsidRDefault="00790AEA" w:rsidP="00790AE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90AEA">
        <w:rPr>
          <w:rFonts w:ascii="Times New Roman" w:hAnsi="Times New Roman" w:cs="Times New Roman"/>
          <w:b/>
          <w:bCs/>
          <w:sz w:val="28"/>
          <w:szCs w:val="28"/>
        </w:rPr>
        <w:t>Box and Whisker Graphs</w:t>
      </w:r>
      <w:bookmarkStart w:id="0" w:name="_GoBack"/>
      <w:bookmarkEnd w:id="0"/>
    </w:p>
    <w:p w14:paraId="7CC23BEE" w14:textId="77777777" w:rsidR="00790AEA" w:rsidRDefault="00790AEA" w:rsidP="00790AEA">
      <w:pPr>
        <w:spacing w:after="0" w:line="240" w:lineRule="auto"/>
        <w:jc w:val="center"/>
      </w:pPr>
    </w:p>
    <w:p w14:paraId="1BB2DDE7" w14:textId="5D3D7897" w:rsidR="00832EBF" w:rsidRDefault="004E2438">
      <w:r>
        <w:rPr>
          <w:noProof/>
        </w:rPr>
        <mc:AlternateContent>
          <mc:Choice Requires="cx1">
            <w:drawing>
              <wp:inline distT="0" distB="0" distL="0" distR="0" wp14:anchorId="37F7A064" wp14:editId="3B362555">
                <wp:extent cx="5486400" cy="3200400"/>
                <wp:effectExtent l="0" t="0" r="0" b="0"/>
                <wp:docPr id="4" name="Chart 4"/>
                <wp:cNvGraphicFramePr/>
                <a:graphic xmlns:a="http://schemas.openxmlformats.org/drawingml/2006/main">
                  <a:graphicData uri="http://schemas.microsoft.com/office/drawing/2014/chartex">
                    <cx:chart xmlns:cx="http://schemas.microsoft.com/office/drawing/2014/chartex" xmlns:r="http://schemas.openxmlformats.org/officeDocument/2006/relationships" r:id="rId8"/>
                  </a:graphicData>
                </a:graphic>
              </wp:inline>
            </w:drawing>
          </mc:Choice>
          <mc:Fallback>
            <w:drawing>
              <wp:inline distT="0" distB="0" distL="0" distR="0" wp14:anchorId="37F7A064" wp14:editId="3B362555">
                <wp:extent cx="5486400" cy="3200400"/>
                <wp:effectExtent l="0" t="0" r="0" b="0"/>
                <wp:docPr id="4" name="Chart 4"/>
                <wp:cNvGraphicFramePr>
                  <a:graphicFrameLocks xmlns:a="http://schemas.openxmlformats.org/drawingml/2006/main" noGrp="1" noDrilldown="1" noSelect="1" noChangeAspect="1" noMove="1" noResize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Chart 4"/>
                        <pic:cNvPicPr>
                          <a:picLocks noGrp="1" noRot="1" noChangeAspect="1" noMove="1" noResize="1" noEditPoints="1" noAdjustHandles="1" noChangeArrowheads="1" noChangeShapeType="1"/>
                        </pic:cNvPicPr>
                      </pic:nvPicPr>
                      <pic:blipFill>
                        <a:blip r:embed="rId9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486400" cy="3200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Fallback>
        </mc:AlternateContent>
      </w:r>
    </w:p>
    <w:p w14:paraId="53D1A7D3" w14:textId="3B841E1D" w:rsidR="00FF43B4" w:rsidRDefault="00FF43B4"/>
    <w:p w14:paraId="568409B0" w14:textId="6B417DAD" w:rsidR="00FF43B4" w:rsidRDefault="00FF43B4">
      <w:r>
        <w:rPr>
          <w:noProof/>
        </w:rPr>
        <mc:AlternateContent>
          <mc:Choice Requires="cx1">
            <w:drawing>
              <wp:inline distT="0" distB="0" distL="0" distR="0" wp14:anchorId="4A7F4DBC" wp14:editId="0D2D693E">
                <wp:extent cx="5486400" cy="3200400"/>
                <wp:effectExtent l="0" t="0" r="0" b="0"/>
                <wp:docPr id="5" name="Chart 5"/>
                <wp:cNvGraphicFramePr/>
                <a:graphic xmlns:a="http://schemas.openxmlformats.org/drawingml/2006/main">
                  <a:graphicData uri="http://schemas.microsoft.com/office/drawing/2014/chartex">
                    <cx:chart xmlns:cx="http://schemas.microsoft.com/office/drawing/2014/chartex" xmlns:r="http://schemas.openxmlformats.org/officeDocument/2006/relationships" r:id="rId10"/>
                  </a:graphicData>
                </a:graphic>
              </wp:inline>
            </w:drawing>
          </mc:Choice>
          <mc:Fallback>
            <w:drawing>
              <wp:inline distT="0" distB="0" distL="0" distR="0" wp14:anchorId="4A7F4DBC" wp14:editId="0D2D693E">
                <wp:extent cx="5486400" cy="3200400"/>
                <wp:effectExtent l="0" t="0" r="0" b="0"/>
                <wp:docPr id="5" name="Chart 5"/>
                <wp:cNvGraphicFramePr>
                  <a:graphicFrameLocks xmlns:a="http://schemas.openxmlformats.org/drawingml/2006/main" noGrp="1" noDrilldown="1" noSelect="1" noChangeAspect="1" noMove="1" noResize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Chart 5"/>
                        <pic:cNvPicPr>
                          <a:picLocks noGrp="1" noRot="1" noChangeAspect="1" noMove="1" noResize="1" noEditPoints="1" noAdjustHandles="1" noChangeArrowheads="1" noChangeShapeType="1"/>
                        </pic:cNvPicPr>
                      </pic:nvPicPr>
                      <pic:blipFill>
                        <a:blip r:embed="rId1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486400" cy="3200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Fallback>
        </mc:AlternateContent>
      </w:r>
    </w:p>
    <w:sectPr w:rsidR="00FF43B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0700"/>
    <w:rsid w:val="000756DA"/>
    <w:rsid w:val="000A7E37"/>
    <w:rsid w:val="0014524E"/>
    <w:rsid w:val="001D76CA"/>
    <w:rsid w:val="003554EF"/>
    <w:rsid w:val="003B5A32"/>
    <w:rsid w:val="00410947"/>
    <w:rsid w:val="00425118"/>
    <w:rsid w:val="004934CF"/>
    <w:rsid w:val="004B371D"/>
    <w:rsid w:val="004E236F"/>
    <w:rsid w:val="004E2438"/>
    <w:rsid w:val="00780700"/>
    <w:rsid w:val="00790AEA"/>
    <w:rsid w:val="00800CC0"/>
    <w:rsid w:val="00832EBF"/>
    <w:rsid w:val="009C0537"/>
    <w:rsid w:val="009F5F74"/>
    <w:rsid w:val="00A63493"/>
    <w:rsid w:val="00AD53E2"/>
    <w:rsid w:val="00B03F03"/>
    <w:rsid w:val="00C45488"/>
    <w:rsid w:val="00C84938"/>
    <w:rsid w:val="00CD5B64"/>
    <w:rsid w:val="00D246BE"/>
    <w:rsid w:val="00DA5E03"/>
    <w:rsid w:val="00E1286F"/>
    <w:rsid w:val="00EB3AEB"/>
    <w:rsid w:val="00EB700D"/>
    <w:rsid w:val="00F57CE8"/>
    <w:rsid w:val="00F6773A"/>
    <w:rsid w:val="00FF43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91D06C"/>
  <w15:chartTrackingRefBased/>
  <w15:docId w15:val="{0ED7A910-CEE3-4CD0-BECF-BA241A36A3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4/relationships/chartEx" Target="charts/chartEx1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0" Type="http://schemas.microsoft.com/office/2014/relationships/chartEx" Target="charts/chartEx2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charts/_rels/chartEx1.xml.rels><?xml version="1.0" encoding="UTF-8" standalone="yes"?>
<Relationships xmlns="http://schemas.openxmlformats.org/package/2006/relationships"><Relationship Id="rId3" Type="http://schemas.microsoft.com/office/2011/relationships/chartColorStyle" Target="colors1.xml"/><Relationship Id="rId2" Type="http://schemas.microsoft.com/office/2011/relationships/chartStyle" Target="style1.xml"/><Relationship Id="rId1" Type="http://schemas.openxmlformats.org/officeDocument/2006/relationships/package" Target="../embeddings/Microsoft_Excel_Worksheet.xlsx"/></Relationships>
</file>

<file path=word/charts/_rels/chartEx2.xml.rels><?xml version="1.0" encoding="UTF-8" standalone="yes"?>
<Relationships xmlns="http://schemas.openxmlformats.org/package/2006/relationships"><Relationship Id="rId3" Type="http://schemas.microsoft.com/office/2011/relationships/chartColorStyle" Target="colors2.xml"/><Relationship Id="rId2" Type="http://schemas.microsoft.com/office/2011/relationships/chartStyle" Target="style2.xml"/><Relationship Id="rId1" Type="http://schemas.openxmlformats.org/officeDocument/2006/relationships/package" Target="../embeddings/Microsoft_Excel_Worksheet1.xlsx"/></Relationships>
</file>

<file path=word/charts/chartEx1.xml><?xml version="1.0" encoding="utf-8"?>
<cx:chartSpace xmlns:a="http://schemas.openxmlformats.org/drawingml/2006/main" xmlns:r="http://schemas.openxmlformats.org/officeDocument/2006/relationships" xmlns:cx="http://schemas.microsoft.com/office/drawing/2014/chartex">
  <cx:chartData>
    <cx:externalData r:id="rId1" cx:autoUpdate="0"/>
    <cx:data id="0">
      <cx:strDim type="cat">
        <cx:f>Sheet1!$A$2:$A$205</cx:f>
        <cx:lvl ptCount="204">
          <cx:pt idx="0">St. John's</cx:pt>
          <cx:pt idx="1">St. John's</cx:pt>
          <cx:pt idx="2">St. John's</cx:pt>
          <cx:pt idx="3">St. John's</cx:pt>
          <cx:pt idx="4">St. John's</cx:pt>
          <cx:pt idx="5">St. John's</cx:pt>
          <cx:pt idx="6">St. John's</cx:pt>
          <cx:pt idx="7">St. John's</cx:pt>
          <cx:pt idx="8">St. John's</cx:pt>
          <cx:pt idx="9">St. John's</cx:pt>
          <cx:pt idx="10">St. John's</cx:pt>
          <cx:pt idx="11">St. John's</cx:pt>
          <cx:pt idx="12">Charlottetown</cx:pt>
          <cx:pt idx="13">Charlottetown</cx:pt>
          <cx:pt idx="14">Charlottetown</cx:pt>
          <cx:pt idx="15">Charlottetown</cx:pt>
          <cx:pt idx="16">Charlottetown</cx:pt>
          <cx:pt idx="17">Charlottetown</cx:pt>
          <cx:pt idx="18">Charlottetown</cx:pt>
          <cx:pt idx="19">Charlottetown</cx:pt>
          <cx:pt idx="20">Charlottetown</cx:pt>
          <cx:pt idx="21">Charlottetown</cx:pt>
          <cx:pt idx="22">Charlottetown</cx:pt>
          <cx:pt idx="23">Charlottetown</cx:pt>
          <cx:pt idx="24">Halifax</cx:pt>
          <cx:pt idx="25">Halifax</cx:pt>
          <cx:pt idx="26">Halifax</cx:pt>
          <cx:pt idx="27">Halifax</cx:pt>
          <cx:pt idx="28">Halifax</cx:pt>
          <cx:pt idx="29">Halifax</cx:pt>
          <cx:pt idx="30">Halifax</cx:pt>
          <cx:pt idx="31">Halifax</cx:pt>
          <cx:pt idx="32">Halifax</cx:pt>
          <cx:pt idx="33">Halifax</cx:pt>
          <cx:pt idx="34">Halifax</cx:pt>
          <cx:pt idx="35">Halifax</cx:pt>
          <cx:pt idx="36">Saint John</cx:pt>
          <cx:pt idx="37">Saint John</cx:pt>
          <cx:pt idx="38">Saint John</cx:pt>
          <cx:pt idx="39">Saint John</cx:pt>
          <cx:pt idx="40">Saint John</cx:pt>
          <cx:pt idx="41">Saint John</cx:pt>
          <cx:pt idx="42">Saint John</cx:pt>
          <cx:pt idx="43">Saint John</cx:pt>
          <cx:pt idx="44">Saint John</cx:pt>
          <cx:pt idx="45">Saint John</cx:pt>
          <cx:pt idx="46">Saint John</cx:pt>
          <cx:pt idx="47">Saint John</cx:pt>
          <cx:pt idx="48">Sept-Iles</cx:pt>
          <cx:pt idx="49">Sept-Iles</cx:pt>
          <cx:pt idx="50">Sept-Iles</cx:pt>
          <cx:pt idx="51">Sept-Iles</cx:pt>
          <cx:pt idx="52">Sept-Iles</cx:pt>
          <cx:pt idx="53">Sept-Iles</cx:pt>
          <cx:pt idx="54">Sept-Iles</cx:pt>
          <cx:pt idx="55">Sept-Iles</cx:pt>
          <cx:pt idx="56">Sept-Iles</cx:pt>
          <cx:pt idx="57">Sept-Iles</cx:pt>
          <cx:pt idx="58">Sept-Iles</cx:pt>
          <cx:pt idx="59">Sept-Iles</cx:pt>
          <cx:pt idx="60">Montreal</cx:pt>
          <cx:pt idx="61">Montreal</cx:pt>
          <cx:pt idx="62">Montreal</cx:pt>
          <cx:pt idx="63">Montreal</cx:pt>
          <cx:pt idx="64">Montreal</cx:pt>
          <cx:pt idx="65">Montreal</cx:pt>
          <cx:pt idx="66">Montreal</cx:pt>
          <cx:pt idx="67">Montreal</cx:pt>
          <cx:pt idx="68">Montreal</cx:pt>
          <cx:pt idx="69">Montreal</cx:pt>
          <cx:pt idx="70">Montreal</cx:pt>
          <cx:pt idx="71">Montreal</cx:pt>
          <cx:pt idx="72">Toronto</cx:pt>
          <cx:pt idx="73">Toronto</cx:pt>
          <cx:pt idx="74">Toronto</cx:pt>
          <cx:pt idx="75">Toronto</cx:pt>
          <cx:pt idx="76">Toronto</cx:pt>
          <cx:pt idx="77">Toronto</cx:pt>
          <cx:pt idx="78">Toronto</cx:pt>
          <cx:pt idx="79">Toronto</cx:pt>
          <cx:pt idx="80">Toronto</cx:pt>
          <cx:pt idx="81">Toronto</cx:pt>
          <cx:pt idx="82">Toronto</cx:pt>
          <cx:pt idx="83">Toronto</cx:pt>
          <cx:pt idx="84">Winnipeg</cx:pt>
          <cx:pt idx="85">Winnipeg</cx:pt>
          <cx:pt idx="86">Winnipeg</cx:pt>
          <cx:pt idx="87">Winnipeg</cx:pt>
          <cx:pt idx="88">Winnipeg</cx:pt>
          <cx:pt idx="89">Winnipeg</cx:pt>
          <cx:pt idx="90">Winnipeg</cx:pt>
          <cx:pt idx="91">Winnipeg</cx:pt>
          <cx:pt idx="92">Winnipeg</cx:pt>
          <cx:pt idx="93">Winnipeg</cx:pt>
          <cx:pt idx="94">Winnipeg</cx:pt>
          <cx:pt idx="95">Winnipeg</cx:pt>
          <cx:pt idx="96">Churchill</cx:pt>
          <cx:pt idx="97">Churchill</cx:pt>
          <cx:pt idx="98">Churchill</cx:pt>
          <cx:pt idx="99">Churchill</cx:pt>
          <cx:pt idx="100">Churchill</cx:pt>
          <cx:pt idx="101">Churchill</cx:pt>
          <cx:pt idx="102">Churchill</cx:pt>
          <cx:pt idx="103">Churchill</cx:pt>
          <cx:pt idx="104">Churchill</cx:pt>
          <cx:pt idx="105">Churchill</cx:pt>
          <cx:pt idx="106">Churchill</cx:pt>
          <cx:pt idx="107">Churchill</cx:pt>
          <cx:pt idx="108">Regina</cx:pt>
          <cx:pt idx="109">Regina</cx:pt>
          <cx:pt idx="110">Regina</cx:pt>
          <cx:pt idx="111">Regina</cx:pt>
          <cx:pt idx="112">Regina</cx:pt>
          <cx:pt idx="113">Regina</cx:pt>
          <cx:pt idx="114">Regina</cx:pt>
          <cx:pt idx="115">Regina</cx:pt>
          <cx:pt idx="116">Regina</cx:pt>
          <cx:pt idx="117">Regina</cx:pt>
          <cx:pt idx="118">Regina</cx:pt>
          <cx:pt idx="119">Regina</cx:pt>
          <cx:pt idx="120">Edmonton</cx:pt>
          <cx:pt idx="121">Edmonton</cx:pt>
          <cx:pt idx="122">Edmonton</cx:pt>
          <cx:pt idx="123">Edmonton</cx:pt>
          <cx:pt idx="124">Edmonton</cx:pt>
          <cx:pt idx="125">Edmonton</cx:pt>
          <cx:pt idx="126">Edmonton</cx:pt>
          <cx:pt idx="127">Edmonton</cx:pt>
          <cx:pt idx="128">Edmonton</cx:pt>
          <cx:pt idx="129">Edmonton</cx:pt>
          <cx:pt idx="130">Edmonton</cx:pt>
          <cx:pt idx="131">Edmonton</cx:pt>
          <cx:pt idx="132">Penticton</cx:pt>
          <cx:pt idx="133">Penticton</cx:pt>
          <cx:pt idx="134">Penticton</cx:pt>
          <cx:pt idx="135">Penticton</cx:pt>
          <cx:pt idx="136">Penticton</cx:pt>
          <cx:pt idx="137">Penticton</cx:pt>
          <cx:pt idx="138">Penticton</cx:pt>
          <cx:pt idx="139">Penticton</cx:pt>
          <cx:pt idx="140">Penticton</cx:pt>
          <cx:pt idx="141">Penticton</cx:pt>
          <cx:pt idx="142">Penticton</cx:pt>
          <cx:pt idx="143">Penticton</cx:pt>
          <cx:pt idx="144">Vancouver</cx:pt>
          <cx:pt idx="145">Vancouver</cx:pt>
          <cx:pt idx="146">Vancouver</cx:pt>
          <cx:pt idx="147">Vancouver</cx:pt>
          <cx:pt idx="148">Vancouver</cx:pt>
          <cx:pt idx="149">Vancouver</cx:pt>
          <cx:pt idx="150">Vancouver</cx:pt>
          <cx:pt idx="151">Vancouver</cx:pt>
          <cx:pt idx="152">Vancouver</cx:pt>
          <cx:pt idx="153">Vancouver</cx:pt>
          <cx:pt idx="154">Vancouver</cx:pt>
          <cx:pt idx="155">Vancouver</cx:pt>
          <cx:pt idx="156">Prince Rupert</cx:pt>
          <cx:pt idx="157">Prince Rupert</cx:pt>
          <cx:pt idx="158">Prince Rupert</cx:pt>
          <cx:pt idx="159">Prince Rupert</cx:pt>
          <cx:pt idx="160">Prince Rupert</cx:pt>
          <cx:pt idx="161">Prince Rupert</cx:pt>
          <cx:pt idx="162">Prince Rupert</cx:pt>
          <cx:pt idx="163">Prince Rupert</cx:pt>
          <cx:pt idx="164">Prince Rupert</cx:pt>
          <cx:pt idx="165">Prince Rupert</cx:pt>
          <cx:pt idx="166">Prince Rupert</cx:pt>
          <cx:pt idx="167">Prince Rupert</cx:pt>
          <cx:pt idx="168">Yellowknife</cx:pt>
          <cx:pt idx="169">Yellowknife</cx:pt>
          <cx:pt idx="170">Yellowknife</cx:pt>
          <cx:pt idx="171">Yellowknife</cx:pt>
          <cx:pt idx="172">Yellowknife</cx:pt>
          <cx:pt idx="173">Yellowknife</cx:pt>
          <cx:pt idx="174">Yellowknife</cx:pt>
          <cx:pt idx="175">Yellowknife</cx:pt>
          <cx:pt idx="176">Yellowknife</cx:pt>
          <cx:pt idx="177">Yellowknife</cx:pt>
          <cx:pt idx="178">Yellowknife</cx:pt>
          <cx:pt idx="179">Yellowknife</cx:pt>
          <cx:pt idx="180">Whitehorse</cx:pt>
          <cx:pt idx="181">Whitehorse</cx:pt>
          <cx:pt idx="182">Whitehorse</cx:pt>
          <cx:pt idx="183">Whitehorse</cx:pt>
          <cx:pt idx="184">Whitehorse</cx:pt>
          <cx:pt idx="185">Whitehorse</cx:pt>
          <cx:pt idx="186">Whitehorse</cx:pt>
          <cx:pt idx="187">Whitehorse</cx:pt>
          <cx:pt idx="188">Whitehorse</cx:pt>
          <cx:pt idx="189">Whitehorse</cx:pt>
          <cx:pt idx="190">Whitehorse</cx:pt>
          <cx:pt idx="191">Whitehorse</cx:pt>
          <cx:pt idx="192">Resolute</cx:pt>
          <cx:pt idx="193">Resolute</cx:pt>
          <cx:pt idx="194">Resolute</cx:pt>
          <cx:pt idx="195">Resolute</cx:pt>
          <cx:pt idx="196">Resolute</cx:pt>
          <cx:pt idx="197">Resolute</cx:pt>
          <cx:pt idx="198">Resolute</cx:pt>
          <cx:pt idx="199">Resolute</cx:pt>
          <cx:pt idx="200">Resolute</cx:pt>
          <cx:pt idx="201">Resolute</cx:pt>
          <cx:pt idx="202">Resolute</cx:pt>
          <cx:pt idx="203">Resolute</cx:pt>
        </cx:lvl>
      </cx:strDim>
      <cx:numDim type="val">
        <cx:f>Sheet1!$B$2:$B$205</cx:f>
        <cx:lvl ptCount="204" formatCode="General">
          <cx:pt idx="0">-3.8999999999999999</cx:pt>
          <cx:pt idx="1">-4.5</cx:pt>
          <cx:pt idx="2">-2.2999999999999998</cx:pt>
          <cx:pt idx="3">1.2</cx:pt>
          <cx:pt idx="4">5.4000000000000004</cx:pt>
          <cx:pt idx="5">10.9</cx:pt>
          <cx:pt idx="6">15.5</cx:pt>
          <cx:pt idx="7">15.300000000000001</cx:pt>
          <cx:pt idx="8">11.6</cx:pt>
          <cx:pt idx="9">6.9000000000000004</cx:pt>
          <cx:pt idx="10">3.3999999999999999</cx:pt>
          <cx:pt idx="11">-1.5</cx:pt>
          <cx:pt idx="12">-7.0999999999999996</cx:pt>
          <cx:pt idx="13">-7.5</cx:pt>
          <cx:pt idx="14">-3.1000000000000001</cx:pt>
          <cx:pt idx="15">2.2999999999999998</cx:pt>
          <cx:pt idx="16">8.5</cx:pt>
          <cx:pt idx="17">14.5</cx:pt>
          <cx:pt idx="18">18.300000000000001</cx:pt>
          <cx:pt idx="19">17.800000000000001</cx:pt>
          <cx:pt idx="20">13.5</cx:pt>
          <cx:pt idx="21">8.0999999999999996</cx:pt>
          <cx:pt idx="22">2.8999999999999999</cx:pt>
          <cx:pt idx="23">-3.8999999999999999</cx:pt>
          <cx:pt idx="24">-6</cx:pt>
          <cx:pt idx="25">-6.0999999999999996</cx:pt>
          <cx:pt idx="26">-1.6000000000000001</cx:pt>
          <cx:pt idx="27">3.2999999999999998</cx:pt>
          <cx:pt idx="28">9.1999999999999993</cx:pt>
          <cx:pt idx="29">14.800000000000001</cx:pt>
          <cx:pt idx="30">18.199999999999999</cx:pt>
          <cx:pt idx="31">18.100000000000001</cx:pt>
          <cx:pt idx="32">13.800000000000001</cx:pt>
          <cx:pt idx="33">8.5999999999999996</cx:pt>
          <cx:pt idx="34">3.3999999999999999</cx:pt>
          <cx:pt idx="35">-2.8999999999999999</cx:pt>
          <cx:pt idx="36">-7.7999999999999998</cx:pt>
          <cx:pt idx="37">-7.5</cx:pt>
          <cx:pt idx="38">-2.5</cx:pt>
          <cx:pt idx="39">3.2000000000000002</cx:pt>
          <cx:pt idx="40">9</cx:pt>
          <cx:pt idx="41">13.800000000000001</cx:pt>
          <cx:pt idx="42">16.899999999999999</cx:pt>
          <cx:pt idx="43">16.600000000000001</cx:pt>
          <cx:pt idx="44">12.699999999999999</cx:pt>
          <cx:pt idx="45">7.5999999999999996</cx:pt>
          <cx:pt idx="46">2.2999999999999998</cx:pt>
          <cx:pt idx="47">-4.7999999999999998</cx:pt>
          <cx:pt idx="48">-14</cx:pt>
          <cx:pt idx="49">-12.5</cx:pt>
          <cx:pt idx="50">-6.5999999999999996</cx:pt>
          <cx:pt idx="51">0</cx:pt>
          <cx:pt idx="52">5.9000000000000004</cx:pt>
          <cx:pt idx="53">11.699999999999999</cx:pt>
          <cx:pt idx="54">15.199999999999999</cx:pt>
          <cx:pt idx="55">14.1</cx:pt>
          <cx:pt idx="56">9.3000000000000007</cx:pt>
          <cx:pt idx="57">3.6000000000000001</cx:pt>
          <cx:pt idx="58">-2.5</cx:pt>
          <cx:pt idx="59">-11</cx:pt>
          <cx:pt idx="60">-10.199999999999999</cx:pt>
          <cx:pt idx="61">-9</cx:pt>
          <cx:pt idx="62">-2.5</cx:pt>
          <cx:pt idx="63">5.7000000000000002</cx:pt>
          <cx:pt idx="64">13</cx:pt>
          <cx:pt idx="65">18.300000000000001</cx:pt>
          <cx:pt idx="66">20.899999999999999</cx:pt>
          <cx:pt idx="67">19.600000000000001</cx:pt>
          <cx:pt idx="68">14.800000000000001</cx:pt>
          <cx:pt idx="69">8.6999999999999993</cx:pt>
          <cx:pt idx="70">2</cx:pt>
          <cx:pt idx="71">-6.9000000000000004</cx:pt>
          <cx:pt idx="72">-6.7000000000000002</cx:pt>
          <cx:pt idx="73">-6.0999999999999996</cx:pt>
          <cx:pt idx="74">-1</cx:pt>
          <cx:pt idx="75">6.2000000000000002</cx:pt>
          <cx:pt idx="76">12.300000000000001</cx:pt>
          <cx:pt idx="77">17.699999999999999</cx:pt>
          <cx:pt idx="78">20.600000000000001</cx:pt>
          <cx:pt idx="79">19.699999999999999</cx:pt>
          <cx:pt idx="80">15.5</cx:pt>
          <cx:pt idx="81">9.3000000000000007</cx:pt>
          <cx:pt idx="82">3.2999999999999998</cx:pt>
          <cx:pt idx="83">-3.5</cx:pt>
          <cx:pt idx="84">-19.300000000000001</cx:pt>
          <cx:pt idx="85">-15.6</cx:pt>
          <cx:pt idx="86">-8.1999999999999993</cx:pt>
          <cx:pt idx="87">3.3999999999999999</cx:pt>
          <cx:pt idx="88">11.300000000000001</cx:pt>
          <cx:pt idx="89">16.800000000000001</cx:pt>
          <cx:pt idx="90">19.600000000000001</cx:pt>
          <cx:pt idx="91">18.300000000000001</cx:pt>
          <cx:pt idx="92">12.4</cx:pt>
          <cx:pt idx="93">6.0999999999999996</cx:pt>
          <cx:pt idx="94">-4.5</cx:pt>
          <cx:pt idx="95">-14</cx:pt>
          <cx:pt idx="96">-27.5</cx:pt>
          <cx:pt idx="97">-25.899999999999999</cx:pt>
          <cx:pt idx="98">-20.399999999999999</cx:pt>
          <cx:pt idx="99">-10.1</cx:pt>
          <cx:pt idx="100">-1.5</cx:pt>
          <cx:pt idx="101">6.2000000000000002</cx:pt>
          <cx:pt idx="102">11.800000000000001</cx:pt>
          <cx:pt idx="103">11.300000000000001</cx:pt>
          <cx:pt idx="104">5.4000000000000004</cx:pt>
          <cx:pt idx="105">-1.5</cx:pt>
          <cx:pt idx="106">-12.1</cx:pt>
          <cx:pt idx="107">-22.199999999999999</cx:pt>
          <cx:pt idx="108">-17.899999999999999</cx:pt>
          <cx:pt idx="109">-13.6</cx:pt>
          <cx:pt idx="110">-7.7999999999999998</cx:pt>
          <cx:pt idx="111">3.2999999999999998</cx:pt>
          <cx:pt idx="112">11.1</cx:pt>
          <cx:pt idx="113">15.9</cx:pt>
          <cx:pt idx="114">18.899999999999999</cx:pt>
          <cx:pt idx="115">17.800000000000001</cx:pt>
          <cx:pt idx="116">11.699999999999999</cx:pt>
          <cx:pt idx="117">5.2000000000000002</cx:pt>
          <cx:pt idx="118">-5.0999999999999996</cx:pt>
          <cx:pt idx="119">-12.800000000000001</cx:pt>
          <cx:pt idx="120">-15</cx:pt>
          <cx:pt idx="121">-9.5999999999999996</cx:pt>
          <cx:pt idx="122">-5</cx:pt>
          <cx:pt idx="123">4.2000000000000002</cx:pt>
          <cx:pt idx="124">11.300000000000001</cx:pt>
          <cx:pt idx="125">15.1</cx:pt>
          <cx:pt idx="126">17.399999999999999</cx:pt>
          <cx:pt idx="127">16.199999999999999</cx:pt>
          <cx:pt idx="128">11</cx:pt>
          <cx:pt idx="129">5.7999999999999998</cx:pt>
          <cx:pt idx="130">-3.7000000000000002</cx:pt>
          <cx:pt idx="131">-10.4</cx:pt>
          <cx:pt idx="132">-2.7000000000000002</cx:pt>
          <cx:pt idx="133">0.59999999999999998</cx:pt>
          <cx:pt idx="134">3.8999999999999999</cx:pt>
          <cx:pt idx="135">8.5999999999999996</cx:pt>
          <cx:pt idx="136">13.4</cx:pt>
          <cx:pt idx="137">17.199999999999999</cx:pt>
          <cx:pt idx="138">20.300000000000001</cx:pt>
          <cx:pt idx="139">19.5</cx:pt>
          <cx:pt idx="140">14.699999999999999</cx:pt>
          <cx:pt idx="141">8.6999999999999993</cx:pt>
          <cx:pt idx="142">3</cx:pt>
          <cx:pt idx="143">-0.40000000000000002</cx:pt>
          <cx:pt idx="144">2.5</cx:pt>
          <cx:pt idx="145">4.5999999999999996</cx:pt>
          <cx:pt idx="146">5.7999999999999998</cx:pt>
          <cx:pt idx="147">8.8000000000000007</cx:pt>
          <cx:pt idx="148">12.199999999999999</cx:pt>
          <cx:pt idx="149">15.1</cx:pt>
          <cx:pt idx="150">17.300000000000001</cx:pt>
          <cx:pt idx="151">17.100000000000001</cx:pt>
          <cx:pt idx="152">14.199999999999999</cx:pt>
          <cx:pt idx="153">10</cx:pt>
          <cx:pt idx="154">5.9000000000000004</cx:pt>
          <cx:pt idx="155">3.8999999999999999</cx:pt>
          <cx:pt idx="156">-0.20000000000000001</cx:pt>
          <cx:pt idx="157">2.2999999999999998</cx:pt>
          <cx:pt idx="158">3</cx:pt>
          <cx:pt idx="159">5.4000000000000004</cx:pt>
          <cx:pt idx="160">8.3000000000000007</cx:pt>
          <cx:pt idx="161">10.800000000000001</cx:pt>
          <cx:pt idx="162">12.800000000000001</cx:pt>
          <cx:pt idx="163">13.1</cx:pt>
          <cx:pt idx="164">11.4</cx:pt>
          <cx:pt idx="165">7.9000000000000004</cx:pt>
          <cx:pt idx="166">3.7999999999999998</cx:pt>
          <cx:pt idx="167">1.6000000000000001</cx:pt>
          <cx:pt idx="168">-28.800000000000001</cx:pt>
          <cx:pt idx="169">-25.100000000000001</cx:pt>
          <cx:pt idx="170">-18.899999999999999</cx:pt>
          <cx:pt idx="171">-6.9000000000000004</cx:pt>
          <cx:pt idx="172">5</cx:pt>
          <cx:pt idx="173">12.9</cx:pt>
          <cx:pt idx="174">16.300000000000001</cx:pt>
          <cx:pt idx="175">14.1</cx:pt>
          <cx:pt idx="176">6.7000000000000002</cx:pt>
          <cx:pt idx="177">-1.6000000000000001</cx:pt>
          <cx:pt idx="178">-14.1</cx:pt>
          <cx:pt idx="179">-24</cx:pt>
          <cx:pt idx="180">-20.699999999999999</cx:pt>
          <cx:pt idx="181">-13.199999999999999</cx:pt>
          <cx:pt idx="182">-8.1999999999999993</cx:pt>
          <cx:pt idx="183">0.29999999999999999</cx:pt>
          <cx:pt idx="184">6.7000000000000002</cx:pt>
          <cx:pt idx="185">12</cx:pt>
          <cx:pt idx="186">14.1</cx:pt>
          <cx:pt idx="187">12.5</cx:pt>
          <cx:pt idx="188">7.5</cx:pt>
          <cx:pt idx="189">0.59999999999999998</cx:pt>
          <cx:pt idx="190">-8.8000000000000007</cx:pt>
          <cx:pt idx="191">-16.600000000000001</cx:pt>
          <cx:pt idx="192">-32.100000000000001</cx:pt>
          <cx:pt idx="193">-33.200000000000003</cx:pt>
          <cx:pt idx="194">-31.399999999999999</cx:pt>
          <cx:pt idx="195">-23.100000000000001</cx:pt>
          <cx:pt idx="196">-10.9</cx:pt>
          <cx:pt idx="197">-0.59999999999999998</cx:pt>
          <cx:pt idx="198">4.0999999999999996</cx:pt>
          <cx:pt idx="199">2.3999999999999999</cx:pt>
          <cx:pt idx="200">-5.0999999999999996</cx:pt>
          <cx:pt idx="201">-15.1</cx:pt>
          <cx:pt idx="202">-24.5</cx:pt>
          <cx:pt idx="203">-29.300000000000001</cx:pt>
        </cx:lvl>
      </cx:numDim>
    </cx:data>
  </cx:chartData>
  <cx:chart>
    <cx:title pos="t" align="ctr" overlay="0">
      <cx:tx>
        <cx:rich>
          <a:bodyPr spcFirstLastPara="1" vertOverflow="ellipsis" horzOverflow="overflow" wrap="square" lIns="0" tIns="0" rIns="0" bIns="0" anchor="ctr" anchorCtr="1"/>
          <a:lstStyle/>
          <a:p>
            <a:pPr algn="ctr" rtl="0">
              <a:defRPr/>
            </a:pPr>
            <a:r>
              <a:rPr lang="en-US" sz="1400" b="0" i="0" u="none" strike="noStrike" baseline="0">
                <a:solidFill>
                  <a:sysClr val="windowText" lastClr="000000">
                    <a:lumMod val="65000"/>
                    <a:lumOff val="35000"/>
                  </a:sysClr>
                </a:solidFill>
                <a:latin typeface="Calibri" panose="020F0502020204030204"/>
              </a:rPr>
              <a:t>Monthly Temperature (</a:t>
            </a:r>
            <a:r>
              <a:rPr lang="en-CA" sz="1400" b="0" i="0" u="none" strike="noStrike" baseline="0">
                <a:solidFill>
                  <a:sysClr val="windowText" lastClr="000000">
                    <a:lumMod val="65000"/>
                    <a:lumOff val="35000"/>
                  </a:sysClr>
                </a:solidFill>
                <a:effectLst/>
                <a:latin typeface="Calibri" panose="020F0502020204030204"/>
                <a:ea typeface="Calibri" panose="020F0502020204030204" pitchFamily="34" charset="0"/>
                <a:cs typeface="Calibri" panose="020F0502020204030204" pitchFamily="34" charset="0"/>
              </a:rPr>
              <a:t>°C</a:t>
            </a:r>
            <a:r>
              <a:rPr lang="en-US" sz="1400" b="0" i="0" u="none" strike="noStrike" baseline="0">
                <a:solidFill>
                  <a:sysClr val="windowText" lastClr="000000">
                    <a:lumMod val="65000"/>
                    <a:lumOff val="35000"/>
                  </a:sysClr>
                </a:solidFill>
                <a:latin typeface="Calibri" panose="020F0502020204030204"/>
              </a:rPr>
              <a:t> ) at Stations across Canada </a:t>
            </a:r>
          </a:p>
        </cx:rich>
      </cx:tx>
    </cx:title>
    <cx:plotArea>
      <cx:plotAreaRegion>
        <cx:series layoutId="boxWhisker" uniqueId="{F469448A-B590-4153-A0BB-06FA50694065}">
          <cx:tx>
            <cx:txData>
              <cx:f>Sheet1!$B$1</cx:f>
              <cx:v>Stations</cx:v>
            </cx:txData>
          </cx:tx>
          <cx:dataId val="0"/>
          <cx:layoutPr>
            <cx:statistics quartileMethod="exclusive"/>
          </cx:layoutPr>
        </cx:series>
      </cx:plotAreaRegion>
      <cx:axis id="0">
        <cx:catScaling gapWidth="1"/>
        <cx:tickLabels/>
      </cx:axis>
      <cx:axis id="1">
        <cx:valScaling/>
        <cx:majorGridlines/>
        <cx:tickLabels/>
      </cx:axis>
    </cx:plotArea>
  </cx:chart>
</cx:chartSpace>
</file>

<file path=word/charts/chartEx2.xml><?xml version="1.0" encoding="utf-8"?>
<cx:chartSpace xmlns:a="http://schemas.openxmlformats.org/drawingml/2006/main" xmlns:r="http://schemas.openxmlformats.org/officeDocument/2006/relationships" xmlns:cx="http://schemas.microsoft.com/office/drawing/2014/chartex">
  <cx:chartData>
    <cx:externalData r:id="rId1" cx:autoUpdate="0"/>
    <cx:data id="0">
      <cx:strDim type="cat">
        <cx:f>Sheet1!$A$2:$A$205</cx:f>
        <cx:lvl ptCount="204">
          <cx:pt idx="0">St. John's </cx:pt>
          <cx:pt idx="1">St. John's </cx:pt>
          <cx:pt idx="2">St. John's </cx:pt>
          <cx:pt idx="3">St. John's </cx:pt>
          <cx:pt idx="4">St. John's </cx:pt>
          <cx:pt idx="5">St. John's </cx:pt>
          <cx:pt idx="6">St. John's </cx:pt>
          <cx:pt idx="7">St. John's </cx:pt>
          <cx:pt idx="8">St. John's </cx:pt>
          <cx:pt idx="9">St. John's </cx:pt>
          <cx:pt idx="10">St. John's </cx:pt>
          <cx:pt idx="11">St. John's </cx:pt>
          <cx:pt idx="12">Charlottetown</cx:pt>
          <cx:pt idx="13">Charlottetown</cx:pt>
          <cx:pt idx="14">Charlottetown</cx:pt>
          <cx:pt idx="15">Charlottetown</cx:pt>
          <cx:pt idx="16">Charlottetown</cx:pt>
          <cx:pt idx="17">Charlottetown</cx:pt>
          <cx:pt idx="18">Charlottetown</cx:pt>
          <cx:pt idx="19">Charlottetown</cx:pt>
          <cx:pt idx="20">Charlottetown</cx:pt>
          <cx:pt idx="21">Charlottetown</cx:pt>
          <cx:pt idx="22">Charlottetown</cx:pt>
          <cx:pt idx="23">Charlottetown</cx:pt>
          <cx:pt idx="24">Halifax</cx:pt>
          <cx:pt idx="25">Halifax</cx:pt>
          <cx:pt idx="26">Halifax</cx:pt>
          <cx:pt idx="27">Halifax</cx:pt>
          <cx:pt idx="28">Halifax</cx:pt>
          <cx:pt idx="29">Halifax</cx:pt>
          <cx:pt idx="30">Halifax</cx:pt>
          <cx:pt idx="31">Halifax</cx:pt>
          <cx:pt idx="32">Halifax</cx:pt>
          <cx:pt idx="33">Halifax</cx:pt>
          <cx:pt idx="34">Halifax</cx:pt>
          <cx:pt idx="35">Halifax</cx:pt>
          <cx:pt idx="36">Saint John</cx:pt>
          <cx:pt idx="37">Saint John</cx:pt>
          <cx:pt idx="38">Saint John</cx:pt>
          <cx:pt idx="39">Saint John</cx:pt>
          <cx:pt idx="40">Saint John</cx:pt>
          <cx:pt idx="41">Saint John</cx:pt>
          <cx:pt idx="42">Saint John</cx:pt>
          <cx:pt idx="43">Saint John</cx:pt>
          <cx:pt idx="44">Saint John</cx:pt>
          <cx:pt idx="45">Saint John</cx:pt>
          <cx:pt idx="46">Saint John</cx:pt>
          <cx:pt idx="47">Saint John</cx:pt>
          <cx:pt idx="48">Sept-Iles </cx:pt>
          <cx:pt idx="49">Sept-Iles</cx:pt>
          <cx:pt idx="50">Sept-Iles</cx:pt>
          <cx:pt idx="51">Sept-Iles</cx:pt>
          <cx:pt idx="52">Sept-Iles</cx:pt>
          <cx:pt idx="53">Sept-Iles</cx:pt>
          <cx:pt idx="54">Sept-Iles</cx:pt>
          <cx:pt idx="55">Sept-Iles</cx:pt>
          <cx:pt idx="56">Sept-Iles</cx:pt>
          <cx:pt idx="57">Sept-Iles</cx:pt>
          <cx:pt idx="58">Sept-Iles</cx:pt>
          <cx:pt idx="59">Sept-Iles</cx:pt>
          <cx:pt idx="60">Montreal</cx:pt>
          <cx:pt idx="61">Montreal</cx:pt>
          <cx:pt idx="62">Montreal</cx:pt>
          <cx:pt idx="63">Montreal</cx:pt>
          <cx:pt idx="64">Montreal</cx:pt>
          <cx:pt idx="65">Montreal</cx:pt>
          <cx:pt idx="66">Montreal</cx:pt>
          <cx:pt idx="67">Montreal</cx:pt>
          <cx:pt idx="68">Montreal</cx:pt>
          <cx:pt idx="69">Montreal</cx:pt>
          <cx:pt idx="70">Montreal</cx:pt>
          <cx:pt idx="71">Montreal</cx:pt>
          <cx:pt idx="72">Toronto</cx:pt>
          <cx:pt idx="73">Toronto</cx:pt>
          <cx:pt idx="74">Toronto</cx:pt>
          <cx:pt idx="75">Toronto</cx:pt>
          <cx:pt idx="76">Toronto</cx:pt>
          <cx:pt idx="77">Toronto</cx:pt>
          <cx:pt idx="78">Toronto</cx:pt>
          <cx:pt idx="79">Toronto</cx:pt>
          <cx:pt idx="80">Toronto</cx:pt>
          <cx:pt idx="81">Toronto</cx:pt>
          <cx:pt idx="82">Toronto</cx:pt>
          <cx:pt idx="83">Toronto</cx:pt>
          <cx:pt idx="84">Winnipeg</cx:pt>
          <cx:pt idx="85">Winnipeg</cx:pt>
          <cx:pt idx="86">Winnipeg</cx:pt>
          <cx:pt idx="87">Winnipeg</cx:pt>
          <cx:pt idx="88">Winnipeg</cx:pt>
          <cx:pt idx="89">Winnipeg</cx:pt>
          <cx:pt idx="90">Winnipeg</cx:pt>
          <cx:pt idx="91">Winnipeg</cx:pt>
          <cx:pt idx="92">Winnipeg</cx:pt>
          <cx:pt idx="93">Winnipeg</cx:pt>
          <cx:pt idx="94">Winnipeg</cx:pt>
          <cx:pt idx="95">Winnipeg</cx:pt>
          <cx:pt idx="96">Churchill</cx:pt>
          <cx:pt idx="97">Churchill</cx:pt>
          <cx:pt idx="98">Churchill</cx:pt>
          <cx:pt idx="99">Churchill</cx:pt>
          <cx:pt idx="100">Churchill</cx:pt>
          <cx:pt idx="101">Churchill</cx:pt>
          <cx:pt idx="102">Churchill</cx:pt>
          <cx:pt idx="103">Churchill</cx:pt>
          <cx:pt idx="104">Churchill</cx:pt>
          <cx:pt idx="105">Churchill</cx:pt>
          <cx:pt idx="106">Churchill</cx:pt>
          <cx:pt idx="107">Churchill</cx:pt>
          <cx:pt idx="108">Regina</cx:pt>
          <cx:pt idx="109">Regina</cx:pt>
          <cx:pt idx="110">Regina</cx:pt>
          <cx:pt idx="111">Regina</cx:pt>
          <cx:pt idx="112">Regina</cx:pt>
          <cx:pt idx="113">Regina</cx:pt>
          <cx:pt idx="114">Regina</cx:pt>
          <cx:pt idx="115">Regina</cx:pt>
          <cx:pt idx="116">Regina</cx:pt>
          <cx:pt idx="117">Regina</cx:pt>
          <cx:pt idx="118">Regina</cx:pt>
          <cx:pt idx="119">Regina</cx:pt>
          <cx:pt idx="120">Edmonton</cx:pt>
          <cx:pt idx="121">Edmonton</cx:pt>
          <cx:pt idx="122">Edmonton</cx:pt>
          <cx:pt idx="123">Edmonton</cx:pt>
          <cx:pt idx="124">Edmonton</cx:pt>
          <cx:pt idx="125">Edmonton</cx:pt>
          <cx:pt idx="126">Edmonton</cx:pt>
          <cx:pt idx="127">Edmonton</cx:pt>
          <cx:pt idx="128">Edmonton</cx:pt>
          <cx:pt idx="129">Edmonton</cx:pt>
          <cx:pt idx="130">Edmonton</cx:pt>
          <cx:pt idx="131">Edmonton</cx:pt>
          <cx:pt idx="132">Penticton</cx:pt>
          <cx:pt idx="133">Penticton</cx:pt>
          <cx:pt idx="134">Penticton</cx:pt>
          <cx:pt idx="135">Penticton</cx:pt>
          <cx:pt idx="136">Penticton</cx:pt>
          <cx:pt idx="137">Penticton</cx:pt>
          <cx:pt idx="138">Penticton</cx:pt>
          <cx:pt idx="139">Penticton</cx:pt>
          <cx:pt idx="140">Penticton</cx:pt>
          <cx:pt idx="141">Penticton</cx:pt>
          <cx:pt idx="142">Penticton</cx:pt>
          <cx:pt idx="143">Penticton</cx:pt>
          <cx:pt idx="144">Vancouver</cx:pt>
          <cx:pt idx="145">Vancouver</cx:pt>
          <cx:pt idx="146">Vancouver</cx:pt>
          <cx:pt idx="147">Vancouver</cx:pt>
          <cx:pt idx="148">Vancouver</cx:pt>
          <cx:pt idx="149">Vancouver</cx:pt>
          <cx:pt idx="150">Vancouver</cx:pt>
          <cx:pt idx="151">Vancouver</cx:pt>
          <cx:pt idx="152">Vancouver</cx:pt>
          <cx:pt idx="153">Vancouver</cx:pt>
          <cx:pt idx="154">Vancouver</cx:pt>
          <cx:pt idx="155">Vancouver</cx:pt>
          <cx:pt idx="156">Prince Rupert</cx:pt>
          <cx:pt idx="157">Prince Rupert</cx:pt>
          <cx:pt idx="158">Prince Rupert</cx:pt>
          <cx:pt idx="159">Prince Rupert</cx:pt>
          <cx:pt idx="160">Prince Rupert</cx:pt>
          <cx:pt idx="161">Prince Rupert</cx:pt>
          <cx:pt idx="162">Prince Rupert</cx:pt>
          <cx:pt idx="163">Prince Rupert</cx:pt>
          <cx:pt idx="164">Prince Rupert</cx:pt>
          <cx:pt idx="165">Prince Rupert</cx:pt>
          <cx:pt idx="166">Prince Rupert</cx:pt>
          <cx:pt idx="167">Prince Rupert</cx:pt>
          <cx:pt idx="168">Yellowknife</cx:pt>
          <cx:pt idx="169">Yellowknife</cx:pt>
          <cx:pt idx="170">Yellowknife</cx:pt>
          <cx:pt idx="171">Yellowknife</cx:pt>
          <cx:pt idx="172">Yellowknife</cx:pt>
          <cx:pt idx="173">Yellowknife</cx:pt>
          <cx:pt idx="174">Yellowknife</cx:pt>
          <cx:pt idx="175">Yellowknife</cx:pt>
          <cx:pt idx="176">Yellowknife</cx:pt>
          <cx:pt idx="177">Yellowknife</cx:pt>
          <cx:pt idx="178">Yellowknife</cx:pt>
          <cx:pt idx="179">Yellowknife</cx:pt>
          <cx:pt idx="180">Whitehorse</cx:pt>
          <cx:pt idx="181">Whitehorse</cx:pt>
          <cx:pt idx="182">Whitehorse</cx:pt>
          <cx:pt idx="183">Whitehorse</cx:pt>
          <cx:pt idx="184">Whitehorse</cx:pt>
          <cx:pt idx="185">Whitehorse</cx:pt>
          <cx:pt idx="186">Whitehorse</cx:pt>
          <cx:pt idx="187">Whitehorse</cx:pt>
          <cx:pt idx="188">Whitehorse</cx:pt>
          <cx:pt idx="189">Whitehorse</cx:pt>
          <cx:pt idx="190">Whitehorse</cx:pt>
          <cx:pt idx="191">Whitehorse</cx:pt>
          <cx:pt idx="192">Resolute</cx:pt>
          <cx:pt idx="193">Resolute</cx:pt>
          <cx:pt idx="194">Resolute</cx:pt>
          <cx:pt idx="195">Resolute</cx:pt>
          <cx:pt idx="196">Resolute</cx:pt>
          <cx:pt idx="197">Resolute</cx:pt>
          <cx:pt idx="198">Resolute</cx:pt>
          <cx:pt idx="199">Resolute</cx:pt>
          <cx:pt idx="200">Resolute</cx:pt>
          <cx:pt idx="201">Resolute</cx:pt>
          <cx:pt idx="202">Resolute</cx:pt>
          <cx:pt idx="203">Resolute</cx:pt>
        </cx:lvl>
      </cx:strDim>
      <cx:numDim type="val">
        <cx:f>Sheet1!$B$2:$B$205</cx:f>
        <cx:lvl ptCount="204" formatCode="General">
          <cx:pt idx="0">156</cx:pt>
          <cx:pt idx="1">140</cx:pt>
          <cx:pt idx="2">132</cx:pt>
          <cx:pt idx="3">116</cx:pt>
          <cx:pt idx="4">102</cx:pt>
          <cx:pt idx="5">86</cx:pt>
          <cx:pt idx="6">75</cx:pt>
          <cx:pt idx="7">122</cx:pt>
          <cx:pt idx="8">117</cx:pt>
          <cx:pt idx="9">145</cx:pt>
          <cx:pt idx="10">162</cx:pt>
          <cx:pt idx="11">161</cx:pt>
          <cx:pt idx="12">117</cx:pt>
          <cx:pt idx="13">97</cx:pt>
          <cx:pt idx="14">95</cx:pt>
          <cx:pt idx="15">82</cx:pt>
          <cx:pt idx="16">84</cx:pt>
          <cx:pt idx="17">80</cx:pt>
          <cx:pt idx="18">84</cx:pt>
          <cx:pt idx="19">88</cx:pt>
          <cx:pt idx="20">86</cx:pt>
          <cx:pt idx="21">106</cx:pt>
          <cx:pt idx="22">121</cx:pt>
          <cx:pt idx="23">129</cx:pt>
          <cx:pt idx="24">153</cx:pt>
          <cx:pt idx="25">133</cx:pt>
          <cx:pt idx="26">128</cx:pt>
          <cx:pt idx="27">115</cx:pt>
          <cx:pt idx="28">106</cx:pt>
          <cx:pt idx="29">90</cx:pt>
          <cx:pt idx="30">95</cx:pt>
          <cx:pt idx="31">111</cx:pt>
          <cx:pt idx="32">94</cx:pt>
          <cx:pt idx="33">133</cx:pt>
          <cx:pt idx="34">152</cx:pt>
          <cx:pt idx="35">180</cx:pt>
          <cx:pt idx="36">149</cx:pt>
          <cx:pt idx="37">116</cx:pt>
          <cx:pt idx="38">114</cx:pt>
          <cx:pt idx="39">107</cx:pt>
          <cx:pt idx="40">108</cx:pt>
          <cx:pt idx="41">94</cx:pt>
          <cx:pt idx="42">103</cx:pt>
          <cx:pt idx="43">102</cx:pt>
          <cx:pt idx="44">112</cx:pt>
          <cx:pt idx="45">128</cx:pt>
          <cx:pt idx="46">145</cx:pt>
          <cx:pt idx="47">166</cx:pt>
          <cx:pt idx="48">95</cx:pt>
          <cx:pt idx="49">80</cx:pt>
          <cx:pt idx="50">83</cx:pt>
          <cx:pt idx="51">78</cx:pt>
          <cx:pt idx="52">84</cx:pt>
          <cx:pt idx="53">90</cx:pt>
          <cx:pt idx="54">97</cx:pt>
          <cx:pt idx="55">104</cx:pt>
          <cx:pt idx="56">112</cx:pt>
          <cx:pt idx="57">96</cx:pt>
          <cx:pt idx="58">100</cx:pt>
          <cx:pt idx="59">104</cx:pt>
          <cx:pt idx="60">72</cx:pt>
          <cx:pt idx="61">65</cx:pt>
          <cx:pt idx="62">74</cx:pt>
          <cx:pt idx="63">74</cx:pt>
          <cx:pt idx="64">65</cx:pt>
          <cx:pt idx="65">82</cx:pt>
          <cx:pt idx="66">90</cx:pt>
          <cx:pt idx="67">91</cx:pt>
          <cx:pt idx="68">88</cx:pt>
          <cx:pt idx="69">75</cx:pt>
          <cx:pt idx="70">81</cx:pt>
          <cx:pt idx="71">87</cx:pt>
          <cx:pt idx="72">50</cx:pt>
          <cx:pt idx="73">46</cx:pt>
          <cx:pt idx="74">61</cx:pt>
          <cx:pt idx="75">70</cx:pt>
          <cx:pt idx="76">66</cx:pt>
          <cx:pt idx="77">67</cx:pt>
          <cx:pt idx="78">71</cx:pt>
          <cx:pt idx="79">77</cx:pt>
          <cx:pt idx="80">63</cx:pt>
          <cx:pt idx="81">62</cx:pt>
          <cx:pt idx="82">63</cx:pt>
          <cx:pt idx="83">65</cx:pt>
          <cx:pt idx="84">21</cx:pt>
          <cx:pt idx="85">17</cx:pt>
          <cx:pt idx="86">22</cx:pt>
          <cx:pt idx="87">38</cx:pt>
          <cx:pt idx="88">65</cx:pt>
          <cx:pt idx="89">80</cx:pt>
          <cx:pt idx="90">76</cx:pt>
          <cx:pt idx="91">75</cx:pt>
          <cx:pt idx="92">53</cx:pt>
          <cx:pt idx="93">31</cx:pt>
          <cx:pt idx="94">25</cx:pt>
          <cx:pt idx="95">19</cx:pt>
          <cx:pt idx="96">15</cx:pt>
          <cx:pt idx="97">13</cx:pt>
          <cx:pt idx="98">18</cx:pt>
          <cx:pt idx="99">23</cx:pt>
          <cx:pt idx="100">32</cx:pt>
          <cx:pt idx="101">43</cx:pt>
          <cx:pt idx="102">46</cx:pt>
          <cx:pt idx="103">58</cx:pt>
          <cx:pt idx="104">51</cx:pt>
          <cx:pt idx="105">43</cx:pt>
          <cx:pt idx="106">39</cx:pt>
          <cx:pt idx="107">21</cx:pt>
          <cx:pt idx="108">17</cx:pt>
          <cx:pt idx="109">16</cx:pt>
          <cx:pt idx="110">18</cx:pt>
          <cx:pt idx="111">24</cx:pt>
          <cx:pt idx="112">46</cx:pt>
          <cx:pt idx="113">80</cx:pt>
          <cx:pt idx="114">53</cx:pt>
          <cx:pt idx="115">45</cx:pt>
          <cx:pt idx="116">37</cx:pt>
          <cx:pt idx="117">19</cx:pt>
          <cx:pt idx="118">13</cx:pt>
          <cx:pt idx="119">17</cx:pt>
          <cx:pt idx="120">25</cx:pt>
          <cx:pt idx="121">19</cx:pt>
          <cx:pt idx="122">18</cx:pt>
          <cx:pt idx="123">22</cx:pt>
          <cx:pt idx="124">42</cx:pt>
          <cx:pt idx="125">77</cx:pt>
          <cx:pt idx="126">89</cx:pt>
          <cx:pt idx="127">78</cx:pt>
          <cx:pt idx="128">39</cx:pt>
          <cx:pt idx="129">17</cx:pt>
          <cx:pt idx="130">16</cx:pt>
          <cx:pt idx="131">25</cx:pt>
          <cx:pt idx="132">32</cx:pt>
          <cx:pt idx="133">20</cx:pt>
          <cx:pt idx="134">17</cx:pt>
          <cx:pt idx="135">21</cx:pt>
          <cx:pt idx="136">29</cx:pt>
          <cx:pt idx="137">28</cx:pt>
          <cx:pt idx="138">21</cx:pt>
          <cx:pt idx="139">26</cx:pt>
          <cx:pt idx="140">18</cx:pt>
          <cx:pt idx="141">15</cx:pt>
          <cx:pt idx="142">24</cx:pt>
          <cx:pt idx="143">31</cx:pt>
          <cx:pt idx="144">154</cx:pt>
          <cx:pt idx="145">115</cx:pt>
          <cx:pt idx="146">101</cx:pt>
          <cx:pt idx="147">60</cx:pt>
          <cx:pt idx="148">52</cx:pt>
          <cx:pt idx="149">45</cx:pt>
          <cx:pt idx="150">32</cx:pt>
          <cx:pt idx="151">41</cx:pt>
          <cx:pt idx="152">67</cx:pt>
          <cx:pt idx="153">114</cx:pt>
          <cx:pt idx="154">150</cx:pt>
          <cx:pt idx="155">182</cx:pt>
          <cx:pt idx="156">227</cx:pt>
          <cx:pt idx="157">222</cx:pt>
          <cx:pt idx="158">201</cx:pt>
          <cx:pt idx="159">190</cx:pt>
          <cx:pt idx="160">139</cx:pt>
          <cx:pt idx="161">129</cx:pt>
          <cx:pt idx="162">103</cx:pt>
          <cx:pt idx="163">158</cx:pt>
          <cx:pt idx="164">233</cx:pt>
          <cx:pt idx="165">366</cx:pt>
          <cx:pt idx="166">268</cx:pt>
          <cx:pt idx="167">284</cx:pt>
          <cx:pt idx="168">13</cx:pt>
          <cx:pt idx="169">11</cx:pt>
          <cx:pt idx="170">12</cx:pt>
          <cx:pt idx="171">10</cx:pt>
          <cx:pt idx="172">17</cx:pt>
          <cx:pt idx="173">17</cx:pt>
          <cx:pt idx="174">34</cx:pt>
          <cx:pt idx="175">44</cx:pt>
          <cx:pt idx="176">30</cx:pt>
          <cx:pt idx="177">34</cx:pt>
          <cx:pt idx="178">24</cx:pt>
          <cx:pt idx="179">18</cx:pt>
          <cx:pt idx="180">18</cx:pt>
          <cx:pt idx="181">13</cx:pt>
          <cx:pt idx="182">13</cx:pt>
          <cx:pt idx="183">9</cx:pt>
          <cx:pt idx="184">13</cx:pt>
          <cx:pt idx="185">31</cx:pt>
          <cx:pt idx="186">34</cx:pt>
          <cx:pt idx="187">38</cx:pt>
          <cx:pt idx="188">30</cx:pt>
          <cx:pt idx="189">21</cx:pt>
          <cx:pt idx="190">20</cx:pt>
          <cx:pt idx="191">20</cx:pt>
          <cx:pt idx="192">3</cx:pt>
          <cx:pt idx="193">3</cx:pt>
          <cx:pt idx="194">3</cx:pt>
          <cx:pt idx="195">6</cx:pt>
          <cx:pt idx="196">8</cx:pt>
          <cx:pt idx="197">12</cx:pt>
          <cx:pt idx="198">22</cx:pt>
          <cx:pt idx="199">31</cx:pt>
          <cx:pt idx="200">18</cx:pt>
          <cx:pt idx="201">14</cx:pt>
          <cx:pt idx="202">6</cx:pt>
          <cx:pt idx="203">5</cx:pt>
        </cx:lvl>
      </cx:numDim>
    </cx:data>
  </cx:chartData>
  <cx:chart>
    <cx:title pos="t" align="ctr" overlay="0">
      <cx:tx>
        <cx:txData>
          <cx:v>Mean Monthly Precipitation (mm) at Stations across Canada</cx:v>
        </cx:txData>
      </cx:tx>
      <cx:txPr>
        <a:bodyPr spcFirstLastPara="1" vertOverflow="ellipsis" horzOverflow="overflow" wrap="square" lIns="0" tIns="0" rIns="0" bIns="0" anchor="ctr" anchorCtr="1"/>
        <a:lstStyle/>
        <a:p>
          <a:pPr algn="ctr" rtl="0">
            <a:defRPr/>
          </a:pPr>
          <a:r>
            <a:rPr lang="en-US" sz="1400" b="0" i="0" u="none" strike="noStrike" baseline="0">
              <a:solidFill>
                <a:sysClr val="windowText" lastClr="000000">
                  <a:lumMod val="65000"/>
                  <a:lumOff val="35000"/>
                </a:sysClr>
              </a:solidFill>
              <a:latin typeface="Calibri" panose="020F0502020204030204"/>
            </a:rPr>
            <a:t>Mean Monthly Precipitation (mm) at Stations across Canada</a:t>
          </a:r>
        </a:p>
      </cx:txPr>
    </cx:title>
    <cx:plotArea>
      <cx:plotAreaRegion>
        <cx:series layoutId="boxWhisker" uniqueId="{8FEB8324-8806-4E0B-881F-A99241354D6C}">
          <cx:tx>
            <cx:txData>
              <cx:f>Sheet1!$B$1</cx:f>
              <cx:v>Stations</cx:v>
            </cx:txData>
          </cx:tx>
          <cx:dataId val="0"/>
          <cx:layoutPr>
            <cx:visibility meanLine="0" meanMarker="1" nonoutliers="1" outliers="1"/>
            <cx:statistics quartileMethod="exclusive"/>
          </cx:layoutPr>
        </cx:series>
      </cx:plotAreaRegion>
      <cx:axis id="0">
        <cx:catScaling gapWidth="1"/>
        <cx:title>
          <cx:tx>
            <cx:txData>
              <cx:v>Stations</cx:v>
            </cx:txData>
          </cx:tx>
          <cx:txPr>
            <a:bodyPr spcFirstLastPara="1" vertOverflow="ellipsis" horzOverflow="overflow" wrap="square" lIns="0" tIns="0" rIns="0" bIns="0" anchor="ctr" anchorCtr="1"/>
            <a:lstStyle/>
            <a:p>
              <a:pPr algn="ctr" rtl="0">
                <a:defRPr/>
              </a:pPr>
              <a:r>
                <a:rPr lang="en-US" sz="900" b="0" i="0" u="none" strike="noStrike" baseline="0">
                  <a:solidFill>
                    <a:sysClr val="windowText" lastClr="000000">
                      <a:lumMod val="65000"/>
                      <a:lumOff val="35000"/>
                    </a:sysClr>
                  </a:solidFill>
                  <a:latin typeface="Calibri" panose="020F0502020204030204"/>
                </a:rPr>
                <a:t>Stations</a:t>
              </a:r>
            </a:p>
          </cx:txPr>
        </cx:title>
        <cx:tickLabels/>
      </cx:axis>
      <cx:axis id="1">
        <cx:valScaling/>
        <cx:title>
          <cx:tx>
            <cx:txData>
              <cx:v>Precipitation (mm)</cx:v>
            </cx:txData>
          </cx:tx>
          <cx:txPr>
            <a:bodyPr spcFirstLastPara="1" vertOverflow="ellipsis" horzOverflow="overflow" wrap="square" lIns="0" tIns="0" rIns="0" bIns="0" anchor="ctr" anchorCtr="1"/>
            <a:lstStyle/>
            <a:p>
              <a:pPr algn="ctr" rtl="0">
                <a:defRPr/>
              </a:pPr>
              <a:r>
                <a:rPr lang="en-US" sz="900" b="0" i="0" u="none" strike="noStrike" baseline="0">
                  <a:solidFill>
                    <a:sysClr val="windowText" lastClr="000000">
                      <a:lumMod val="65000"/>
                      <a:lumOff val="35000"/>
                    </a:sysClr>
                  </a:solidFill>
                  <a:latin typeface="Calibri" panose="020F0502020204030204"/>
                </a:rPr>
                <a:t>Precipitation (mm)</a:t>
              </a:r>
            </a:p>
          </cx:txPr>
        </cx:title>
        <cx:majorGridlines/>
        <cx:tickLabels/>
      </cx:axis>
    </cx:plotArea>
  </cx:chart>
</cx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40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/>
  </cs:chartArea>
  <cs:dataLabel>
    <cs:lnRef idx="0"/>
    <cs:fillRef idx="0"/>
    <cs:effectRef idx="0"/>
    <cs:fontRef idx="minor">
      <a:schemeClr val="tx1">
        <a:lumMod val="65000"/>
        <a:lumOff val="35000"/>
      </a:schemeClr>
    </cs:fontRef>
    <cs:defRPr sz="9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>
      <cs:styleClr val="auto"/>
    </cs:lnRef>
    <cs:fillRef idx="0">
      <cs:styleClr val="auto"/>
    </cs:fillRef>
    <cs:effectRef idx="0"/>
    <cs:fontRef idx="minor">
      <a:schemeClr val="tx1"/>
    </cs:fontRef>
    <cs:spPr>
      <a:solidFill>
        <a:schemeClr val="phClr"/>
      </a:solidFill>
      <a:ln>
        <a:solidFill>
          <a:schemeClr val="phClr"/>
        </a:solidFill>
      </a:ln>
    </cs:spPr>
  </cs:dataPoint>
  <cs:dataPoint3D>
    <cs:lnRef idx="0"/>
    <cs:fillRef idx="0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lt1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ln w="9525">
        <a:solidFill>
          <a:schemeClr val="tx1">
            <a:lumMod val="15000"/>
            <a:lumOff val="85000"/>
          </a:schemeClr>
        </a:solidFill>
      </a:ln>
    </cs:spPr>
    <cs:defRPr sz="9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/>
  </cs:seriesAxis>
  <cs:seriesLine>
    <cs:lnRef idx="0"/>
    <cs:fillRef idx="0"/>
    <cs:effectRef idx="0"/>
    <cs:fontRef idx="minor">
      <a:schemeClr val="tx1"/>
    </cs:fontRef>
    <cs:spPr>
      <a:ln w="9525" cap="flat">
        <a:solidFill>
          <a:srgbClr val="D9D9D9"/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/>
  </cs:valueAxis>
  <cs:wall>
    <cs:lnRef idx="0"/>
    <cs:fillRef idx="0"/>
    <cs:effectRef idx="0"/>
    <cs:fontRef idx="minor">
      <a:schemeClr val="tx1"/>
    </cs:fontRef>
  </cs:wall>
</cs:chartStyle>
</file>

<file path=word/charts/style2.xml><?xml version="1.0" encoding="utf-8"?>
<cs:chartStyle xmlns:cs="http://schemas.microsoft.com/office/drawing/2012/chartStyle" xmlns:a="http://schemas.openxmlformats.org/drawingml/2006/main" id="40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/>
  </cs:chartArea>
  <cs:dataLabel>
    <cs:lnRef idx="0"/>
    <cs:fillRef idx="0"/>
    <cs:effectRef idx="0"/>
    <cs:fontRef idx="minor">
      <a:schemeClr val="tx1">
        <a:lumMod val="65000"/>
        <a:lumOff val="35000"/>
      </a:schemeClr>
    </cs:fontRef>
    <cs:defRPr sz="9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>
      <cs:styleClr val="auto"/>
    </cs:lnRef>
    <cs:fillRef idx="0">
      <cs:styleClr val="auto"/>
    </cs:fillRef>
    <cs:effectRef idx="0"/>
    <cs:fontRef idx="minor">
      <a:schemeClr val="tx1"/>
    </cs:fontRef>
    <cs:spPr>
      <a:solidFill>
        <a:schemeClr val="phClr"/>
      </a:solidFill>
      <a:ln>
        <a:solidFill>
          <a:schemeClr val="phClr"/>
        </a:solidFill>
      </a:ln>
    </cs:spPr>
  </cs:dataPoint>
  <cs:dataPoint3D>
    <cs:lnRef idx="0"/>
    <cs:fillRef idx="0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lt1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ln w="9525">
        <a:solidFill>
          <a:schemeClr val="tx1">
            <a:lumMod val="15000"/>
            <a:lumOff val="85000"/>
          </a:schemeClr>
        </a:solidFill>
      </a:ln>
    </cs:spPr>
    <cs:defRPr sz="9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/>
  </cs:seriesAxis>
  <cs:seriesLine>
    <cs:lnRef idx="0"/>
    <cs:fillRef idx="0"/>
    <cs:effectRef idx="0"/>
    <cs:fontRef idx="minor">
      <a:schemeClr val="tx1"/>
    </cs:fontRef>
    <cs:spPr>
      <a:ln w="9525" cap="flat">
        <a:solidFill>
          <a:srgbClr val="D9D9D9"/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/>
  </cs:valueAxis>
  <cs:wall>
    <cs:lnRef idx="0"/>
    <cs:fillRef idx="0"/>
    <cs:effectRef idx="0"/>
    <cs:fontRef idx="minor">
      <a:schemeClr val="tx1"/>
    </cs:fontRef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E85B2C7F8CFC346AB225335FF06A738" ma:contentTypeVersion="2" ma:contentTypeDescription="Create a new document." ma:contentTypeScope="" ma:versionID="701da7e7108638355f7fd54fae087f35">
  <xsd:schema xmlns:xsd="http://www.w3.org/2001/XMLSchema" xmlns:xs="http://www.w3.org/2001/XMLSchema" xmlns:p="http://schemas.microsoft.com/office/2006/metadata/properties" xmlns:ns3="62ad7a2d-c972-4b45-9ece-d936b1baa45d" targetNamespace="http://schemas.microsoft.com/office/2006/metadata/properties" ma:root="true" ma:fieldsID="06abf234a3102f6ce7dccb553b4a1e23" ns3:_="">
    <xsd:import namespace="62ad7a2d-c972-4b45-9ece-d936b1baa45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ad7a2d-c972-4b45-9ece-d936b1baa45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525277-ABF0-4A8D-AF72-BABF3D28A26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9612CB2-5E88-462F-B734-7B68CE9D36E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2ad7a2d-c972-4b45-9ece-d936b1baa45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814F8E8-11D6-461D-9771-02011C74B214}">
  <ds:schemaRefs>
    <ds:schemaRef ds:uri="http://schemas.microsoft.com/office/2006/metadata/properties"/>
    <ds:schemaRef ds:uri="http://purl.org/dc/elements/1.1/"/>
    <ds:schemaRef ds:uri="62ad7a2d-c972-4b45-9ece-d936b1baa45d"/>
    <ds:schemaRef ds:uri="http://schemas.openxmlformats.org/package/2006/metadata/core-properties"/>
    <ds:schemaRef ds:uri="http://purl.org/dc/terms/"/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4C7DADFC-DACD-49AC-A73F-C40F65C8DC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</Words>
  <Characters>46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 W</dc:creator>
  <cp:keywords/>
  <dc:description/>
  <cp:lastModifiedBy>Bea W</cp:lastModifiedBy>
  <cp:revision>2</cp:revision>
  <dcterms:created xsi:type="dcterms:W3CDTF">2019-10-16T21:04:00Z</dcterms:created>
  <dcterms:modified xsi:type="dcterms:W3CDTF">2019-10-16T21:04:00Z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0x0101003E85B2C7F8CFC346AB225335FF06A738</vt:lpwstr>
  </property>
</Properties>
</file>