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1C40" w:rsidRPr="00A25EF2" w:rsidRDefault="00425189" w:rsidP="00425189">
      <w:pPr>
        <w:rPr>
          <w:rFonts w:ascii="Calibri" w:hAnsi="Calibri" w:cs="Calibri"/>
          <w:b/>
        </w:rPr>
      </w:pPr>
      <w:r w:rsidRPr="00A25EF2">
        <w:rPr>
          <w:rFonts w:ascii="Calibri" w:hAnsi="Calibri" w:cs="Calibri"/>
          <w:b/>
        </w:rPr>
        <w:t>Environmental Law Review</w:t>
      </w:r>
    </w:p>
    <w:p w:rsidR="00425189" w:rsidRPr="00EF675D" w:rsidRDefault="00425189" w:rsidP="00425189">
      <w:pPr>
        <w:rPr>
          <w:rFonts w:ascii="Calibri" w:hAnsi="Calibri" w:cs="Calibri"/>
        </w:rPr>
      </w:pPr>
    </w:p>
    <w:p w:rsidR="00425189" w:rsidRPr="00EF675D" w:rsidRDefault="00425189" w:rsidP="00425189">
      <w:pPr>
        <w:autoSpaceDE w:val="0"/>
        <w:autoSpaceDN w:val="0"/>
        <w:adjustRightInd w:val="0"/>
        <w:rPr>
          <w:rFonts w:ascii="Calibri" w:hAnsi="Calibri" w:cs="Calibri"/>
        </w:rPr>
      </w:pPr>
      <w:r w:rsidRPr="00EF675D">
        <w:rPr>
          <w:rFonts w:ascii="Calibri" w:hAnsi="Calibri" w:cs="Calibri"/>
        </w:rPr>
        <w:t>3 questions:</w:t>
      </w:r>
    </w:p>
    <w:p w:rsidR="00425189" w:rsidRPr="00EF675D" w:rsidRDefault="00425189" w:rsidP="00425189">
      <w:pPr>
        <w:autoSpaceDE w:val="0"/>
        <w:autoSpaceDN w:val="0"/>
        <w:adjustRightInd w:val="0"/>
        <w:rPr>
          <w:rFonts w:ascii="Calibri" w:hAnsi="Calibri" w:cs="Calibri"/>
        </w:rPr>
      </w:pPr>
    </w:p>
    <w:p w:rsidR="00425189" w:rsidRPr="00EF675D" w:rsidRDefault="00425189" w:rsidP="00425189">
      <w:pPr>
        <w:pStyle w:val="ListParagraph"/>
        <w:numPr>
          <w:ilvl w:val="0"/>
          <w:numId w:val="2"/>
        </w:numPr>
        <w:rPr>
          <w:rFonts w:ascii="Calibri" w:hAnsi="Calibri" w:cs="Calibri"/>
        </w:rPr>
      </w:pPr>
      <w:r w:rsidRPr="00EF675D">
        <w:rPr>
          <w:rFonts w:ascii="Calibri" w:hAnsi="Calibri" w:cs="Calibri"/>
        </w:rPr>
        <w:t xml:space="preserve">2hours </w:t>
      </w:r>
    </w:p>
    <w:p w:rsidR="00425189" w:rsidRPr="00EF675D" w:rsidRDefault="00425189" w:rsidP="00425189">
      <w:pPr>
        <w:pStyle w:val="ListParagraph"/>
        <w:numPr>
          <w:ilvl w:val="0"/>
          <w:numId w:val="2"/>
        </w:numPr>
        <w:rPr>
          <w:rFonts w:ascii="Calibri" w:hAnsi="Calibri" w:cs="Calibri"/>
        </w:rPr>
      </w:pPr>
      <w:r w:rsidRPr="00EF675D">
        <w:rPr>
          <w:rFonts w:ascii="Calibri" w:hAnsi="Calibri" w:cs="Calibri"/>
        </w:rPr>
        <w:t xml:space="preserve">Equally valued </w:t>
      </w:r>
    </w:p>
    <w:p w:rsidR="00425189" w:rsidRPr="00EF675D" w:rsidRDefault="00425189" w:rsidP="00425189">
      <w:pPr>
        <w:pStyle w:val="ListParagraph"/>
        <w:numPr>
          <w:ilvl w:val="0"/>
          <w:numId w:val="2"/>
        </w:numPr>
        <w:rPr>
          <w:rFonts w:ascii="Calibri" w:hAnsi="Calibri" w:cs="Calibri"/>
        </w:rPr>
      </w:pPr>
      <w:r w:rsidRPr="00EF675D">
        <w:rPr>
          <w:rFonts w:ascii="Calibri" w:hAnsi="Calibri" w:cs="Calibri"/>
        </w:rPr>
        <w:t>Areas to study:</w:t>
      </w:r>
    </w:p>
    <w:p w:rsidR="00425189" w:rsidRPr="00EF675D" w:rsidRDefault="00425189" w:rsidP="00425189">
      <w:pPr>
        <w:pStyle w:val="ListParagraph"/>
        <w:numPr>
          <w:ilvl w:val="1"/>
          <w:numId w:val="2"/>
        </w:numPr>
        <w:rPr>
          <w:rFonts w:ascii="Calibri" w:hAnsi="Calibri" w:cs="Calibri"/>
        </w:rPr>
      </w:pPr>
      <w:bookmarkStart w:id="0" w:name="_GoBack"/>
      <w:bookmarkEnd w:id="0"/>
      <w:r w:rsidRPr="00EF675D">
        <w:rPr>
          <w:rFonts w:ascii="Calibri" w:hAnsi="Calibri" w:cs="Calibri"/>
        </w:rPr>
        <w:t>Constitution</w:t>
      </w:r>
    </w:p>
    <w:p w:rsidR="00425189" w:rsidRPr="00EF675D" w:rsidRDefault="00425189" w:rsidP="00425189">
      <w:pPr>
        <w:pStyle w:val="ListParagraph"/>
        <w:numPr>
          <w:ilvl w:val="1"/>
          <w:numId w:val="2"/>
        </w:numPr>
        <w:rPr>
          <w:rFonts w:ascii="Calibri" w:hAnsi="Calibri" w:cs="Calibri"/>
        </w:rPr>
      </w:pPr>
      <w:r w:rsidRPr="00EF675D">
        <w:rPr>
          <w:rFonts w:ascii="Calibri" w:hAnsi="Calibri" w:cs="Calibri"/>
        </w:rPr>
        <w:t xml:space="preserve">Regulatory </w:t>
      </w:r>
    </w:p>
    <w:p w:rsidR="00425189" w:rsidRPr="00EF675D" w:rsidRDefault="00425189" w:rsidP="00425189">
      <w:pPr>
        <w:pStyle w:val="ListParagraph"/>
        <w:numPr>
          <w:ilvl w:val="1"/>
          <w:numId w:val="2"/>
        </w:numPr>
        <w:rPr>
          <w:rFonts w:ascii="Calibri" w:hAnsi="Calibri" w:cs="Calibri"/>
        </w:rPr>
      </w:pPr>
      <w:r w:rsidRPr="00EF675D">
        <w:rPr>
          <w:rFonts w:ascii="Calibri" w:hAnsi="Calibri" w:cs="Calibri"/>
        </w:rPr>
        <w:t>Precautionary principle</w:t>
      </w:r>
    </w:p>
    <w:p w:rsidR="00425189" w:rsidRPr="00EF675D" w:rsidRDefault="00425189" w:rsidP="00425189">
      <w:pPr>
        <w:pStyle w:val="ListParagraph"/>
        <w:ind w:left="0"/>
        <w:rPr>
          <w:rFonts w:ascii="Calibri" w:hAnsi="Calibri" w:cs="Calibri"/>
        </w:rPr>
      </w:pPr>
    </w:p>
    <w:p w:rsidR="00425189" w:rsidRPr="00EF675D" w:rsidRDefault="00425189" w:rsidP="00425189">
      <w:pPr>
        <w:rPr>
          <w:rFonts w:ascii="Calibri" w:hAnsi="Calibri" w:cs="Calibri"/>
          <w:u w:val="single"/>
        </w:rPr>
      </w:pPr>
      <w:r w:rsidRPr="00EF675D">
        <w:rPr>
          <w:rFonts w:ascii="Calibri" w:hAnsi="Calibri" w:cs="Calibri"/>
          <w:u w:val="single"/>
        </w:rPr>
        <w:t>Constitution (env</w:t>
      </w:r>
      <w:r w:rsidR="00EF6F62">
        <w:rPr>
          <w:rFonts w:ascii="Calibri" w:hAnsi="Calibri" w:cs="Calibri"/>
          <w:u w:val="single"/>
        </w:rPr>
        <w:t xml:space="preserve">ironment </w:t>
      </w:r>
      <w:r w:rsidRPr="00EF675D">
        <w:rPr>
          <w:rFonts w:ascii="Calibri" w:hAnsi="Calibri" w:cs="Calibri"/>
          <w:u w:val="single"/>
        </w:rPr>
        <w:t>and human health)</w:t>
      </w:r>
    </w:p>
    <w:p w:rsidR="00425189" w:rsidRPr="00EF675D" w:rsidRDefault="00425189" w:rsidP="00425189">
      <w:pPr>
        <w:rPr>
          <w:rFonts w:ascii="Calibri" w:hAnsi="Calibri" w:cs="Calibri"/>
          <w:u w:val="single"/>
        </w:rPr>
      </w:pPr>
    </w:p>
    <w:p w:rsidR="00CA333D" w:rsidRPr="00EF675D" w:rsidRDefault="00CA333D" w:rsidP="00CA333D">
      <w:pPr>
        <w:pStyle w:val="ListParagraph"/>
        <w:numPr>
          <w:ilvl w:val="0"/>
          <w:numId w:val="4"/>
        </w:numPr>
        <w:spacing w:after="120" w:line="259" w:lineRule="auto"/>
        <w:rPr>
          <w:rFonts w:ascii="Calibri" w:hAnsi="Calibri" w:cs="Calibri"/>
        </w:rPr>
      </w:pPr>
      <w:r w:rsidRPr="00EF675D">
        <w:rPr>
          <w:rFonts w:ascii="Calibri" w:hAnsi="Calibri" w:cs="Calibri"/>
        </w:rPr>
        <w:t>Constitutional Act – POGG</w:t>
      </w:r>
    </w:p>
    <w:p w:rsidR="00CA333D" w:rsidRPr="00EF675D" w:rsidRDefault="00CA333D" w:rsidP="00CA333D">
      <w:pPr>
        <w:pStyle w:val="ListParagraph"/>
        <w:numPr>
          <w:ilvl w:val="1"/>
          <w:numId w:val="4"/>
        </w:numPr>
        <w:spacing w:after="120" w:line="259" w:lineRule="auto"/>
        <w:rPr>
          <w:rFonts w:ascii="Calibri" w:hAnsi="Calibri" w:cs="Calibri"/>
        </w:rPr>
      </w:pPr>
      <w:r w:rsidRPr="00EF675D">
        <w:rPr>
          <w:rFonts w:ascii="Calibri" w:hAnsi="Calibri" w:cs="Calibri"/>
        </w:rPr>
        <w:t xml:space="preserve">Peace </w:t>
      </w:r>
      <w:r w:rsidRPr="00EF675D">
        <w:rPr>
          <w:rFonts w:ascii="Calibri" w:hAnsi="Calibri" w:cs="Calibri"/>
        </w:rPr>
        <w:t>O</w:t>
      </w:r>
      <w:r w:rsidRPr="00EF675D">
        <w:rPr>
          <w:rFonts w:ascii="Calibri" w:hAnsi="Calibri" w:cs="Calibri"/>
        </w:rPr>
        <w:t xml:space="preserve">rder and </w:t>
      </w:r>
      <w:r w:rsidRPr="00EF675D">
        <w:rPr>
          <w:rFonts w:ascii="Calibri" w:hAnsi="Calibri" w:cs="Calibri"/>
        </w:rPr>
        <w:t>G</w:t>
      </w:r>
      <w:r w:rsidRPr="00EF675D">
        <w:rPr>
          <w:rFonts w:ascii="Calibri" w:hAnsi="Calibri" w:cs="Calibri"/>
        </w:rPr>
        <w:t xml:space="preserve">ood </w:t>
      </w:r>
      <w:r w:rsidRPr="00EF675D">
        <w:rPr>
          <w:rFonts w:ascii="Calibri" w:hAnsi="Calibri" w:cs="Calibri"/>
        </w:rPr>
        <w:t>G</w:t>
      </w:r>
      <w:r w:rsidRPr="00EF675D">
        <w:rPr>
          <w:rFonts w:ascii="Calibri" w:hAnsi="Calibri" w:cs="Calibri"/>
        </w:rPr>
        <w:t>overnance (POGG)</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A federal authority</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Used in situations like an outbreak of a disease</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 xml:space="preserve">Federal government powers creating environmental laws include trade and commerce, navigation and shipping, fisheries, criminal law, aboriginal lands and people, taxation, anything that is a national concern or emergency, residual power over anything not specifically covered in either list, and to make laws for the peace, order and good government of Canada (you will hear this called the “POGG clause”). </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The federal government also has control over the rules for land it owns, (like the National Parks and military bases) the industries it controls, (like railways and airlines) and the oceans.</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The federal government potentially has greater powers because of the residual power clause and the POGG clause, but most of the time the federal government has been happy to allow the provinces to play the lead role when it comes to environmental regulation</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b/>
        </w:rPr>
        <w:t>The broad language suggests that there is a comprehensive grant of residual legislative authority to the federal government.</w:t>
      </w:r>
    </w:p>
    <w:p w:rsidR="00D34351" w:rsidRPr="00B57385" w:rsidRDefault="00D34351" w:rsidP="00B57385">
      <w:pPr>
        <w:pStyle w:val="ListParagraph"/>
        <w:numPr>
          <w:ilvl w:val="2"/>
          <w:numId w:val="4"/>
        </w:numPr>
        <w:spacing w:after="120" w:line="259" w:lineRule="auto"/>
        <w:rPr>
          <w:rFonts w:ascii="Calibri" w:hAnsi="Calibri" w:cs="Calibri"/>
        </w:rPr>
      </w:pPr>
      <w:r w:rsidRPr="00EF675D">
        <w:rPr>
          <w:rFonts w:ascii="Calibri" w:hAnsi="Calibri" w:cs="Calibri"/>
        </w:rPr>
        <w:t>Singleness, distinctiveness and indivisibility</w:t>
      </w:r>
    </w:p>
    <w:p w:rsidR="00CA333D" w:rsidRPr="00EF675D" w:rsidRDefault="00CA333D" w:rsidP="00CA333D">
      <w:pPr>
        <w:pStyle w:val="ListParagraph"/>
        <w:numPr>
          <w:ilvl w:val="1"/>
          <w:numId w:val="4"/>
        </w:numPr>
        <w:spacing w:after="120" w:line="259" w:lineRule="auto"/>
        <w:rPr>
          <w:rFonts w:ascii="Calibri" w:hAnsi="Calibri" w:cs="Calibri"/>
        </w:rPr>
      </w:pPr>
      <w:r w:rsidRPr="00EF675D">
        <w:rPr>
          <w:rFonts w:ascii="Calibri" w:hAnsi="Calibri" w:cs="Calibri"/>
        </w:rPr>
        <w:t>2 branches of authority</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National concern (like a plague)</w:t>
      </w:r>
    </w:p>
    <w:p w:rsidR="00D34351" w:rsidRPr="00EF6F62" w:rsidRDefault="00CA333D" w:rsidP="00D34351">
      <w:pPr>
        <w:pStyle w:val="ListParagraph"/>
        <w:numPr>
          <w:ilvl w:val="2"/>
          <w:numId w:val="4"/>
        </w:numPr>
        <w:spacing w:after="120" w:line="259" w:lineRule="auto"/>
        <w:rPr>
          <w:rFonts w:ascii="Calibri" w:hAnsi="Calibri" w:cs="Calibri"/>
        </w:rPr>
      </w:pPr>
      <w:r w:rsidRPr="00EF675D">
        <w:rPr>
          <w:rFonts w:ascii="Calibri" w:hAnsi="Calibri" w:cs="Calibri"/>
        </w:rPr>
        <w:t>Distinctiveness (something that has never been seen before like some element of the environment)</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Example: SARS outbreak in TO</w:t>
      </w:r>
    </w:p>
    <w:p w:rsidR="00CA333D" w:rsidRPr="00EF675D" w:rsidRDefault="00CA333D" w:rsidP="00CA333D">
      <w:pPr>
        <w:pStyle w:val="ListParagraph"/>
        <w:numPr>
          <w:ilvl w:val="1"/>
          <w:numId w:val="4"/>
        </w:numPr>
        <w:spacing w:after="120" w:line="259" w:lineRule="auto"/>
        <w:rPr>
          <w:rFonts w:ascii="Calibri" w:hAnsi="Calibri" w:cs="Calibri"/>
        </w:rPr>
      </w:pPr>
      <w:r w:rsidRPr="00EF675D">
        <w:rPr>
          <w:rFonts w:ascii="Calibri" w:hAnsi="Calibri" w:cs="Calibri"/>
        </w:rPr>
        <w:t xml:space="preserve">It is the provinces that administer health care, but funding comes from the federal government </w:t>
      </w:r>
    </w:p>
    <w:p w:rsidR="00CA333D" w:rsidRPr="00EF675D" w:rsidRDefault="00CA333D" w:rsidP="00CA333D">
      <w:pPr>
        <w:pStyle w:val="ListParagraph"/>
        <w:numPr>
          <w:ilvl w:val="1"/>
          <w:numId w:val="4"/>
        </w:numPr>
        <w:spacing w:after="120" w:line="259" w:lineRule="auto"/>
        <w:rPr>
          <w:rFonts w:ascii="Calibri" w:hAnsi="Calibri" w:cs="Calibri"/>
        </w:rPr>
      </w:pPr>
      <w:r w:rsidRPr="00EF675D">
        <w:rPr>
          <w:rFonts w:ascii="Calibri" w:hAnsi="Calibri" w:cs="Calibri"/>
        </w:rPr>
        <w:lastRenderedPageBreak/>
        <w:t>The POGG authority was used during the SARS outbreak because it caused a national healthcare concern in Canada</w:t>
      </w:r>
      <w:r w:rsidRPr="00EF675D">
        <w:rPr>
          <w:rFonts w:ascii="Calibri" w:hAnsi="Calibri" w:cs="Calibri"/>
        </w:rPr>
        <w:t xml:space="preserve"> – override of the provincial powers</w:t>
      </w:r>
    </w:p>
    <w:p w:rsidR="00CA333D" w:rsidRPr="00EF675D" w:rsidRDefault="00425189" w:rsidP="00CA333D">
      <w:pPr>
        <w:pStyle w:val="ListParagraph"/>
        <w:numPr>
          <w:ilvl w:val="0"/>
          <w:numId w:val="4"/>
        </w:numPr>
        <w:rPr>
          <w:rFonts w:ascii="Calibri" w:hAnsi="Calibri" w:cs="Calibri"/>
        </w:rPr>
      </w:pPr>
      <w:r w:rsidRPr="00EF675D">
        <w:rPr>
          <w:rFonts w:ascii="Calibri" w:hAnsi="Calibri" w:cs="Calibri"/>
        </w:rPr>
        <w:t>Federal</w:t>
      </w:r>
      <w:r w:rsidR="00CA333D" w:rsidRPr="00EF675D">
        <w:rPr>
          <w:rFonts w:ascii="Calibri" w:hAnsi="Calibri" w:cs="Calibri"/>
        </w:rPr>
        <w:t xml:space="preserve"> </w:t>
      </w:r>
    </w:p>
    <w:p w:rsidR="00CA333D" w:rsidRPr="00EF675D" w:rsidRDefault="00CA333D" w:rsidP="00CA333D">
      <w:pPr>
        <w:pStyle w:val="ListParagraph"/>
        <w:numPr>
          <w:ilvl w:val="1"/>
          <w:numId w:val="4"/>
        </w:numPr>
        <w:spacing w:after="120" w:line="259" w:lineRule="auto"/>
        <w:rPr>
          <w:rFonts w:ascii="Calibri" w:hAnsi="Calibri" w:cs="Calibri"/>
        </w:rPr>
      </w:pPr>
      <w:r w:rsidRPr="00EF675D">
        <w:rPr>
          <w:rFonts w:ascii="Calibri" w:hAnsi="Calibri" w:cs="Calibri"/>
        </w:rPr>
        <w:t>S.91 – Federal – 91(27)</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“to make Laws for the Peace, Order, and good Government of Canada”</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91.27 “The Criminal Law, except the Constitution of Courts of Criminal Jurisdiction, but including the Procedure in Criminal Matters.”</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A national concern in scope</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Not used often, provincial usually takes over</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It is important to have it in case it ever needs to be used (like the SARS example)</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The idea of criminal law and the environment</w:t>
      </w:r>
    </w:p>
    <w:p w:rsidR="007D7CA9" w:rsidRPr="00EF675D" w:rsidRDefault="00D34351" w:rsidP="007D7CA9">
      <w:pPr>
        <w:pStyle w:val="ListParagraph"/>
        <w:numPr>
          <w:ilvl w:val="3"/>
          <w:numId w:val="4"/>
        </w:numPr>
        <w:spacing w:after="120" w:line="259" w:lineRule="auto"/>
        <w:rPr>
          <w:rFonts w:ascii="Calibri" w:hAnsi="Calibri" w:cs="Calibri"/>
        </w:rPr>
      </w:pPr>
      <w:r w:rsidRPr="00EF675D">
        <w:rPr>
          <w:rFonts w:ascii="Calibri" w:hAnsi="Calibri" w:cs="Calibri"/>
        </w:rPr>
        <w:t>Criminal sanctions designed to prohibit certain wrongful conduct are constitutional</w:t>
      </w:r>
      <w:r w:rsidR="007D7CA9" w:rsidRPr="00EF675D">
        <w:rPr>
          <w:rFonts w:ascii="Calibri" w:hAnsi="Calibri" w:cs="Calibri"/>
        </w:rPr>
        <w:t xml:space="preserve"> whereas sanctions used to regulate conduct are not</w:t>
      </w:r>
    </w:p>
    <w:p w:rsidR="00CA333D" w:rsidRPr="00EF675D" w:rsidRDefault="00CA333D" w:rsidP="00CA333D">
      <w:pPr>
        <w:pStyle w:val="ListParagraph"/>
        <w:numPr>
          <w:ilvl w:val="3"/>
          <w:numId w:val="4"/>
        </w:numPr>
        <w:spacing w:after="120" w:line="259" w:lineRule="auto"/>
        <w:rPr>
          <w:rFonts w:ascii="Calibri" w:hAnsi="Calibri" w:cs="Calibri"/>
        </w:rPr>
      </w:pPr>
      <w:r w:rsidRPr="00EF675D">
        <w:rPr>
          <w:rFonts w:ascii="Calibri" w:hAnsi="Calibri" w:cs="Calibri"/>
        </w:rPr>
        <w:t>Food producer, there are environmental regulation to ensure our food supply is safe</w:t>
      </w:r>
    </w:p>
    <w:p w:rsidR="00CA333D" w:rsidRPr="00EF675D" w:rsidRDefault="00CA333D" w:rsidP="00CA333D">
      <w:pPr>
        <w:pStyle w:val="ListParagraph"/>
        <w:numPr>
          <w:ilvl w:val="3"/>
          <w:numId w:val="4"/>
        </w:numPr>
        <w:spacing w:after="120" w:line="259" w:lineRule="auto"/>
        <w:rPr>
          <w:rFonts w:ascii="Calibri" w:hAnsi="Calibri" w:cs="Calibri"/>
        </w:rPr>
      </w:pPr>
      <w:r w:rsidRPr="00EF675D">
        <w:rPr>
          <w:rFonts w:ascii="Calibri" w:hAnsi="Calibri" w:cs="Calibri"/>
        </w:rPr>
        <w:t xml:space="preserve">If a company breaches these regulations, they can be held accountable criminally </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CEPA (Canadian Environmental Protections Act)</w:t>
      </w:r>
    </w:p>
    <w:p w:rsidR="00CA333D" w:rsidRPr="00EF675D" w:rsidRDefault="00CA333D" w:rsidP="00CA333D">
      <w:pPr>
        <w:pStyle w:val="ListParagraph"/>
        <w:numPr>
          <w:ilvl w:val="3"/>
          <w:numId w:val="4"/>
        </w:numPr>
        <w:spacing w:after="120" w:line="259" w:lineRule="auto"/>
        <w:rPr>
          <w:rFonts w:ascii="Calibri" w:hAnsi="Calibri" w:cs="Calibri"/>
        </w:rPr>
      </w:pPr>
      <w:r w:rsidRPr="00EF675D">
        <w:rPr>
          <w:rFonts w:ascii="Calibri" w:hAnsi="Calibri" w:cs="Calibri"/>
        </w:rPr>
        <w:t>goal is to contribute to sustainable development through pollution prevention and to protect the environment, human life and health from the risks associated with toxic substances</w:t>
      </w:r>
    </w:p>
    <w:p w:rsidR="00D34351" w:rsidRPr="00EF675D" w:rsidRDefault="00D34351" w:rsidP="00D34351">
      <w:pPr>
        <w:pStyle w:val="ListParagraph"/>
        <w:numPr>
          <w:ilvl w:val="3"/>
          <w:numId w:val="4"/>
        </w:numPr>
        <w:rPr>
          <w:rFonts w:ascii="Calibri" w:hAnsi="Calibri" w:cs="Calibri"/>
        </w:rPr>
      </w:pPr>
      <w:r w:rsidRPr="00EF675D">
        <w:rPr>
          <w:rFonts w:ascii="Calibri" w:hAnsi="Calibri" w:cs="Calibri"/>
        </w:rPr>
        <w:t>It covers a diversity of activities that can affect human health and the environment, and acts to address any pollution issues not covered by other federal laws.</w:t>
      </w:r>
    </w:p>
    <w:p w:rsidR="00D34351" w:rsidRPr="00EF675D" w:rsidRDefault="00D34351" w:rsidP="00D34351">
      <w:pPr>
        <w:pStyle w:val="ListParagraph"/>
        <w:numPr>
          <w:ilvl w:val="3"/>
          <w:numId w:val="4"/>
        </w:numPr>
        <w:rPr>
          <w:rFonts w:ascii="Calibri" w:hAnsi="Calibri" w:cs="Calibri"/>
        </w:rPr>
      </w:pPr>
      <w:r w:rsidRPr="00EF675D">
        <w:rPr>
          <w:rFonts w:ascii="Calibri" w:hAnsi="Calibri" w:cs="Calibri"/>
        </w:rPr>
        <w:t>also recognizes the contribution of pollution prevention and the management and control of toxic substances and hazardous waste to reducing threats to Canada's ecosystems and biological diversity.</w:t>
      </w:r>
    </w:p>
    <w:p w:rsidR="00CA333D" w:rsidRPr="00EF675D" w:rsidRDefault="00D34351" w:rsidP="00D34351">
      <w:pPr>
        <w:pStyle w:val="ListParagraph"/>
        <w:numPr>
          <w:ilvl w:val="3"/>
          <w:numId w:val="4"/>
        </w:numPr>
        <w:rPr>
          <w:rFonts w:ascii="Calibri" w:hAnsi="Calibri" w:cs="Calibri"/>
        </w:rPr>
      </w:pPr>
      <w:r w:rsidRPr="00EF675D">
        <w:rPr>
          <w:rFonts w:ascii="Calibri" w:hAnsi="Calibri" w:cs="Calibri"/>
        </w:rPr>
        <w:t>Section 93 of the Act provides the authority to the federal government to make regulations to restrict and manage pollution in Canada</w:t>
      </w:r>
    </w:p>
    <w:p w:rsidR="00CA333D" w:rsidRPr="00EF675D" w:rsidRDefault="00CA333D" w:rsidP="00CA333D">
      <w:pPr>
        <w:pStyle w:val="ListParagraph"/>
        <w:numPr>
          <w:ilvl w:val="2"/>
          <w:numId w:val="4"/>
        </w:numPr>
        <w:spacing w:after="120" w:line="259" w:lineRule="auto"/>
        <w:rPr>
          <w:rFonts w:ascii="Calibri" w:hAnsi="Calibri" w:cs="Calibri"/>
        </w:rPr>
      </w:pPr>
      <w:r w:rsidRPr="00EF675D">
        <w:rPr>
          <w:rFonts w:ascii="Calibri" w:hAnsi="Calibri" w:cs="Calibri"/>
        </w:rPr>
        <w:t>Hazardous Products Act</w:t>
      </w:r>
    </w:p>
    <w:p w:rsidR="00D34351" w:rsidRPr="00EF675D" w:rsidRDefault="00D34351" w:rsidP="00D34351">
      <w:pPr>
        <w:pStyle w:val="ListParagraph"/>
        <w:numPr>
          <w:ilvl w:val="3"/>
          <w:numId w:val="4"/>
        </w:numPr>
        <w:rPr>
          <w:rFonts w:ascii="Calibri" w:hAnsi="Calibri" w:cs="Calibri"/>
        </w:rPr>
      </w:pPr>
      <w:r w:rsidRPr="00EF675D">
        <w:rPr>
          <w:rFonts w:ascii="Calibri" w:hAnsi="Calibri" w:cs="Calibri"/>
        </w:rPr>
        <w:t>requires suppliers of hazardous products to communicate the hazards associated with their products via product labels and Safety Data Sheets (SDSs) as a condition of sale and importation for workplace use.</w:t>
      </w:r>
    </w:p>
    <w:p w:rsidR="00CA333D" w:rsidRPr="00EF675D" w:rsidRDefault="00D34351" w:rsidP="00D34351">
      <w:pPr>
        <w:pStyle w:val="ListParagraph"/>
        <w:numPr>
          <w:ilvl w:val="3"/>
          <w:numId w:val="4"/>
        </w:numPr>
        <w:spacing w:after="120" w:line="259" w:lineRule="auto"/>
        <w:rPr>
          <w:rFonts w:ascii="Calibri" w:hAnsi="Calibri" w:cs="Calibri"/>
        </w:rPr>
      </w:pPr>
      <w:r w:rsidRPr="00EF675D">
        <w:rPr>
          <w:rFonts w:ascii="Calibri" w:hAnsi="Calibri" w:cs="Calibri"/>
        </w:rPr>
        <w:t>WHMIS – workplace hazardous material information system</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Spending (how much should we spend on it)</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Commerce between provinces (intra</w:t>
      </w:r>
      <w:r w:rsidR="00714795" w:rsidRPr="00EF675D">
        <w:rPr>
          <w:rFonts w:ascii="Calibri" w:hAnsi="Calibri" w:cs="Calibri"/>
        </w:rPr>
        <w:t>-</w:t>
      </w:r>
      <w:r w:rsidRPr="00EF675D">
        <w:rPr>
          <w:rFonts w:ascii="Calibri" w:hAnsi="Calibri" w:cs="Calibri"/>
        </w:rPr>
        <w:t>provincial)</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 xml:space="preserve">Taxation </w:t>
      </w:r>
    </w:p>
    <w:p w:rsidR="00425189" w:rsidRPr="00EF675D" w:rsidRDefault="00425189" w:rsidP="00425189">
      <w:pPr>
        <w:pStyle w:val="ListParagraph"/>
        <w:numPr>
          <w:ilvl w:val="0"/>
          <w:numId w:val="4"/>
        </w:numPr>
        <w:rPr>
          <w:rFonts w:ascii="Calibri" w:hAnsi="Calibri" w:cs="Calibri"/>
        </w:rPr>
      </w:pPr>
      <w:r w:rsidRPr="00EF675D">
        <w:rPr>
          <w:rFonts w:ascii="Calibri" w:hAnsi="Calibri" w:cs="Calibri"/>
        </w:rPr>
        <w:t>Provincial</w:t>
      </w:r>
    </w:p>
    <w:p w:rsidR="00714795" w:rsidRPr="00EF675D" w:rsidRDefault="00714795" w:rsidP="00714795">
      <w:pPr>
        <w:pStyle w:val="ListParagraph"/>
        <w:numPr>
          <w:ilvl w:val="1"/>
          <w:numId w:val="4"/>
        </w:numPr>
        <w:spacing w:after="120" w:line="259" w:lineRule="auto"/>
        <w:rPr>
          <w:rFonts w:ascii="Calibri" w:hAnsi="Calibri" w:cs="Calibri"/>
        </w:rPr>
      </w:pPr>
      <w:r w:rsidRPr="00EF675D">
        <w:rPr>
          <w:rFonts w:ascii="Calibri" w:hAnsi="Calibri" w:cs="Calibri"/>
        </w:rPr>
        <w:t>S.92 – Provincial</w:t>
      </w:r>
    </w:p>
    <w:p w:rsidR="00714795" w:rsidRPr="00EF675D" w:rsidRDefault="00714795" w:rsidP="00714795">
      <w:pPr>
        <w:pStyle w:val="ListParagraph"/>
        <w:numPr>
          <w:ilvl w:val="2"/>
          <w:numId w:val="4"/>
        </w:numPr>
        <w:spacing w:after="120" w:line="259" w:lineRule="auto"/>
        <w:rPr>
          <w:rFonts w:ascii="Calibri" w:hAnsi="Calibri" w:cs="Calibri"/>
        </w:rPr>
      </w:pPr>
      <w:r w:rsidRPr="00EF675D">
        <w:rPr>
          <w:rFonts w:ascii="Calibri" w:hAnsi="Calibri" w:cs="Calibri"/>
        </w:rPr>
        <w:t>Natural resources amendment</w:t>
      </w:r>
    </w:p>
    <w:p w:rsidR="00714795" w:rsidRPr="00EF675D" w:rsidRDefault="00714795" w:rsidP="00714795">
      <w:pPr>
        <w:pStyle w:val="ListParagraph"/>
        <w:numPr>
          <w:ilvl w:val="2"/>
          <w:numId w:val="4"/>
        </w:numPr>
        <w:spacing w:after="120" w:line="259" w:lineRule="auto"/>
        <w:rPr>
          <w:rFonts w:ascii="Calibri" w:hAnsi="Calibri" w:cs="Calibri"/>
        </w:rPr>
      </w:pPr>
      <w:r w:rsidRPr="00EF675D">
        <w:rPr>
          <w:rFonts w:ascii="Calibri" w:hAnsi="Calibri" w:cs="Calibri"/>
        </w:rPr>
        <w:t>Provinces have spending power</w:t>
      </w:r>
    </w:p>
    <w:p w:rsidR="00714795" w:rsidRPr="00EF675D" w:rsidRDefault="00714795" w:rsidP="00714795">
      <w:pPr>
        <w:pStyle w:val="ListParagraph"/>
        <w:numPr>
          <w:ilvl w:val="3"/>
          <w:numId w:val="4"/>
        </w:numPr>
        <w:spacing w:after="120" w:line="259" w:lineRule="auto"/>
        <w:rPr>
          <w:rFonts w:ascii="Calibri" w:hAnsi="Calibri" w:cs="Calibri"/>
        </w:rPr>
      </w:pPr>
      <w:r w:rsidRPr="00EF675D">
        <w:rPr>
          <w:rFonts w:ascii="Calibri" w:hAnsi="Calibri" w:cs="Calibri"/>
        </w:rPr>
        <w:lastRenderedPageBreak/>
        <w:t>Training and education</w:t>
      </w:r>
    </w:p>
    <w:p w:rsidR="00714795" w:rsidRPr="00EF675D" w:rsidRDefault="00714795" w:rsidP="00714795">
      <w:pPr>
        <w:pStyle w:val="ListParagraph"/>
        <w:numPr>
          <w:ilvl w:val="3"/>
          <w:numId w:val="4"/>
        </w:numPr>
        <w:spacing w:after="120" w:line="259" w:lineRule="auto"/>
        <w:rPr>
          <w:rFonts w:ascii="Calibri" w:hAnsi="Calibri" w:cs="Calibri"/>
        </w:rPr>
      </w:pPr>
      <w:r w:rsidRPr="00EF675D">
        <w:rPr>
          <w:rFonts w:ascii="Calibri" w:hAnsi="Calibri" w:cs="Calibri"/>
        </w:rPr>
        <w:t xml:space="preserve">We get authority from the provincial government </w:t>
      </w:r>
    </w:p>
    <w:p w:rsidR="00714795" w:rsidRPr="00EF675D" w:rsidRDefault="00714795" w:rsidP="00714795">
      <w:pPr>
        <w:pStyle w:val="ListParagraph"/>
        <w:numPr>
          <w:ilvl w:val="3"/>
          <w:numId w:val="4"/>
        </w:numPr>
        <w:spacing w:after="120" w:line="259" w:lineRule="auto"/>
        <w:rPr>
          <w:rFonts w:ascii="Calibri" w:hAnsi="Calibri" w:cs="Calibri"/>
        </w:rPr>
      </w:pPr>
      <w:r w:rsidRPr="00EF675D">
        <w:rPr>
          <w:rFonts w:ascii="Calibri" w:hAnsi="Calibri" w:cs="Calibri"/>
        </w:rPr>
        <w:t>Environmental law and program and studies and initiatives</w:t>
      </w:r>
    </w:p>
    <w:p w:rsidR="00714795" w:rsidRPr="00EF675D" w:rsidRDefault="00425189" w:rsidP="00425189">
      <w:pPr>
        <w:pStyle w:val="ListParagraph"/>
        <w:numPr>
          <w:ilvl w:val="1"/>
          <w:numId w:val="4"/>
        </w:numPr>
        <w:rPr>
          <w:rFonts w:ascii="Calibri" w:hAnsi="Calibri" w:cs="Calibri"/>
        </w:rPr>
      </w:pPr>
      <w:r w:rsidRPr="00EF675D">
        <w:rPr>
          <w:rFonts w:ascii="Calibri" w:hAnsi="Calibri" w:cs="Calibri"/>
        </w:rPr>
        <w:t>Municipalities</w:t>
      </w:r>
    </w:p>
    <w:p w:rsidR="00714795" w:rsidRPr="00EF675D" w:rsidRDefault="00425189" w:rsidP="00714795">
      <w:pPr>
        <w:pStyle w:val="ListParagraph"/>
        <w:numPr>
          <w:ilvl w:val="2"/>
          <w:numId w:val="4"/>
        </w:numPr>
        <w:rPr>
          <w:rFonts w:ascii="Calibri" w:hAnsi="Calibri" w:cs="Calibri"/>
        </w:rPr>
      </w:pPr>
      <w:r w:rsidRPr="00EF675D">
        <w:rPr>
          <w:rFonts w:ascii="Calibri" w:hAnsi="Calibri" w:cs="Calibri"/>
        </w:rPr>
        <w:t>don’t have their own authority</w:t>
      </w:r>
    </w:p>
    <w:p w:rsidR="00425189" w:rsidRDefault="00425189" w:rsidP="00714795">
      <w:pPr>
        <w:pStyle w:val="ListParagraph"/>
        <w:numPr>
          <w:ilvl w:val="2"/>
          <w:numId w:val="4"/>
        </w:numPr>
        <w:rPr>
          <w:rFonts w:ascii="Calibri" w:hAnsi="Calibri" w:cs="Calibri"/>
        </w:rPr>
      </w:pPr>
      <w:r w:rsidRPr="00EF675D">
        <w:rPr>
          <w:rFonts w:ascii="Calibri" w:hAnsi="Calibri" w:cs="Calibri"/>
        </w:rPr>
        <w:t>provincial gov</w:t>
      </w:r>
      <w:r w:rsidR="00714795" w:rsidRPr="00EF675D">
        <w:rPr>
          <w:rFonts w:ascii="Calibri" w:hAnsi="Calibri" w:cs="Calibri"/>
        </w:rPr>
        <w:t>ernment</w:t>
      </w:r>
      <w:r w:rsidRPr="00EF675D">
        <w:rPr>
          <w:rFonts w:ascii="Calibri" w:hAnsi="Calibri" w:cs="Calibri"/>
        </w:rPr>
        <w:t xml:space="preserve"> gives them specific authorities</w:t>
      </w:r>
    </w:p>
    <w:p w:rsidR="001C4431" w:rsidRDefault="001C4431" w:rsidP="00714795">
      <w:pPr>
        <w:pStyle w:val="ListParagraph"/>
        <w:numPr>
          <w:ilvl w:val="2"/>
          <w:numId w:val="4"/>
        </w:numPr>
        <w:rPr>
          <w:rFonts w:ascii="Calibri" w:hAnsi="Calibri" w:cs="Calibri"/>
        </w:rPr>
      </w:pPr>
      <w:r>
        <w:rPr>
          <w:rFonts w:ascii="Calibri" w:hAnsi="Calibri" w:cs="Calibri"/>
        </w:rPr>
        <w:t xml:space="preserve">lack constitutional </w:t>
      </w:r>
      <w:r w:rsidR="003F3D10">
        <w:rPr>
          <w:rFonts w:ascii="Calibri" w:hAnsi="Calibri" w:cs="Calibri"/>
        </w:rPr>
        <w:t>autonomy</w:t>
      </w:r>
    </w:p>
    <w:p w:rsidR="003F3D10" w:rsidRDefault="003F3D10" w:rsidP="00714795">
      <w:pPr>
        <w:pStyle w:val="ListParagraph"/>
        <w:numPr>
          <w:ilvl w:val="2"/>
          <w:numId w:val="4"/>
        </w:numPr>
        <w:rPr>
          <w:rFonts w:ascii="Calibri" w:hAnsi="Calibri" w:cs="Calibri"/>
        </w:rPr>
      </w:pPr>
      <w:r>
        <w:rPr>
          <w:rFonts w:ascii="Calibri" w:hAnsi="Calibri" w:cs="Calibri"/>
        </w:rPr>
        <w:t>legislative powers are exercised on the basis on delegation primarily by</w:t>
      </w:r>
    </w:p>
    <w:p w:rsidR="003F3D10" w:rsidRPr="003F3D10" w:rsidRDefault="003F3D10" w:rsidP="003F3D10">
      <w:pPr>
        <w:pStyle w:val="ListParagraph"/>
        <w:numPr>
          <w:ilvl w:val="2"/>
          <w:numId w:val="4"/>
        </w:numPr>
        <w:rPr>
          <w:rFonts w:ascii="Calibri" w:hAnsi="Calibri" w:cs="Calibri"/>
        </w:rPr>
      </w:pPr>
      <w:r>
        <w:rPr>
          <w:rFonts w:ascii="Calibri" w:hAnsi="Calibri" w:cs="Calibri"/>
        </w:rPr>
        <w:t>municipal decision making in the environmental area suggest a willingness to acknowledge the importance of action at the local government level</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Sections 92(13), 92(16), 92(2a)</w:t>
      </w:r>
    </w:p>
    <w:p w:rsidR="00714795" w:rsidRPr="00EF675D" w:rsidRDefault="00714795" w:rsidP="00393AAA">
      <w:pPr>
        <w:pStyle w:val="ListParagraph"/>
        <w:numPr>
          <w:ilvl w:val="2"/>
          <w:numId w:val="4"/>
        </w:numPr>
        <w:rPr>
          <w:rFonts w:ascii="Calibri" w:hAnsi="Calibri" w:cs="Calibri"/>
        </w:rPr>
      </w:pPr>
      <w:r w:rsidRPr="00EF675D">
        <w:rPr>
          <w:rFonts w:ascii="Calibri" w:hAnsi="Calibri" w:cs="Calibri"/>
        </w:rPr>
        <w:t>13:</w:t>
      </w:r>
      <w:r w:rsidR="00393AAA" w:rsidRPr="00EF675D">
        <w:rPr>
          <w:rFonts w:ascii="Calibri" w:hAnsi="Calibri" w:cs="Calibri"/>
        </w:rPr>
        <w:t xml:space="preserve"> </w:t>
      </w:r>
      <w:r w:rsidR="00393AAA" w:rsidRPr="00EF675D">
        <w:rPr>
          <w:rFonts w:ascii="Calibri" w:hAnsi="Calibri" w:cs="Calibri"/>
        </w:rPr>
        <w:t>Property and Civil Rights in the Province.</w:t>
      </w:r>
    </w:p>
    <w:p w:rsidR="00714795" w:rsidRPr="00EF675D" w:rsidRDefault="00714795" w:rsidP="00393AAA">
      <w:pPr>
        <w:pStyle w:val="ListParagraph"/>
        <w:numPr>
          <w:ilvl w:val="2"/>
          <w:numId w:val="4"/>
        </w:numPr>
        <w:rPr>
          <w:rFonts w:ascii="Calibri" w:hAnsi="Calibri" w:cs="Calibri"/>
        </w:rPr>
      </w:pPr>
      <w:r w:rsidRPr="00EF675D">
        <w:rPr>
          <w:rFonts w:ascii="Calibri" w:hAnsi="Calibri" w:cs="Calibri"/>
        </w:rPr>
        <w:t>16:</w:t>
      </w:r>
      <w:r w:rsidR="00393AAA" w:rsidRPr="00EF675D">
        <w:rPr>
          <w:rFonts w:ascii="Calibri" w:hAnsi="Calibri" w:cs="Calibri"/>
        </w:rPr>
        <w:t xml:space="preserve"> </w:t>
      </w:r>
      <w:r w:rsidR="00393AAA" w:rsidRPr="00EF675D">
        <w:rPr>
          <w:rFonts w:ascii="Calibri" w:hAnsi="Calibri" w:cs="Calibri"/>
        </w:rPr>
        <w:t>Generally</w:t>
      </w:r>
      <w:r w:rsidR="00393AAA" w:rsidRPr="00EF675D">
        <w:rPr>
          <w:rFonts w:ascii="Calibri" w:hAnsi="Calibri" w:cs="Calibri"/>
        </w:rPr>
        <w:t>,</w:t>
      </w:r>
      <w:r w:rsidR="00393AAA" w:rsidRPr="00EF675D">
        <w:rPr>
          <w:rFonts w:ascii="Calibri" w:hAnsi="Calibri" w:cs="Calibri"/>
        </w:rPr>
        <w:t xml:space="preserve"> all Matters of a merely local or private Nature in the Province.</w:t>
      </w:r>
    </w:p>
    <w:p w:rsidR="00714795" w:rsidRPr="00EF675D" w:rsidRDefault="00714795" w:rsidP="00393AAA">
      <w:pPr>
        <w:pStyle w:val="ListParagraph"/>
        <w:numPr>
          <w:ilvl w:val="2"/>
          <w:numId w:val="4"/>
        </w:numPr>
        <w:rPr>
          <w:rFonts w:ascii="Calibri" w:hAnsi="Calibri" w:cs="Calibri"/>
        </w:rPr>
      </w:pPr>
      <w:r w:rsidRPr="00EF675D">
        <w:rPr>
          <w:rFonts w:ascii="Calibri" w:hAnsi="Calibri" w:cs="Calibri"/>
        </w:rPr>
        <w:t>2a:</w:t>
      </w:r>
      <w:r w:rsidRPr="00EF675D">
        <w:rPr>
          <w:rFonts w:ascii="Calibri" w:hAnsi="Calibri" w:cs="Calibri"/>
          <w:color w:val="333333"/>
          <w:shd w:val="clear" w:color="auto" w:fill="FFFFFF"/>
        </w:rPr>
        <w:t xml:space="preserve"> </w:t>
      </w:r>
      <w:r w:rsidRPr="00EF675D">
        <w:rPr>
          <w:rFonts w:ascii="Calibri" w:hAnsi="Calibri" w:cs="Calibri"/>
        </w:rPr>
        <w:t>In each province, the legislature may make laws in relation to the export from the province to another part of Canada of the primary production from non-renewable natural resources and forestry resources in the province and the production from facilities in the province for the generation of electrical energy, but such laws may not authorize or provide for discrimination in prices or in supplies exported to another part of Canada.</w:t>
      </w:r>
    </w:p>
    <w:p w:rsidR="00425189" w:rsidRPr="00EF675D" w:rsidRDefault="00425189" w:rsidP="00425189">
      <w:pPr>
        <w:pStyle w:val="ListParagraph"/>
        <w:numPr>
          <w:ilvl w:val="0"/>
          <w:numId w:val="4"/>
        </w:numPr>
        <w:rPr>
          <w:rFonts w:ascii="Calibri" w:hAnsi="Calibri" w:cs="Calibri"/>
        </w:rPr>
      </w:pPr>
      <w:r w:rsidRPr="00EF675D">
        <w:rPr>
          <w:rFonts w:ascii="Calibri" w:hAnsi="Calibri" w:cs="Calibri"/>
        </w:rPr>
        <w:t>Federal Provincial</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Interplay</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Paramount</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 xml:space="preserve">Gets suspended until no longer in conflict? </w:t>
      </w:r>
    </w:p>
    <w:p w:rsidR="00425189" w:rsidRPr="00EF675D" w:rsidRDefault="00425189" w:rsidP="00425189">
      <w:pPr>
        <w:pStyle w:val="ListParagraph"/>
        <w:numPr>
          <w:ilvl w:val="1"/>
          <w:numId w:val="4"/>
        </w:numPr>
        <w:rPr>
          <w:rFonts w:ascii="Calibri" w:hAnsi="Calibri" w:cs="Calibri"/>
        </w:rPr>
      </w:pPr>
      <w:r w:rsidRPr="00EF675D">
        <w:rPr>
          <w:rFonts w:ascii="Calibri" w:hAnsi="Calibri" w:cs="Calibri"/>
        </w:rPr>
        <w:t>Inter-delegation</w:t>
      </w:r>
    </w:p>
    <w:p w:rsidR="00425189" w:rsidRPr="00EF675D" w:rsidRDefault="00425189" w:rsidP="00425189">
      <w:pPr>
        <w:rPr>
          <w:rFonts w:ascii="Calibri" w:hAnsi="Calibri" w:cs="Calibri"/>
        </w:rPr>
      </w:pPr>
    </w:p>
    <w:p w:rsidR="00425189" w:rsidRPr="00EF675D" w:rsidRDefault="00425189" w:rsidP="00425189">
      <w:pPr>
        <w:rPr>
          <w:rFonts w:ascii="Calibri" w:hAnsi="Calibri" w:cs="Calibri"/>
          <w:u w:val="single"/>
        </w:rPr>
      </w:pPr>
      <w:r w:rsidRPr="00EF675D">
        <w:rPr>
          <w:rFonts w:ascii="Calibri" w:hAnsi="Calibri" w:cs="Calibri"/>
          <w:u w:val="single"/>
        </w:rPr>
        <w:t>Regulatory System</w:t>
      </w:r>
    </w:p>
    <w:p w:rsidR="00425189" w:rsidRDefault="00425189" w:rsidP="00425189">
      <w:pPr>
        <w:pStyle w:val="ListParagraph"/>
        <w:numPr>
          <w:ilvl w:val="0"/>
          <w:numId w:val="4"/>
        </w:numPr>
        <w:rPr>
          <w:rFonts w:ascii="Calibri" w:hAnsi="Calibri" w:cs="Calibri"/>
        </w:rPr>
      </w:pPr>
      <w:r w:rsidRPr="00EF675D">
        <w:rPr>
          <w:rFonts w:ascii="Calibri" w:hAnsi="Calibri" w:cs="Calibri"/>
        </w:rPr>
        <w:t>Strict liability - due diligence// training plan and workforce, routine changes of plan, etc</w:t>
      </w:r>
      <w:r w:rsidR="00DE576B">
        <w:rPr>
          <w:rFonts w:ascii="Calibri" w:hAnsi="Calibri" w:cs="Calibri"/>
        </w:rPr>
        <w:t>.</w:t>
      </w:r>
    </w:p>
    <w:p w:rsidR="002D5796" w:rsidRDefault="00DE576B" w:rsidP="002D5796">
      <w:pPr>
        <w:pStyle w:val="ListParagraph"/>
        <w:numPr>
          <w:ilvl w:val="1"/>
          <w:numId w:val="4"/>
        </w:numPr>
        <w:rPr>
          <w:rFonts w:asciiTheme="minorHAnsi" w:hAnsiTheme="minorHAnsi" w:cstheme="minorHAnsi"/>
        </w:rPr>
      </w:pPr>
      <w:r w:rsidRPr="00DE576B">
        <w:rPr>
          <w:rFonts w:asciiTheme="minorHAnsi" w:hAnsiTheme="minorHAnsi" w:cstheme="minorHAnsi"/>
        </w:rPr>
        <w:t>liability which does not depend on actual negligence or intent to harm</w:t>
      </w:r>
    </w:p>
    <w:p w:rsidR="002D5796" w:rsidRDefault="002D5796" w:rsidP="002D5796">
      <w:pPr>
        <w:pStyle w:val="ListParagraph"/>
        <w:numPr>
          <w:ilvl w:val="1"/>
          <w:numId w:val="4"/>
        </w:numPr>
        <w:rPr>
          <w:rFonts w:asciiTheme="minorHAnsi" w:hAnsiTheme="minorHAnsi" w:cstheme="minorHAnsi"/>
        </w:rPr>
      </w:pPr>
      <w:r w:rsidRPr="002D5796">
        <w:rPr>
          <w:rFonts w:asciiTheme="minorHAnsi" w:hAnsiTheme="minorHAnsi" w:cstheme="minorHAnsi"/>
        </w:rPr>
        <w:t>In </w:t>
      </w:r>
      <w:r w:rsidRPr="002D5796">
        <w:rPr>
          <w:rFonts w:asciiTheme="minorHAnsi" w:eastAsiaTheme="majorEastAsia" w:hAnsiTheme="minorHAnsi" w:cstheme="minorHAnsi"/>
        </w:rPr>
        <w:t>criminal</w:t>
      </w:r>
      <w:r w:rsidRPr="002D5796">
        <w:rPr>
          <w:rFonts w:asciiTheme="minorHAnsi" w:hAnsiTheme="minorHAnsi" w:cstheme="minorHAnsi"/>
        </w:rPr>
        <w:t> and </w:t>
      </w:r>
      <w:r w:rsidRPr="002D5796">
        <w:rPr>
          <w:rFonts w:asciiTheme="minorHAnsi" w:eastAsiaTheme="majorEastAsia" w:hAnsiTheme="minorHAnsi" w:cstheme="minorHAnsi"/>
        </w:rPr>
        <w:t>civil law</w:t>
      </w:r>
      <w:r w:rsidRPr="002D5796">
        <w:rPr>
          <w:rFonts w:asciiTheme="minorHAnsi" w:hAnsiTheme="minorHAnsi" w:cstheme="minorHAnsi"/>
        </w:rPr>
        <w:t>, strict liability is a standard of </w:t>
      </w:r>
      <w:r w:rsidRPr="002D5796">
        <w:rPr>
          <w:rFonts w:asciiTheme="minorHAnsi" w:eastAsiaTheme="majorEastAsia" w:hAnsiTheme="minorHAnsi" w:cstheme="minorHAnsi"/>
        </w:rPr>
        <w:t>liability</w:t>
      </w:r>
      <w:r w:rsidRPr="002D5796">
        <w:rPr>
          <w:rFonts w:asciiTheme="minorHAnsi" w:hAnsiTheme="minorHAnsi" w:cstheme="minorHAnsi"/>
        </w:rPr>
        <w:t> under which a person is legally responsible for the consequences flowing from an activity even in the absence of </w:t>
      </w:r>
      <w:r w:rsidRPr="002D5796">
        <w:rPr>
          <w:rFonts w:asciiTheme="minorHAnsi" w:eastAsiaTheme="majorEastAsia" w:hAnsiTheme="minorHAnsi" w:cstheme="minorHAnsi"/>
        </w:rPr>
        <w:t>fault</w:t>
      </w:r>
      <w:r w:rsidRPr="002D5796">
        <w:rPr>
          <w:rFonts w:asciiTheme="minorHAnsi" w:hAnsiTheme="minorHAnsi" w:cstheme="minorHAnsi"/>
        </w:rPr>
        <w:t> or </w:t>
      </w:r>
      <w:r w:rsidRPr="002D5796">
        <w:rPr>
          <w:rFonts w:asciiTheme="minorHAnsi" w:eastAsiaTheme="majorEastAsia" w:hAnsiTheme="minorHAnsi" w:cstheme="minorHAnsi"/>
        </w:rPr>
        <w:t>criminal intent</w:t>
      </w:r>
      <w:r w:rsidRPr="002D5796">
        <w:rPr>
          <w:rFonts w:asciiTheme="minorHAnsi" w:hAnsiTheme="minorHAnsi" w:cstheme="minorHAnsi"/>
        </w:rPr>
        <w:t> on the part of the defendant.</w:t>
      </w:r>
    </w:p>
    <w:p w:rsidR="002D5796" w:rsidRPr="000D71CB" w:rsidRDefault="002D5796" w:rsidP="002D5796">
      <w:pPr>
        <w:pStyle w:val="ListParagraph"/>
        <w:numPr>
          <w:ilvl w:val="1"/>
          <w:numId w:val="4"/>
        </w:numPr>
        <w:rPr>
          <w:rFonts w:asciiTheme="minorHAnsi" w:hAnsiTheme="minorHAnsi" w:cstheme="minorHAnsi"/>
        </w:rPr>
      </w:pPr>
      <w:r w:rsidRPr="002D5796">
        <w:rPr>
          <w:rFonts w:asciiTheme="minorHAnsi" w:hAnsiTheme="minorHAnsi" w:cstheme="minorHAnsi"/>
        </w:rPr>
        <w:t>In the field of </w:t>
      </w:r>
      <w:r w:rsidRPr="002D5796">
        <w:rPr>
          <w:rFonts w:asciiTheme="minorHAnsi" w:eastAsiaTheme="majorEastAsia" w:hAnsiTheme="minorHAnsi" w:cstheme="minorHAnsi"/>
        </w:rPr>
        <w:t>torts</w:t>
      </w:r>
      <w:r w:rsidRPr="002D5796">
        <w:rPr>
          <w:rFonts w:asciiTheme="minorHAnsi" w:hAnsiTheme="minorHAnsi" w:cstheme="minorHAnsi"/>
        </w:rPr>
        <w:t>, prominent examples of strict liability may include </w:t>
      </w:r>
      <w:r w:rsidRPr="002D5796">
        <w:rPr>
          <w:rFonts w:asciiTheme="minorHAnsi" w:eastAsiaTheme="majorEastAsia" w:hAnsiTheme="minorHAnsi" w:cstheme="minorHAnsi"/>
        </w:rPr>
        <w:t>product liability</w:t>
      </w:r>
      <w:r w:rsidRPr="002D5796">
        <w:rPr>
          <w:rFonts w:asciiTheme="minorHAnsi" w:hAnsiTheme="minorHAnsi" w:cstheme="minorHAnsi"/>
        </w:rPr>
        <w:t>, abnormally dangerous activities (e.g., </w:t>
      </w:r>
      <w:r w:rsidRPr="002D5796">
        <w:rPr>
          <w:rFonts w:asciiTheme="minorHAnsi" w:eastAsiaTheme="majorEastAsia" w:hAnsiTheme="minorHAnsi" w:cstheme="minorHAnsi"/>
        </w:rPr>
        <w:t>blasting</w:t>
      </w:r>
      <w:r w:rsidRPr="002D5796">
        <w:rPr>
          <w:rFonts w:asciiTheme="minorHAnsi" w:hAnsiTheme="minorHAnsi" w:cstheme="minorHAnsi"/>
        </w:rPr>
        <w:t>), intrusion onto another's land by </w:t>
      </w:r>
      <w:r w:rsidRPr="002D5796">
        <w:rPr>
          <w:rFonts w:asciiTheme="minorHAnsi" w:eastAsiaTheme="majorEastAsia" w:hAnsiTheme="minorHAnsi" w:cstheme="minorHAnsi"/>
        </w:rPr>
        <w:t>livestock</w:t>
      </w:r>
      <w:r w:rsidRPr="002D5796">
        <w:rPr>
          <w:rFonts w:asciiTheme="minorHAnsi" w:hAnsiTheme="minorHAnsi" w:cstheme="minorHAnsi"/>
        </w:rPr>
        <w:t>, and </w:t>
      </w:r>
      <w:r w:rsidRPr="002D5796">
        <w:rPr>
          <w:rFonts w:asciiTheme="minorHAnsi" w:eastAsiaTheme="majorEastAsia" w:hAnsiTheme="minorHAnsi" w:cstheme="minorHAnsi"/>
        </w:rPr>
        <w:t>ownership of wild animals</w:t>
      </w:r>
      <w:r w:rsidRPr="002D5796">
        <w:rPr>
          <w:rFonts w:asciiTheme="minorHAnsi" w:hAnsiTheme="minorHAnsi" w:cstheme="minorHAnsi"/>
        </w:rPr>
        <w:t>. Traditional criminal offenses that require no element of intent (</w:t>
      </w:r>
      <w:r w:rsidRPr="002D5796">
        <w:rPr>
          <w:rFonts w:asciiTheme="minorHAnsi" w:eastAsiaTheme="majorEastAsia" w:hAnsiTheme="minorHAnsi" w:cstheme="minorHAnsi"/>
        </w:rPr>
        <w:t>mens rea</w:t>
      </w:r>
      <w:r w:rsidRPr="002D5796">
        <w:rPr>
          <w:rFonts w:asciiTheme="minorHAnsi" w:hAnsiTheme="minorHAnsi" w:cstheme="minorHAnsi"/>
        </w:rPr>
        <w:t>) include </w:t>
      </w:r>
      <w:r w:rsidRPr="002D5796">
        <w:rPr>
          <w:rFonts w:asciiTheme="minorHAnsi" w:eastAsiaTheme="majorEastAsia" w:hAnsiTheme="minorHAnsi" w:cstheme="minorHAnsi"/>
        </w:rPr>
        <w:t>statutory rape</w:t>
      </w:r>
      <w:r w:rsidRPr="002D5796">
        <w:rPr>
          <w:rFonts w:asciiTheme="minorHAnsi" w:hAnsiTheme="minorHAnsi" w:cstheme="minorHAnsi"/>
        </w:rPr>
        <w:t> and </w:t>
      </w:r>
      <w:r w:rsidRPr="002D5796">
        <w:rPr>
          <w:rFonts w:asciiTheme="minorHAnsi" w:eastAsiaTheme="majorEastAsia" w:hAnsiTheme="minorHAnsi" w:cstheme="minorHAnsi"/>
        </w:rPr>
        <w:t>felony murde</w:t>
      </w:r>
      <w:r>
        <w:rPr>
          <w:rFonts w:asciiTheme="minorHAnsi" w:eastAsiaTheme="majorEastAsia" w:hAnsiTheme="minorHAnsi" w:cstheme="minorHAnsi"/>
        </w:rPr>
        <w:t>r</w:t>
      </w:r>
    </w:p>
    <w:p w:rsidR="000D71CB" w:rsidRDefault="000D71CB" w:rsidP="002D5796">
      <w:pPr>
        <w:pStyle w:val="ListParagraph"/>
        <w:numPr>
          <w:ilvl w:val="1"/>
          <w:numId w:val="4"/>
        </w:numPr>
        <w:rPr>
          <w:rFonts w:asciiTheme="minorHAnsi" w:hAnsiTheme="minorHAnsi" w:cstheme="minorHAnsi"/>
        </w:rPr>
      </w:pPr>
      <w:r>
        <w:rPr>
          <w:rFonts w:asciiTheme="minorHAnsi" w:hAnsiTheme="minorHAnsi" w:cstheme="minorHAnsi"/>
        </w:rPr>
        <w:t>For damages caused when dangerous substances escape from</w:t>
      </w:r>
      <w:r w:rsidR="00FE4DEC">
        <w:rPr>
          <w:rFonts w:asciiTheme="minorHAnsi" w:hAnsiTheme="minorHAnsi" w:cstheme="minorHAnsi"/>
        </w:rPr>
        <w:t xml:space="preserve"> the defendant’s lands to injure the lands of another now offers potential relief in circumstances involving environmental harm</w:t>
      </w:r>
    </w:p>
    <w:p w:rsidR="00FE4DEC" w:rsidRPr="002D5796" w:rsidRDefault="00FE4DEC" w:rsidP="002D5796">
      <w:pPr>
        <w:pStyle w:val="ListParagraph"/>
        <w:numPr>
          <w:ilvl w:val="1"/>
          <w:numId w:val="4"/>
        </w:numPr>
        <w:rPr>
          <w:rFonts w:asciiTheme="minorHAnsi" w:hAnsiTheme="minorHAnsi" w:cstheme="minorHAnsi"/>
        </w:rPr>
      </w:pPr>
      <w:r>
        <w:rPr>
          <w:rFonts w:asciiTheme="minorHAnsi" w:hAnsiTheme="minorHAnsi" w:cstheme="minorHAnsi"/>
        </w:rPr>
        <w:t>Injury to persons or property resulting from the escape of such substances as sewage, industrial chemicals, pesticides, files and gases may be compensable notwithstanding the exercise of reasonable care by the defendant to prevent the escape</w:t>
      </w:r>
    </w:p>
    <w:p w:rsidR="002D5796" w:rsidRDefault="002D5796" w:rsidP="002D5796">
      <w:pPr>
        <w:pStyle w:val="ListParagraph"/>
        <w:numPr>
          <w:ilvl w:val="0"/>
          <w:numId w:val="4"/>
        </w:numPr>
        <w:rPr>
          <w:rFonts w:asciiTheme="minorHAnsi" w:hAnsiTheme="minorHAnsi" w:cstheme="minorHAnsi"/>
        </w:rPr>
      </w:pPr>
      <w:r>
        <w:rPr>
          <w:rFonts w:asciiTheme="minorHAnsi" w:hAnsiTheme="minorHAnsi" w:cstheme="minorHAnsi"/>
        </w:rPr>
        <w:t xml:space="preserve">Due Diligence </w:t>
      </w:r>
    </w:p>
    <w:p w:rsidR="002D5796" w:rsidRPr="002D5796" w:rsidRDefault="002D5796" w:rsidP="002D5796">
      <w:pPr>
        <w:pStyle w:val="ListParagraph"/>
        <w:numPr>
          <w:ilvl w:val="1"/>
          <w:numId w:val="4"/>
        </w:numPr>
        <w:rPr>
          <w:rFonts w:asciiTheme="minorHAnsi" w:hAnsiTheme="minorHAnsi" w:cstheme="minorHAnsi"/>
        </w:rPr>
      </w:pPr>
      <w:r w:rsidRPr="002D5796">
        <w:rPr>
          <w:rFonts w:ascii="Calibri" w:hAnsi="Calibri" w:cs="Calibri"/>
        </w:rPr>
        <w:lastRenderedPageBreak/>
        <w:t>Due diligence is the investigation or exercise of care that a reasonable business or person is expected to take before entering into an agreement or contract with another party, or an act with a certain</w:t>
      </w:r>
      <w:r>
        <w:rPr>
          <w:rFonts w:ascii="Calibri" w:hAnsi="Calibri" w:cs="Calibri"/>
        </w:rPr>
        <w:t xml:space="preserve"> standard of care</w:t>
      </w:r>
    </w:p>
    <w:p w:rsidR="00DE576B" w:rsidRDefault="00FE4DEC" w:rsidP="00FE4DEC">
      <w:pPr>
        <w:pStyle w:val="ListParagraph"/>
        <w:numPr>
          <w:ilvl w:val="0"/>
          <w:numId w:val="4"/>
        </w:numPr>
        <w:rPr>
          <w:rFonts w:ascii="Calibri" w:hAnsi="Calibri" w:cs="Calibri"/>
        </w:rPr>
      </w:pPr>
      <w:r>
        <w:rPr>
          <w:rFonts w:ascii="Calibri" w:hAnsi="Calibri" w:cs="Calibri"/>
        </w:rPr>
        <w:t>Labatt v Canada</w:t>
      </w:r>
    </w:p>
    <w:p w:rsidR="00FE4DEC" w:rsidRPr="00FE4DEC" w:rsidRDefault="00FE4DEC" w:rsidP="00FE4DEC">
      <w:pPr>
        <w:pStyle w:val="ListParagraph"/>
        <w:numPr>
          <w:ilvl w:val="1"/>
          <w:numId w:val="4"/>
        </w:numPr>
        <w:rPr>
          <w:rFonts w:asciiTheme="minorHAnsi" w:hAnsiTheme="minorHAnsi" w:cstheme="minorHAnsi"/>
        </w:rPr>
      </w:pPr>
      <w:r w:rsidRPr="00FE4DEC">
        <w:rPr>
          <w:rFonts w:asciiTheme="minorHAnsi" w:hAnsiTheme="minorHAnsi" w:cstheme="minorHAnsi"/>
        </w:rPr>
        <w:t>Legislation states that if there is a standard for a particular food, one cannot label other food in a manner that could have it mistaken for food that actually meets the standard. There was min and max. alcohol content for beer written “light beer”. Labatt marketed beer that exceeded the alcohol content.</w:t>
      </w:r>
    </w:p>
    <w:p w:rsidR="00FE4DEC" w:rsidRPr="00FE4DEC" w:rsidRDefault="00FE4DEC" w:rsidP="00FE4DEC">
      <w:pPr>
        <w:pStyle w:val="ListParagraph"/>
        <w:numPr>
          <w:ilvl w:val="1"/>
          <w:numId w:val="4"/>
        </w:numPr>
        <w:rPr>
          <w:rFonts w:asciiTheme="minorHAnsi" w:hAnsiTheme="minorHAnsi" w:cstheme="minorHAnsi"/>
        </w:rPr>
      </w:pPr>
      <w:r w:rsidRPr="00FE4DEC">
        <w:rPr>
          <w:rFonts w:asciiTheme="minorHAnsi" w:hAnsiTheme="minorHAnsi" w:cstheme="minorHAnsi"/>
        </w:rPr>
        <w:t>Should the federal act apply when Labatt was selling the beer within the province?</w:t>
      </w:r>
    </w:p>
    <w:p w:rsidR="00FE4DEC" w:rsidRPr="00FE4DEC" w:rsidRDefault="00FE4DEC" w:rsidP="00FE4DEC">
      <w:pPr>
        <w:pStyle w:val="ListParagraph"/>
        <w:numPr>
          <w:ilvl w:val="1"/>
          <w:numId w:val="4"/>
        </w:numPr>
        <w:rPr>
          <w:rFonts w:asciiTheme="minorHAnsi" w:hAnsiTheme="minorHAnsi" w:cstheme="minorHAnsi"/>
        </w:rPr>
      </w:pPr>
      <w:r w:rsidRPr="00FE4DEC">
        <w:rPr>
          <w:rFonts w:asciiTheme="minorHAnsi" w:hAnsiTheme="minorHAnsi" w:cstheme="minorHAnsi"/>
        </w:rPr>
        <w:t>The legislation deals with production and local sale. There was no interprovincial aspect. They produce in almost all provinces and therefore do not export. It is not of national concern to regulate a particular trade or industry. The legislation was not dealing in a sweeping manner as in Citizens Insurance. This was not a labeling issue since usually labeling legislation does prescribes no standards for production or marketing of a product, but only requires the revelation of its contents in order to use the label. Isn’t under POGG or criminal law. Not for protection of health but to prevent deception</w:t>
      </w:r>
    </w:p>
    <w:p w:rsidR="00FE4DEC" w:rsidRPr="00FE4DEC" w:rsidRDefault="00FE4DEC" w:rsidP="00FE4DEC">
      <w:pPr>
        <w:pStyle w:val="ListParagraph"/>
        <w:numPr>
          <w:ilvl w:val="1"/>
          <w:numId w:val="4"/>
        </w:numPr>
        <w:rPr>
          <w:rFonts w:asciiTheme="minorHAnsi" w:hAnsiTheme="minorHAnsi" w:cstheme="minorHAnsi"/>
        </w:rPr>
      </w:pPr>
      <w:r w:rsidRPr="00FE4DEC">
        <w:rPr>
          <w:rFonts w:asciiTheme="minorHAnsi" w:hAnsiTheme="minorHAnsi" w:cstheme="minorHAnsi"/>
        </w:rPr>
        <w:t>The court, 6 to 3, found that the act was beyond federal jurisdiction.</w:t>
      </w:r>
    </w:p>
    <w:p w:rsidR="00425189" w:rsidRPr="00EF675D" w:rsidRDefault="00425189" w:rsidP="00425189">
      <w:pPr>
        <w:pStyle w:val="ListParagraph"/>
        <w:numPr>
          <w:ilvl w:val="0"/>
          <w:numId w:val="4"/>
        </w:numPr>
        <w:rPr>
          <w:rFonts w:ascii="Calibri" w:hAnsi="Calibri" w:cs="Calibri"/>
        </w:rPr>
      </w:pPr>
      <w:r w:rsidRPr="00EF675D">
        <w:rPr>
          <w:rFonts w:ascii="Calibri" w:hAnsi="Calibri" w:cs="Calibri"/>
        </w:rPr>
        <w:t xml:space="preserve">Evidences? </w:t>
      </w:r>
    </w:p>
    <w:p w:rsidR="00425189" w:rsidRDefault="00FE4DEC" w:rsidP="00425189">
      <w:pPr>
        <w:pStyle w:val="ListParagraph"/>
        <w:numPr>
          <w:ilvl w:val="0"/>
          <w:numId w:val="4"/>
        </w:numPr>
        <w:rPr>
          <w:rFonts w:ascii="Calibri" w:hAnsi="Calibri" w:cs="Calibri"/>
        </w:rPr>
      </w:pPr>
      <w:r>
        <w:rPr>
          <w:rFonts w:ascii="Calibri" w:hAnsi="Calibri" w:cs="Calibri"/>
        </w:rPr>
        <w:t>CEPA in Civil Law</w:t>
      </w:r>
      <w:r w:rsidR="00BE356B">
        <w:rPr>
          <w:rFonts w:ascii="Calibri" w:hAnsi="Calibri" w:cs="Calibri"/>
        </w:rPr>
        <w:t xml:space="preserve"> and Criminal</w:t>
      </w:r>
    </w:p>
    <w:p w:rsidR="00FE4DEC" w:rsidRPr="00FE4DEC" w:rsidRDefault="00FE4DEC" w:rsidP="00FE4DEC">
      <w:pPr>
        <w:pStyle w:val="ListParagraph"/>
        <w:numPr>
          <w:ilvl w:val="1"/>
          <w:numId w:val="4"/>
        </w:numPr>
        <w:spacing w:after="120" w:line="259" w:lineRule="auto"/>
        <w:rPr>
          <w:rFonts w:asciiTheme="minorHAnsi" w:hAnsiTheme="minorHAnsi" w:cstheme="minorHAnsi"/>
        </w:rPr>
      </w:pPr>
      <w:r w:rsidRPr="00FE4DEC">
        <w:rPr>
          <w:rFonts w:asciiTheme="minorHAnsi" w:hAnsiTheme="minorHAnsi" w:cstheme="minorHAnsi"/>
        </w:rPr>
        <w:t xml:space="preserve">Preamble states that government is committed to implement PP serious or irreversible damage, lack of full scientific proof should not be reason to postpone precautionary measures </w:t>
      </w:r>
    </w:p>
    <w:p w:rsidR="00FE4DEC" w:rsidRPr="00FE4DEC" w:rsidRDefault="00FE4DEC" w:rsidP="00FE4DEC">
      <w:pPr>
        <w:pStyle w:val="ListParagraph"/>
        <w:numPr>
          <w:ilvl w:val="1"/>
          <w:numId w:val="4"/>
        </w:numPr>
        <w:spacing w:after="120" w:line="259" w:lineRule="auto"/>
        <w:rPr>
          <w:rFonts w:asciiTheme="minorHAnsi" w:hAnsiTheme="minorHAnsi" w:cstheme="minorHAnsi"/>
        </w:rPr>
      </w:pPr>
      <w:r w:rsidRPr="00FE4DEC">
        <w:rPr>
          <w:rFonts w:asciiTheme="minorHAnsi" w:hAnsiTheme="minorHAnsi" w:cstheme="minorHAnsi"/>
        </w:rPr>
        <w:t xml:space="preserve">IN ORDER TO protect the </w:t>
      </w:r>
      <w:r w:rsidRPr="00FE4DEC">
        <w:rPr>
          <w:rFonts w:asciiTheme="minorHAnsi" w:hAnsiTheme="minorHAnsi" w:cstheme="minorHAnsi"/>
        </w:rPr>
        <w:t>environment,</w:t>
      </w:r>
      <w:r w:rsidRPr="00FE4DEC">
        <w:rPr>
          <w:rFonts w:asciiTheme="minorHAnsi" w:hAnsiTheme="minorHAnsi" w:cstheme="minorHAnsi"/>
        </w:rPr>
        <w:t xml:space="preserve"> the PA should be widely applied to states according to their capabilities where there are threats of irreversible damage, lack of research shall not be used to postpone cost effective measures to prevent environmental degradations </w:t>
      </w:r>
    </w:p>
    <w:p w:rsidR="00BE356B" w:rsidRDefault="00FE4DEC" w:rsidP="00BE356B">
      <w:pPr>
        <w:pStyle w:val="ListParagraph"/>
        <w:numPr>
          <w:ilvl w:val="1"/>
          <w:numId w:val="4"/>
        </w:numPr>
        <w:spacing w:after="120" w:line="259" w:lineRule="auto"/>
        <w:rPr>
          <w:rFonts w:asciiTheme="minorHAnsi" w:hAnsiTheme="minorHAnsi" w:cstheme="minorHAnsi"/>
        </w:rPr>
      </w:pPr>
      <w:r w:rsidRPr="00FE4DEC">
        <w:rPr>
          <w:rFonts w:asciiTheme="minorHAnsi" w:hAnsiTheme="minorHAnsi" w:cstheme="minorHAnsi"/>
        </w:rPr>
        <w:t>UFFI Insulation issue</w:t>
      </w:r>
    </w:p>
    <w:p w:rsidR="00BE356B" w:rsidRPr="00BE356B" w:rsidRDefault="00BE356B" w:rsidP="00BE356B">
      <w:pPr>
        <w:pStyle w:val="ListParagraph"/>
        <w:numPr>
          <w:ilvl w:val="1"/>
          <w:numId w:val="4"/>
        </w:numPr>
        <w:spacing w:after="120" w:line="259" w:lineRule="auto"/>
        <w:rPr>
          <w:rFonts w:asciiTheme="minorHAnsi" w:hAnsiTheme="minorHAnsi" w:cstheme="minorHAnsi"/>
        </w:rPr>
      </w:pPr>
      <w:r>
        <w:rPr>
          <w:rFonts w:ascii="Helvetica Neue" w:hAnsi="Helvetica Neue"/>
          <w:color w:val="333333"/>
        </w:rPr>
        <w:t>CEPA Criminal Code Applications</w:t>
      </w:r>
    </w:p>
    <w:p w:rsidR="00BE356B" w:rsidRPr="00BE356B" w:rsidRDefault="00BE356B" w:rsidP="00BE356B">
      <w:pPr>
        <w:pStyle w:val="ListParagraph"/>
        <w:numPr>
          <w:ilvl w:val="2"/>
          <w:numId w:val="4"/>
        </w:numPr>
        <w:spacing w:after="120" w:line="259" w:lineRule="auto"/>
        <w:rPr>
          <w:rFonts w:asciiTheme="minorHAnsi" w:hAnsiTheme="minorHAnsi" w:cstheme="minorHAnsi"/>
        </w:rPr>
      </w:pPr>
      <w:r w:rsidRPr="00BE356B">
        <w:rPr>
          <w:rFonts w:ascii="Helvetica Neue" w:hAnsi="Helvetica Neue"/>
          <w:color w:val="333333"/>
        </w:rPr>
        <w:t>An act or omission that is committed in the course of enforcement of this Act and that would be an offence under the </w:t>
      </w:r>
      <w:hyperlink r:id="rId5" w:history="1">
        <w:r w:rsidRPr="00BE356B">
          <w:rPr>
            <w:rStyle w:val="Hyperlink"/>
            <w:rFonts w:ascii="Helvetica Neue" w:hAnsi="Helvetica Neue"/>
            <w:i/>
            <w:iCs/>
            <w:color w:val="7834BC"/>
          </w:rPr>
          <w:t>Criminal Code</w:t>
        </w:r>
      </w:hyperlink>
      <w:r w:rsidRPr="00BE356B">
        <w:rPr>
          <w:rFonts w:ascii="Helvetica Neue" w:hAnsi="Helvetica Neue"/>
          <w:color w:val="333333"/>
        </w:rPr>
        <w:t> if it were committed in Canada, is deemed to have been committed in Canada if it is committed</w:t>
      </w:r>
    </w:p>
    <w:p w:rsidR="00BE356B" w:rsidRPr="00BE356B" w:rsidRDefault="00BE356B" w:rsidP="00BE356B">
      <w:pPr>
        <w:pStyle w:val="ListParagraph"/>
        <w:numPr>
          <w:ilvl w:val="2"/>
          <w:numId w:val="4"/>
        </w:numPr>
        <w:spacing w:after="120" w:line="259" w:lineRule="auto"/>
        <w:rPr>
          <w:rFonts w:asciiTheme="minorHAnsi" w:hAnsiTheme="minorHAnsi" w:cstheme="minorHAnsi"/>
        </w:rPr>
      </w:pPr>
      <w:r w:rsidRPr="00BE356B">
        <w:rPr>
          <w:rStyle w:val="lawlabel"/>
          <w:rFonts w:ascii="Helvetica Neue" w:hAnsi="Helvetica Neue"/>
          <w:b/>
          <w:bCs/>
          <w:color w:val="000000"/>
        </w:rPr>
        <w:t>(a)</w:t>
      </w:r>
      <w:r w:rsidRPr="00BE356B">
        <w:rPr>
          <w:rFonts w:ascii="Helvetica Neue" w:hAnsi="Helvetica Neue"/>
          <w:color w:val="333333"/>
        </w:rPr>
        <w:t> in an area of the sea referred to in paragraph 122(2)(c);</w:t>
      </w:r>
      <w:r w:rsidRPr="00BE356B">
        <w:rPr>
          <w:rFonts w:ascii="Helvetica Neue" w:hAnsi="Helvetica Neue"/>
          <w:color w:val="333333"/>
        </w:rPr>
        <w:t xml:space="preserve"> (</w:t>
      </w:r>
      <w:r w:rsidRPr="00BE356B">
        <w:rPr>
          <w:rFonts w:ascii="Helvetica Neue" w:hAnsi="Helvetica Neue"/>
          <w:color w:val="333333"/>
          <w:shd w:val="clear" w:color="auto" w:fill="FFFFFF"/>
        </w:rPr>
        <w:t>any exclusive economic zone that may be created by Canada</w:t>
      </w:r>
      <w:r w:rsidRPr="00BE356B">
        <w:rPr>
          <w:rFonts w:ascii="Helvetica Neue" w:hAnsi="Helvetica Neue"/>
          <w:color w:val="333333"/>
          <w:shd w:val="clear" w:color="auto" w:fill="FFFFFF"/>
        </w:rPr>
        <w:t>)</w:t>
      </w:r>
    </w:p>
    <w:p w:rsidR="00BE356B" w:rsidRPr="00BE356B" w:rsidRDefault="00BE356B" w:rsidP="00BE356B">
      <w:pPr>
        <w:pStyle w:val="ListParagraph"/>
        <w:numPr>
          <w:ilvl w:val="2"/>
          <w:numId w:val="4"/>
        </w:numPr>
        <w:spacing w:after="120" w:line="259" w:lineRule="auto"/>
        <w:rPr>
          <w:rFonts w:asciiTheme="minorHAnsi" w:hAnsiTheme="minorHAnsi" w:cstheme="minorHAnsi"/>
        </w:rPr>
      </w:pPr>
      <w:r w:rsidRPr="00BE356B">
        <w:rPr>
          <w:rStyle w:val="lawlabel"/>
          <w:rFonts w:ascii="Helvetica Neue" w:hAnsi="Helvetica Neue"/>
          <w:b/>
          <w:bCs/>
          <w:color w:val="000000"/>
        </w:rPr>
        <w:t>(b)</w:t>
      </w:r>
      <w:r w:rsidRPr="00BE356B">
        <w:rPr>
          <w:rFonts w:ascii="Helvetica Neue" w:hAnsi="Helvetica Neue"/>
          <w:color w:val="333333"/>
        </w:rPr>
        <w:t> in an area of the sea referred to in paragraph 122(2)(g</w:t>
      </w:r>
      <w:r w:rsidRPr="00BE356B">
        <w:rPr>
          <w:rFonts w:ascii="Helvetica Neue" w:hAnsi="Helvetica Neue"/>
          <w:color w:val="333333"/>
        </w:rPr>
        <w:t>) (</w:t>
      </w:r>
      <w:r w:rsidRPr="00BE356B">
        <w:rPr>
          <w:rFonts w:ascii="Helvetica Neue" w:hAnsi="Helvetica Neue"/>
          <w:color w:val="333333"/>
        </w:rPr>
        <w:t>an area of the sea, other than the internal waters of a foreign state, not included in the areas of the sea referred to in paragraphs (a) to (f).</w:t>
      </w:r>
    </w:p>
    <w:p w:rsidR="00FE4DEC" w:rsidRPr="00BE356B" w:rsidRDefault="00BE356B" w:rsidP="00BE356B">
      <w:pPr>
        <w:pStyle w:val="ListParagraph"/>
        <w:numPr>
          <w:ilvl w:val="2"/>
          <w:numId w:val="4"/>
        </w:numPr>
        <w:spacing w:after="120" w:line="259" w:lineRule="auto"/>
        <w:rPr>
          <w:rFonts w:asciiTheme="minorHAnsi" w:hAnsiTheme="minorHAnsi" w:cstheme="minorHAnsi"/>
        </w:rPr>
      </w:pPr>
      <w:r w:rsidRPr="00BE356B">
        <w:rPr>
          <w:rFonts w:ascii="Helvetica Neue" w:hAnsi="Helvetica Neue"/>
          <w:color w:val="333333"/>
        </w:rPr>
        <w:t>in the course of hot pursuit that commenced while a ship was in an area of the sea referred to in any paragraphs 122(2)(a) to (e).</w:t>
      </w:r>
    </w:p>
    <w:p w:rsidR="00BE356B" w:rsidRDefault="00BE356B" w:rsidP="00BE356B">
      <w:pPr>
        <w:pStyle w:val="ListParagraph"/>
        <w:numPr>
          <w:ilvl w:val="1"/>
          <w:numId w:val="4"/>
        </w:numPr>
        <w:spacing w:after="120" w:line="259" w:lineRule="auto"/>
        <w:rPr>
          <w:rFonts w:asciiTheme="minorHAnsi" w:hAnsiTheme="minorHAnsi" w:cstheme="minorHAnsi"/>
        </w:rPr>
      </w:pPr>
      <w:r>
        <w:rPr>
          <w:rFonts w:asciiTheme="minorHAnsi" w:hAnsiTheme="minorHAnsi" w:cstheme="minorHAnsi"/>
        </w:rPr>
        <w:t>Criminal:</w:t>
      </w:r>
    </w:p>
    <w:p w:rsidR="00BE356B" w:rsidRDefault="00BE356B" w:rsidP="00BE356B">
      <w:pPr>
        <w:pStyle w:val="ListParagraph"/>
        <w:numPr>
          <w:ilvl w:val="2"/>
          <w:numId w:val="4"/>
        </w:numPr>
        <w:spacing w:after="120" w:line="259" w:lineRule="auto"/>
        <w:rPr>
          <w:rFonts w:asciiTheme="minorHAnsi" w:hAnsiTheme="minorHAnsi" w:cstheme="minorHAnsi"/>
        </w:rPr>
      </w:pPr>
      <w:r>
        <w:rPr>
          <w:rFonts w:asciiTheme="minorHAnsi" w:hAnsiTheme="minorHAnsi" w:cstheme="minorHAnsi"/>
        </w:rPr>
        <w:t>Negligence</w:t>
      </w:r>
    </w:p>
    <w:p w:rsidR="00A52DA7" w:rsidRDefault="00BE356B" w:rsidP="00BE356B">
      <w:pPr>
        <w:pStyle w:val="ListParagraph"/>
        <w:numPr>
          <w:ilvl w:val="3"/>
          <w:numId w:val="4"/>
        </w:numPr>
        <w:spacing w:after="120" w:line="259" w:lineRule="auto"/>
        <w:rPr>
          <w:rFonts w:asciiTheme="minorHAnsi" w:hAnsiTheme="minorHAnsi" w:cstheme="minorHAnsi"/>
        </w:rPr>
      </w:pPr>
      <w:r>
        <w:rPr>
          <w:rFonts w:asciiTheme="minorHAnsi" w:hAnsiTheme="minorHAnsi" w:cstheme="minorHAnsi"/>
        </w:rPr>
        <w:lastRenderedPageBreak/>
        <w:t>Everyone is criminally negligent who in not doing anything or in omitting to do anything</w:t>
      </w:r>
      <w:r w:rsidR="00526919">
        <w:rPr>
          <w:rFonts w:asciiTheme="minorHAnsi" w:hAnsiTheme="minorHAnsi" w:cstheme="minorHAnsi"/>
        </w:rPr>
        <w:t xml:space="preserve"> that </w:t>
      </w:r>
      <w:r w:rsidR="00A52DA7">
        <w:rPr>
          <w:rFonts w:asciiTheme="minorHAnsi" w:hAnsiTheme="minorHAnsi" w:cstheme="minorHAnsi"/>
        </w:rPr>
        <w:t>it is their duty to do, shows deliberate or reckless disregard for the lives of safety of others</w:t>
      </w:r>
    </w:p>
    <w:p w:rsidR="00510D04" w:rsidRDefault="00510D04" w:rsidP="00A52DA7">
      <w:pPr>
        <w:pStyle w:val="ListParagraph"/>
        <w:numPr>
          <w:ilvl w:val="2"/>
          <w:numId w:val="4"/>
        </w:numPr>
        <w:spacing w:after="120" w:line="259" w:lineRule="auto"/>
        <w:rPr>
          <w:rFonts w:asciiTheme="minorHAnsi" w:hAnsiTheme="minorHAnsi" w:cstheme="minorHAnsi"/>
        </w:rPr>
      </w:pPr>
      <w:r>
        <w:rPr>
          <w:rFonts w:asciiTheme="minorHAnsi" w:hAnsiTheme="minorHAnsi" w:cstheme="minorHAnsi"/>
        </w:rPr>
        <w:t>Every person is guilty of an offence and liable on conviction on indictment to a fine or to imprisonment for a term of not more than five years or to both who in committing an offence:</w:t>
      </w:r>
    </w:p>
    <w:p w:rsidR="00BE356B" w:rsidRDefault="00510D04" w:rsidP="00510D04">
      <w:pPr>
        <w:pStyle w:val="ListParagraph"/>
        <w:numPr>
          <w:ilvl w:val="3"/>
          <w:numId w:val="4"/>
        </w:numPr>
        <w:spacing w:after="120" w:line="259" w:lineRule="auto"/>
        <w:rPr>
          <w:rFonts w:asciiTheme="minorHAnsi" w:hAnsiTheme="minorHAnsi" w:cstheme="minorHAnsi"/>
        </w:rPr>
      </w:pPr>
      <w:r>
        <w:rPr>
          <w:rFonts w:asciiTheme="minorHAnsi" w:hAnsiTheme="minorHAnsi" w:cstheme="minorHAnsi"/>
        </w:rPr>
        <w:t xml:space="preserve">Intentionally or recklessly causes a disaster that results in a loss of the use of the environment </w:t>
      </w:r>
    </w:p>
    <w:p w:rsidR="00510D04" w:rsidRPr="00510D04" w:rsidRDefault="00510D04" w:rsidP="00510D04">
      <w:pPr>
        <w:pStyle w:val="ListParagraph"/>
        <w:numPr>
          <w:ilvl w:val="3"/>
          <w:numId w:val="4"/>
        </w:numPr>
        <w:spacing w:after="120" w:line="259" w:lineRule="auto"/>
        <w:rPr>
          <w:rFonts w:asciiTheme="minorHAnsi" w:hAnsiTheme="minorHAnsi" w:cstheme="minorHAnsi"/>
        </w:rPr>
      </w:pPr>
      <w:r>
        <w:rPr>
          <w:rFonts w:asciiTheme="minorHAnsi" w:hAnsiTheme="minorHAnsi" w:cstheme="minorHAnsi"/>
        </w:rPr>
        <w:t>Shows disregards for the lives or safety of others and thereby causes a risk of death of harm to others</w:t>
      </w:r>
    </w:p>
    <w:p w:rsidR="00BE356B" w:rsidRDefault="00BE356B" w:rsidP="00BE356B">
      <w:pPr>
        <w:pStyle w:val="ListParagraph"/>
        <w:numPr>
          <w:ilvl w:val="0"/>
          <w:numId w:val="4"/>
        </w:numPr>
        <w:rPr>
          <w:rFonts w:ascii="Calibri" w:hAnsi="Calibri" w:cs="Calibri"/>
        </w:rPr>
      </w:pPr>
      <w:r>
        <w:rPr>
          <w:rFonts w:ascii="Calibri" w:hAnsi="Calibri" w:cs="Calibri"/>
        </w:rPr>
        <w:t>A</w:t>
      </w:r>
      <w:r w:rsidR="00425189" w:rsidRPr="00EF675D">
        <w:rPr>
          <w:rFonts w:ascii="Calibri" w:hAnsi="Calibri" w:cs="Calibri"/>
        </w:rPr>
        <w:t xml:space="preserve">bsolute </w:t>
      </w:r>
    </w:p>
    <w:p w:rsidR="00BE356B" w:rsidRPr="00BE356B" w:rsidRDefault="00BE356B" w:rsidP="00BE356B">
      <w:pPr>
        <w:pStyle w:val="ListParagraph"/>
        <w:numPr>
          <w:ilvl w:val="1"/>
          <w:numId w:val="4"/>
        </w:numPr>
        <w:rPr>
          <w:rFonts w:asciiTheme="minorHAnsi" w:hAnsiTheme="minorHAnsi" w:cstheme="minorHAnsi"/>
        </w:rPr>
      </w:pPr>
      <w:r w:rsidRPr="00BE356B">
        <w:rPr>
          <w:rFonts w:asciiTheme="minorHAnsi" w:hAnsiTheme="minorHAnsi" w:cstheme="minorHAnsi"/>
        </w:rPr>
        <w:t>in a crime of absolute liability, a mistake of fact is not a defence</w:t>
      </w:r>
    </w:p>
    <w:p w:rsidR="00BE356B" w:rsidRDefault="00BE356B" w:rsidP="00BE356B">
      <w:pPr>
        <w:pStyle w:val="ListParagraph"/>
        <w:numPr>
          <w:ilvl w:val="1"/>
          <w:numId w:val="4"/>
        </w:numPr>
        <w:rPr>
          <w:rFonts w:asciiTheme="minorHAnsi" w:hAnsiTheme="minorHAnsi" w:cstheme="minorHAnsi"/>
        </w:rPr>
      </w:pPr>
      <w:r w:rsidRPr="00BE356B">
        <w:rPr>
          <w:rFonts w:asciiTheme="minorHAnsi" w:hAnsiTheme="minorHAnsi" w:cstheme="minorHAnsi"/>
        </w:rPr>
        <w:t>This is liability without fault, yet no excuse for it. Conviction is secured simply on proof of actus reus alone and mens rea is not required. </w:t>
      </w:r>
    </w:p>
    <w:p w:rsidR="00510D04" w:rsidRPr="00510D04" w:rsidRDefault="00BE356B" w:rsidP="00510D04">
      <w:pPr>
        <w:pStyle w:val="ListParagraph"/>
        <w:numPr>
          <w:ilvl w:val="1"/>
          <w:numId w:val="4"/>
        </w:numPr>
        <w:rPr>
          <w:rFonts w:asciiTheme="minorHAnsi" w:hAnsiTheme="minorHAnsi" w:cstheme="minorHAnsi"/>
        </w:rPr>
      </w:pPr>
      <w:r>
        <w:rPr>
          <w:rFonts w:asciiTheme="minorHAnsi" w:hAnsiTheme="minorHAnsi" w:cstheme="minorHAnsi"/>
        </w:rPr>
        <w:t>For example</w:t>
      </w:r>
      <w:r w:rsidR="00510D04">
        <w:rPr>
          <w:rFonts w:asciiTheme="minorHAnsi" w:hAnsiTheme="minorHAnsi" w:cstheme="minorHAnsi"/>
        </w:rPr>
        <w:t>: having sex with a minor</w:t>
      </w:r>
    </w:p>
    <w:p w:rsidR="00425189" w:rsidRPr="00EF675D" w:rsidRDefault="00425189" w:rsidP="00425189">
      <w:pPr>
        <w:pStyle w:val="ListParagraph"/>
        <w:numPr>
          <w:ilvl w:val="0"/>
          <w:numId w:val="4"/>
        </w:numPr>
        <w:rPr>
          <w:rFonts w:ascii="Calibri" w:hAnsi="Calibri" w:cs="Calibri"/>
        </w:rPr>
      </w:pPr>
      <w:r w:rsidRPr="00EF675D">
        <w:rPr>
          <w:rFonts w:ascii="Calibri" w:hAnsi="Calibri" w:cs="Calibri"/>
        </w:rPr>
        <w:t>Check statute if it gives authority - if yes, the regulation making section</w:t>
      </w:r>
    </w:p>
    <w:p w:rsidR="00425189" w:rsidRPr="00EF675D" w:rsidRDefault="00425189" w:rsidP="00425189">
      <w:pPr>
        <w:pStyle w:val="ListParagraph"/>
        <w:numPr>
          <w:ilvl w:val="0"/>
          <w:numId w:val="4"/>
        </w:numPr>
        <w:rPr>
          <w:rFonts w:ascii="Calibri" w:hAnsi="Calibri" w:cs="Calibri"/>
        </w:rPr>
      </w:pPr>
      <w:r w:rsidRPr="00EF675D">
        <w:rPr>
          <w:rFonts w:ascii="Calibri" w:hAnsi="Calibri" w:cs="Calibri"/>
        </w:rPr>
        <w:t>Inspection when you find the violation</w:t>
      </w:r>
    </w:p>
    <w:p w:rsidR="00425189" w:rsidRPr="00EF675D" w:rsidRDefault="00425189" w:rsidP="00425189">
      <w:pPr>
        <w:rPr>
          <w:rFonts w:ascii="Calibri" w:hAnsi="Calibri" w:cs="Calibri"/>
        </w:rPr>
      </w:pPr>
    </w:p>
    <w:p w:rsidR="00425189" w:rsidRPr="00EF675D" w:rsidRDefault="00425189" w:rsidP="00425189">
      <w:pPr>
        <w:rPr>
          <w:rFonts w:ascii="Calibri" w:hAnsi="Calibri" w:cs="Calibri"/>
          <w:u w:val="single"/>
        </w:rPr>
      </w:pPr>
      <w:r w:rsidRPr="00EF675D">
        <w:rPr>
          <w:rFonts w:ascii="Calibri" w:hAnsi="Calibri" w:cs="Calibri"/>
          <w:u w:val="single"/>
        </w:rPr>
        <w:t>Precautionary Principle:</w:t>
      </w:r>
    </w:p>
    <w:p w:rsidR="00425189" w:rsidRPr="00EF675D" w:rsidRDefault="00425189" w:rsidP="00425189">
      <w:pPr>
        <w:rPr>
          <w:rFonts w:ascii="Calibri" w:hAnsi="Calibri" w:cs="Calibri"/>
          <w:u w:val="single"/>
        </w:rPr>
      </w:pPr>
    </w:p>
    <w:p w:rsidR="00510D04" w:rsidRPr="00A25EF2" w:rsidRDefault="00510D04" w:rsidP="00A25EF2">
      <w:pPr>
        <w:pStyle w:val="ListParagraph"/>
        <w:numPr>
          <w:ilvl w:val="0"/>
          <w:numId w:val="11"/>
        </w:numPr>
        <w:rPr>
          <w:rFonts w:asciiTheme="minorHAnsi" w:hAnsiTheme="minorHAnsi" w:cstheme="minorHAnsi"/>
        </w:rPr>
      </w:pPr>
      <w:r w:rsidRPr="00A25EF2">
        <w:rPr>
          <w:rFonts w:asciiTheme="minorHAnsi" w:hAnsiTheme="minorHAnsi" w:cstheme="minorHAnsi"/>
        </w:rPr>
        <w:t>The precautionary principle generally defines actions on issues considered to be uncertain, for instance applied in assessing risk management</w:t>
      </w:r>
    </w:p>
    <w:p w:rsidR="00510D04" w:rsidRPr="00A25EF2" w:rsidRDefault="00510D04" w:rsidP="00A25EF2">
      <w:pPr>
        <w:pStyle w:val="ListParagraph"/>
        <w:numPr>
          <w:ilvl w:val="0"/>
          <w:numId w:val="11"/>
        </w:numPr>
        <w:rPr>
          <w:rFonts w:asciiTheme="minorHAnsi" w:hAnsiTheme="minorHAnsi" w:cstheme="minorHAnsi"/>
        </w:rPr>
      </w:pPr>
      <w:r w:rsidRPr="00A25EF2">
        <w:rPr>
          <w:rFonts w:asciiTheme="minorHAnsi" w:hAnsiTheme="minorHAnsi" w:cstheme="minorHAnsi"/>
        </w:rPr>
        <w:t>the precautionary principle denotes a duty to prevent harm, when it is within our power to do so, even when all the evidence is not in. This principle has been codified in several international treaties to which Canada is a signatory. Domestic law makes reference to this principle, but implementation remains limited.</w:t>
      </w:r>
    </w:p>
    <w:p w:rsid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 xml:space="preserve">is a legitimate and distinctive decision-making tool in risk management </w:t>
      </w:r>
    </w:p>
    <w:p w:rsidR="00A25EF2" w:rsidRDefault="00510D04" w:rsidP="00A25EF2">
      <w:pPr>
        <w:pStyle w:val="ListParagraph"/>
        <w:numPr>
          <w:ilvl w:val="1"/>
          <w:numId w:val="9"/>
        </w:numPr>
        <w:rPr>
          <w:rFonts w:asciiTheme="minorHAnsi" w:hAnsiTheme="minorHAnsi" w:cstheme="minorHAnsi"/>
        </w:rPr>
      </w:pPr>
      <w:r w:rsidRPr="00A25EF2">
        <w:rPr>
          <w:rFonts w:asciiTheme="minorHAnsi" w:hAnsiTheme="minorHAnsi" w:cstheme="minorHAnsi"/>
        </w:rPr>
        <w:t>Managing environmental risk (both to the environment and human health)</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legitimate for decisions making for societies’ chosen level of protection against risk (EEG tobacco)</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sound scientific info and its evaluation must be the basis for applying the PP, particularly in regard to the decision to act or not to act (decision to or not to implement precautionary measures)</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scientific evidence required should be established relative to the chosen level of protection, further the responsibility for producing the burden of proof may be a sign, it is recognized that the scientific based and responsibility for producing it may shift as the knowledge evolves</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mechanism should exist for re</w:t>
      </w:r>
      <w:r w:rsidR="00A25EF2">
        <w:rPr>
          <w:rFonts w:asciiTheme="minorHAnsi" w:hAnsiTheme="minorHAnsi" w:cstheme="minorHAnsi"/>
        </w:rPr>
        <w:t>-</w:t>
      </w:r>
      <w:r w:rsidRPr="00A25EF2">
        <w:rPr>
          <w:rFonts w:asciiTheme="minorHAnsi" w:hAnsiTheme="minorHAnsi" w:cstheme="minorHAnsi"/>
        </w:rPr>
        <w:t xml:space="preserve">evaluation the basis for the decisions and for providing a transparent process for further consultation </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 xml:space="preserve">a greater degree of transparency clear accountability and increased public involvement are appropriate </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 xml:space="preserve">precautionary measures should be subject to reconsideration on the basis of science tech and society’s chosen level of protection </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lastRenderedPageBreak/>
        <w:t>precautionary measures should be proportional to the potential severity of the risk being assessed and to society chosen level of protection</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 xml:space="preserve">precautionary measures should be non-discriminatory and consistent with measures taken in similar circumstances </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precautionary measures should be cost effective with the goal of generating one or first overall net benefit at the least cost and efficiency in the choice of measures</w:t>
      </w:r>
    </w:p>
    <w:p w:rsidR="00510D04" w:rsidRPr="00A25EF2" w:rsidRDefault="00510D04" w:rsidP="00A25EF2">
      <w:pPr>
        <w:pStyle w:val="ListParagraph"/>
        <w:numPr>
          <w:ilvl w:val="0"/>
          <w:numId w:val="9"/>
        </w:numPr>
        <w:rPr>
          <w:rFonts w:asciiTheme="minorHAnsi" w:hAnsiTheme="minorHAnsi" w:cstheme="minorHAnsi"/>
        </w:rPr>
      </w:pPr>
      <w:r w:rsidRPr="00A25EF2">
        <w:rPr>
          <w:rFonts w:asciiTheme="minorHAnsi" w:hAnsiTheme="minorHAnsi" w:cstheme="minorHAnsi"/>
        </w:rPr>
        <w:t>when more than one option meets the characteristics then the least trade restrictive should apply</w:t>
      </w:r>
    </w:p>
    <w:p w:rsidR="00510D04" w:rsidRPr="00A25EF2" w:rsidRDefault="00510D04" w:rsidP="00A25EF2">
      <w:pPr>
        <w:pStyle w:val="ListParagraph"/>
        <w:numPr>
          <w:ilvl w:val="0"/>
          <w:numId w:val="10"/>
        </w:numPr>
        <w:rPr>
          <w:rFonts w:asciiTheme="minorHAnsi" w:hAnsiTheme="minorHAnsi" w:cstheme="minorHAnsi"/>
        </w:rPr>
      </w:pPr>
      <w:r w:rsidRPr="00A25EF2">
        <w:rPr>
          <w:rFonts w:asciiTheme="minorHAnsi" w:hAnsiTheme="minorHAnsi" w:cstheme="minorHAnsi"/>
        </w:rPr>
        <w:t>Even if no scientific proof, you should still take action to be safe and risk manage</w:t>
      </w:r>
    </w:p>
    <w:p w:rsidR="00425189" w:rsidRPr="00425189" w:rsidRDefault="00425189" w:rsidP="00425189">
      <w:pPr>
        <w:rPr>
          <w:rFonts w:ascii="Calibri" w:hAnsi="Calibri" w:cs="Calibri"/>
          <w:u w:val="single"/>
        </w:rPr>
      </w:pPr>
    </w:p>
    <w:sectPr w:rsidR="00425189" w:rsidRPr="00425189" w:rsidSect="00A25EF2">
      <w:pgSz w:w="12240" w:h="15840"/>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00000004">
      <w:start w:val="1"/>
      <w:numFmt w:val="bullet"/>
      <w:lvlText w:val="⁃"/>
      <w:lvlJc w:val="left"/>
      <w:pPr>
        <w:ind w:left="2880" w:hanging="360"/>
      </w:pPr>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A77994"/>
    <w:multiLevelType w:val="multilevel"/>
    <w:tmpl w:val="FA1832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9521A5"/>
    <w:multiLevelType w:val="hybridMultilevel"/>
    <w:tmpl w:val="DCBCD4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7BB1B0E"/>
    <w:multiLevelType w:val="hybridMultilevel"/>
    <w:tmpl w:val="A7980670"/>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62774B"/>
    <w:multiLevelType w:val="hybridMultilevel"/>
    <w:tmpl w:val="738E8A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53C378F"/>
    <w:multiLevelType w:val="multilevel"/>
    <w:tmpl w:val="2C288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3F194B"/>
    <w:multiLevelType w:val="hybridMultilevel"/>
    <w:tmpl w:val="3D683F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9302AF9"/>
    <w:multiLevelType w:val="hybridMultilevel"/>
    <w:tmpl w:val="95320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44941F3"/>
    <w:multiLevelType w:val="hybridMultilevel"/>
    <w:tmpl w:val="7B9A39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EAD4AD0"/>
    <w:multiLevelType w:val="hybridMultilevel"/>
    <w:tmpl w:val="C50CF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8548DC"/>
    <w:multiLevelType w:val="hybridMultilevel"/>
    <w:tmpl w:val="A94C69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num>
  <w:num w:numId="3">
    <w:abstractNumId w:val="2"/>
  </w:num>
  <w:num w:numId="4">
    <w:abstractNumId w:val="6"/>
  </w:num>
  <w:num w:numId="5">
    <w:abstractNumId w:val="10"/>
  </w:num>
  <w:num w:numId="6">
    <w:abstractNumId w:val="4"/>
  </w:num>
  <w:num w:numId="7">
    <w:abstractNumId w:val="5"/>
  </w:num>
  <w:num w:numId="8">
    <w:abstractNumId w:val="1"/>
  </w:num>
  <w:num w:numId="9">
    <w:abstractNumId w:val="3"/>
  </w:num>
  <w:num w:numId="10">
    <w:abstractNumId w:val="9"/>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189"/>
    <w:rsid w:val="000D71CB"/>
    <w:rsid w:val="001C4431"/>
    <w:rsid w:val="001E493A"/>
    <w:rsid w:val="002D5796"/>
    <w:rsid w:val="003814CC"/>
    <w:rsid w:val="00393AAA"/>
    <w:rsid w:val="003F3D10"/>
    <w:rsid w:val="00425189"/>
    <w:rsid w:val="00510D04"/>
    <w:rsid w:val="00526919"/>
    <w:rsid w:val="006E5C96"/>
    <w:rsid w:val="00714795"/>
    <w:rsid w:val="007D7CA9"/>
    <w:rsid w:val="00867B1F"/>
    <w:rsid w:val="00A25EF2"/>
    <w:rsid w:val="00A52DA7"/>
    <w:rsid w:val="00B57385"/>
    <w:rsid w:val="00B9608B"/>
    <w:rsid w:val="00BE356B"/>
    <w:rsid w:val="00C21C40"/>
    <w:rsid w:val="00CA333D"/>
    <w:rsid w:val="00D34351"/>
    <w:rsid w:val="00D9634B"/>
    <w:rsid w:val="00DE576B"/>
    <w:rsid w:val="00EF675D"/>
    <w:rsid w:val="00EF6F62"/>
    <w:rsid w:val="00FE4D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082565DB"/>
  <w14:defaultImageDpi w14:val="32767"/>
  <w15:chartTrackingRefBased/>
  <w15:docId w15:val="{2120ADD3-34E6-F042-917D-269B9DAA1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E576B"/>
    <w:rPr>
      <w:rFonts w:ascii="Times New Roman" w:eastAsia="Times New Roman" w:hAnsi="Times New Roman" w:cs="Times New Roman"/>
      <w:lang w:val="en-CA"/>
    </w:rPr>
  </w:style>
  <w:style w:type="paragraph" w:styleId="Heading1">
    <w:name w:val="heading 1"/>
    <w:basedOn w:val="Normal"/>
    <w:next w:val="Normal"/>
    <w:link w:val="Heading1Char"/>
    <w:uiPriority w:val="9"/>
    <w:qFormat/>
    <w:rsid w:val="00425189"/>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5189"/>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425189"/>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5189"/>
    <w:rPr>
      <w:rFonts w:asciiTheme="majorHAnsi" w:eastAsiaTheme="majorEastAsia" w:hAnsiTheme="majorHAnsi" w:cstheme="majorBidi"/>
      <w:spacing w:val="-10"/>
      <w:kern w:val="28"/>
      <w:sz w:val="56"/>
      <w:szCs w:val="56"/>
    </w:rPr>
  </w:style>
  <w:style w:type="character" w:styleId="IntenseReference">
    <w:name w:val="Intense Reference"/>
    <w:basedOn w:val="DefaultParagraphFont"/>
    <w:uiPriority w:val="32"/>
    <w:qFormat/>
    <w:rsid w:val="00425189"/>
    <w:rPr>
      <w:b/>
      <w:bCs/>
      <w:smallCaps/>
      <w:color w:val="4472C4" w:themeColor="accent1"/>
      <w:spacing w:val="5"/>
    </w:rPr>
  </w:style>
  <w:style w:type="character" w:styleId="SubtleReference">
    <w:name w:val="Subtle Reference"/>
    <w:basedOn w:val="DefaultParagraphFont"/>
    <w:uiPriority w:val="31"/>
    <w:qFormat/>
    <w:rsid w:val="00425189"/>
    <w:rPr>
      <w:smallCaps/>
      <w:color w:val="5A5A5A" w:themeColor="text1" w:themeTint="A5"/>
    </w:rPr>
  </w:style>
  <w:style w:type="character" w:styleId="Hashtag">
    <w:name w:val="Hashtag"/>
    <w:basedOn w:val="DefaultParagraphFont"/>
    <w:uiPriority w:val="99"/>
    <w:rsid w:val="00425189"/>
    <w:rPr>
      <w:color w:val="2B579A"/>
      <w:shd w:val="clear" w:color="auto" w:fill="E1DFDD"/>
    </w:rPr>
  </w:style>
  <w:style w:type="character" w:styleId="UnresolvedMention">
    <w:name w:val="Unresolved Mention"/>
    <w:basedOn w:val="DefaultParagraphFont"/>
    <w:uiPriority w:val="99"/>
    <w:rsid w:val="00425189"/>
    <w:rPr>
      <w:color w:val="605E5C"/>
      <w:shd w:val="clear" w:color="auto" w:fill="E1DFDD"/>
    </w:rPr>
  </w:style>
  <w:style w:type="paragraph" w:styleId="ListParagraph">
    <w:name w:val="List Paragraph"/>
    <w:basedOn w:val="Normal"/>
    <w:uiPriority w:val="34"/>
    <w:qFormat/>
    <w:rsid w:val="00425189"/>
    <w:pPr>
      <w:ind w:left="720"/>
      <w:contextualSpacing/>
    </w:pPr>
  </w:style>
  <w:style w:type="paragraph" w:styleId="NormalWeb">
    <w:name w:val="Normal (Web)"/>
    <w:basedOn w:val="Normal"/>
    <w:uiPriority w:val="99"/>
    <w:semiHidden/>
    <w:unhideWhenUsed/>
    <w:rsid w:val="002D5796"/>
    <w:pPr>
      <w:spacing w:before="100" w:beforeAutospacing="1" w:after="100" w:afterAutospacing="1"/>
    </w:pPr>
  </w:style>
  <w:style w:type="character" w:styleId="Hyperlink">
    <w:name w:val="Hyperlink"/>
    <w:basedOn w:val="DefaultParagraphFont"/>
    <w:uiPriority w:val="99"/>
    <w:unhideWhenUsed/>
    <w:rsid w:val="002D5796"/>
    <w:rPr>
      <w:color w:val="0000FF"/>
      <w:u w:val="single"/>
    </w:rPr>
  </w:style>
  <w:style w:type="character" w:styleId="Strong">
    <w:name w:val="Strong"/>
    <w:basedOn w:val="DefaultParagraphFont"/>
    <w:uiPriority w:val="22"/>
    <w:qFormat/>
    <w:rsid w:val="00FE4DEC"/>
    <w:rPr>
      <w:b/>
      <w:bCs/>
    </w:rPr>
  </w:style>
  <w:style w:type="character" w:styleId="Emphasis">
    <w:name w:val="Emphasis"/>
    <w:basedOn w:val="DefaultParagraphFont"/>
    <w:uiPriority w:val="20"/>
    <w:qFormat/>
    <w:rsid w:val="00FE4DEC"/>
    <w:rPr>
      <w:i/>
      <w:iCs/>
    </w:rPr>
  </w:style>
  <w:style w:type="paragraph" w:customStyle="1" w:styleId="subsection">
    <w:name w:val="subsection"/>
    <w:basedOn w:val="Normal"/>
    <w:rsid w:val="00BE356B"/>
    <w:pPr>
      <w:spacing w:before="100" w:beforeAutospacing="1" w:after="100" w:afterAutospacing="1"/>
    </w:pPr>
  </w:style>
  <w:style w:type="character" w:styleId="HTMLCite">
    <w:name w:val="HTML Cite"/>
    <w:basedOn w:val="DefaultParagraphFont"/>
    <w:uiPriority w:val="99"/>
    <w:semiHidden/>
    <w:unhideWhenUsed/>
    <w:rsid w:val="00BE356B"/>
    <w:rPr>
      <w:i/>
      <w:iCs/>
    </w:rPr>
  </w:style>
  <w:style w:type="paragraph" w:customStyle="1" w:styleId="paragraph">
    <w:name w:val="paragraph"/>
    <w:basedOn w:val="Normal"/>
    <w:rsid w:val="00BE356B"/>
    <w:pPr>
      <w:spacing w:before="100" w:beforeAutospacing="1" w:after="100" w:afterAutospacing="1"/>
    </w:pPr>
  </w:style>
  <w:style w:type="character" w:customStyle="1" w:styleId="lawlabel">
    <w:name w:val="lawlabel"/>
    <w:basedOn w:val="DefaultParagraphFont"/>
    <w:rsid w:val="00BE356B"/>
  </w:style>
  <w:style w:type="paragraph" w:styleId="BalloonText">
    <w:name w:val="Balloon Text"/>
    <w:basedOn w:val="Normal"/>
    <w:link w:val="BalloonTextChar"/>
    <w:uiPriority w:val="99"/>
    <w:semiHidden/>
    <w:unhideWhenUsed/>
    <w:rsid w:val="00A25EF2"/>
    <w:rPr>
      <w:sz w:val="18"/>
      <w:szCs w:val="18"/>
    </w:rPr>
  </w:style>
  <w:style w:type="character" w:customStyle="1" w:styleId="BalloonTextChar">
    <w:name w:val="Balloon Text Char"/>
    <w:basedOn w:val="DefaultParagraphFont"/>
    <w:link w:val="BalloonText"/>
    <w:uiPriority w:val="99"/>
    <w:semiHidden/>
    <w:rsid w:val="00A25EF2"/>
    <w:rPr>
      <w:rFonts w:ascii="Times New Roman" w:eastAsia="Times New Roman" w:hAnsi="Times New Roman" w:cs="Times New Roman"/>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085227">
      <w:bodyDiv w:val="1"/>
      <w:marLeft w:val="0"/>
      <w:marRight w:val="0"/>
      <w:marTop w:val="0"/>
      <w:marBottom w:val="0"/>
      <w:divBdr>
        <w:top w:val="none" w:sz="0" w:space="0" w:color="auto"/>
        <w:left w:val="none" w:sz="0" w:space="0" w:color="auto"/>
        <w:bottom w:val="none" w:sz="0" w:space="0" w:color="auto"/>
        <w:right w:val="none" w:sz="0" w:space="0" w:color="auto"/>
      </w:divBdr>
    </w:div>
    <w:div w:id="142047748">
      <w:bodyDiv w:val="1"/>
      <w:marLeft w:val="0"/>
      <w:marRight w:val="0"/>
      <w:marTop w:val="0"/>
      <w:marBottom w:val="0"/>
      <w:divBdr>
        <w:top w:val="none" w:sz="0" w:space="0" w:color="auto"/>
        <w:left w:val="none" w:sz="0" w:space="0" w:color="auto"/>
        <w:bottom w:val="none" w:sz="0" w:space="0" w:color="auto"/>
        <w:right w:val="none" w:sz="0" w:space="0" w:color="auto"/>
      </w:divBdr>
    </w:div>
    <w:div w:id="180750786">
      <w:bodyDiv w:val="1"/>
      <w:marLeft w:val="0"/>
      <w:marRight w:val="0"/>
      <w:marTop w:val="0"/>
      <w:marBottom w:val="0"/>
      <w:divBdr>
        <w:top w:val="none" w:sz="0" w:space="0" w:color="auto"/>
        <w:left w:val="none" w:sz="0" w:space="0" w:color="auto"/>
        <w:bottom w:val="none" w:sz="0" w:space="0" w:color="auto"/>
        <w:right w:val="none" w:sz="0" w:space="0" w:color="auto"/>
      </w:divBdr>
    </w:div>
    <w:div w:id="301886360">
      <w:bodyDiv w:val="1"/>
      <w:marLeft w:val="0"/>
      <w:marRight w:val="0"/>
      <w:marTop w:val="0"/>
      <w:marBottom w:val="0"/>
      <w:divBdr>
        <w:top w:val="none" w:sz="0" w:space="0" w:color="auto"/>
        <w:left w:val="none" w:sz="0" w:space="0" w:color="auto"/>
        <w:bottom w:val="none" w:sz="0" w:space="0" w:color="auto"/>
        <w:right w:val="none" w:sz="0" w:space="0" w:color="auto"/>
      </w:divBdr>
    </w:div>
    <w:div w:id="366223801">
      <w:bodyDiv w:val="1"/>
      <w:marLeft w:val="0"/>
      <w:marRight w:val="0"/>
      <w:marTop w:val="0"/>
      <w:marBottom w:val="0"/>
      <w:divBdr>
        <w:top w:val="none" w:sz="0" w:space="0" w:color="auto"/>
        <w:left w:val="none" w:sz="0" w:space="0" w:color="auto"/>
        <w:bottom w:val="none" w:sz="0" w:space="0" w:color="auto"/>
        <w:right w:val="none" w:sz="0" w:space="0" w:color="auto"/>
      </w:divBdr>
    </w:div>
    <w:div w:id="420371351">
      <w:bodyDiv w:val="1"/>
      <w:marLeft w:val="0"/>
      <w:marRight w:val="0"/>
      <w:marTop w:val="0"/>
      <w:marBottom w:val="0"/>
      <w:divBdr>
        <w:top w:val="none" w:sz="0" w:space="0" w:color="auto"/>
        <w:left w:val="none" w:sz="0" w:space="0" w:color="auto"/>
        <w:bottom w:val="none" w:sz="0" w:space="0" w:color="auto"/>
        <w:right w:val="none" w:sz="0" w:space="0" w:color="auto"/>
      </w:divBdr>
    </w:div>
    <w:div w:id="476067227">
      <w:bodyDiv w:val="1"/>
      <w:marLeft w:val="0"/>
      <w:marRight w:val="0"/>
      <w:marTop w:val="0"/>
      <w:marBottom w:val="0"/>
      <w:divBdr>
        <w:top w:val="none" w:sz="0" w:space="0" w:color="auto"/>
        <w:left w:val="none" w:sz="0" w:space="0" w:color="auto"/>
        <w:bottom w:val="none" w:sz="0" w:space="0" w:color="auto"/>
        <w:right w:val="none" w:sz="0" w:space="0" w:color="auto"/>
      </w:divBdr>
    </w:div>
    <w:div w:id="547031676">
      <w:bodyDiv w:val="1"/>
      <w:marLeft w:val="0"/>
      <w:marRight w:val="0"/>
      <w:marTop w:val="0"/>
      <w:marBottom w:val="0"/>
      <w:divBdr>
        <w:top w:val="none" w:sz="0" w:space="0" w:color="auto"/>
        <w:left w:val="none" w:sz="0" w:space="0" w:color="auto"/>
        <w:bottom w:val="none" w:sz="0" w:space="0" w:color="auto"/>
        <w:right w:val="none" w:sz="0" w:space="0" w:color="auto"/>
      </w:divBdr>
    </w:div>
    <w:div w:id="580681001">
      <w:bodyDiv w:val="1"/>
      <w:marLeft w:val="0"/>
      <w:marRight w:val="0"/>
      <w:marTop w:val="0"/>
      <w:marBottom w:val="0"/>
      <w:divBdr>
        <w:top w:val="none" w:sz="0" w:space="0" w:color="auto"/>
        <w:left w:val="none" w:sz="0" w:space="0" w:color="auto"/>
        <w:bottom w:val="none" w:sz="0" w:space="0" w:color="auto"/>
        <w:right w:val="none" w:sz="0" w:space="0" w:color="auto"/>
      </w:divBdr>
    </w:div>
    <w:div w:id="684746360">
      <w:bodyDiv w:val="1"/>
      <w:marLeft w:val="0"/>
      <w:marRight w:val="0"/>
      <w:marTop w:val="0"/>
      <w:marBottom w:val="0"/>
      <w:divBdr>
        <w:top w:val="none" w:sz="0" w:space="0" w:color="auto"/>
        <w:left w:val="none" w:sz="0" w:space="0" w:color="auto"/>
        <w:bottom w:val="none" w:sz="0" w:space="0" w:color="auto"/>
        <w:right w:val="none" w:sz="0" w:space="0" w:color="auto"/>
      </w:divBdr>
    </w:div>
    <w:div w:id="769158793">
      <w:bodyDiv w:val="1"/>
      <w:marLeft w:val="0"/>
      <w:marRight w:val="0"/>
      <w:marTop w:val="0"/>
      <w:marBottom w:val="0"/>
      <w:divBdr>
        <w:top w:val="none" w:sz="0" w:space="0" w:color="auto"/>
        <w:left w:val="none" w:sz="0" w:space="0" w:color="auto"/>
        <w:bottom w:val="none" w:sz="0" w:space="0" w:color="auto"/>
        <w:right w:val="none" w:sz="0" w:space="0" w:color="auto"/>
      </w:divBdr>
      <w:divsChild>
        <w:div w:id="2125878970">
          <w:marLeft w:val="0"/>
          <w:marRight w:val="0"/>
          <w:marTop w:val="0"/>
          <w:marBottom w:val="0"/>
          <w:divBdr>
            <w:top w:val="none" w:sz="0" w:space="0" w:color="auto"/>
            <w:left w:val="none" w:sz="0" w:space="0" w:color="auto"/>
            <w:bottom w:val="none" w:sz="0" w:space="0" w:color="auto"/>
            <w:right w:val="none" w:sz="0" w:space="0" w:color="auto"/>
          </w:divBdr>
        </w:div>
      </w:divsChild>
    </w:div>
    <w:div w:id="920482420">
      <w:bodyDiv w:val="1"/>
      <w:marLeft w:val="0"/>
      <w:marRight w:val="0"/>
      <w:marTop w:val="0"/>
      <w:marBottom w:val="0"/>
      <w:divBdr>
        <w:top w:val="none" w:sz="0" w:space="0" w:color="auto"/>
        <w:left w:val="none" w:sz="0" w:space="0" w:color="auto"/>
        <w:bottom w:val="none" w:sz="0" w:space="0" w:color="auto"/>
        <w:right w:val="none" w:sz="0" w:space="0" w:color="auto"/>
      </w:divBdr>
    </w:div>
    <w:div w:id="1022785802">
      <w:bodyDiv w:val="1"/>
      <w:marLeft w:val="0"/>
      <w:marRight w:val="0"/>
      <w:marTop w:val="0"/>
      <w:marBottom w:val="0"/>
      <w:divBdr>
        <w:top w:val="none" w:sz="0" w:space="0" w:color="auto"/>
        <w:left w:val="none" w:sz="0" w:space="0" w:color="auto"/>
        <w:bottom w:val="none" w:sz="0" w:space="0" w:color="auto"/>
        <w:right w:val="none" w:sz="0" w:space="0" w:color="auto"/>
      </w:divBdr>
    </w:div>
    <w:div w:id="1035429394">
      <w:bodyDiv w:val="1"/>
      <w:marLeft w:val="0"/>
      <w:marRight w:val="0"/>
      <w:marTop w:val="0"/>
      <w:marBottom w:val="0"/>
      <w:divBdr>
        <w:top w:val="none" w:sz="0" w:space="0" w:color="auto"/>
        <w:left w:val="none" w:sz="0" w:space="0" w:color="auto"/>
        <w:bottom w:val="none" w:sz="0" w:space="0" w:color="auto"/>
        <w:right w:val="none" w:sz="0" w:space="0" w:color="auto"/>
      </w:divBdr>
      <w:divsChild>
        <w:div w:id="1007751905">
          <w:marLeft w:val="0"/>
          <w:marRight w:val="0"/>
          <w:marTop w:val="0"/>
          <w:marBottom w:val="0"/>
          <w:divBdr>
            <w:top w:val="none" w:sz="0" w:space="0" w:color="auto"/>
            <w:left w:val="none" w:sz="0" w:space="0" w:color="auto"/>
            <w:bottom w:val="none" w:sz="0" w:space="0" w:color="auto"/>
            <w:right w:val="none" w:sz="0" w:space="0" w:color="auto"/>
          </w:divBdr>
        </w:div>
      </w:divsChild>
    </w:div>
    <w:div w:id="1137381881">
      <w:bodyDiv w:val="1"/>
      <w:marLeft w:val="0"/>
      <w:marRight w:val="0"/>
      <w:marTop w:val="0"/>
      <w:marBottom w:val="0"/>
      <w:divBdr>
        <w:top w:val="none" w:sz="0" w:space="0" w:color="auto"/>
        <w:left w:val="none" w:sz="0" w:space="0" w:color="auto"/>
        <w:bottom w:val="none" w:sz="0" w:space="0" w:color="auto"/>
        <w:right w:val="none" w:sz="0" w:space="0" w:color="auto"/>
      </w:divBdr>
    </w:div>
    <w:div w:id="1170562952">
      <w:bodyDiv w:val="1"/>
      <w:marLeft w:val="0"/>
      <w:marRight w:val="0"/>
      <w:marTop w:val="0"/>
      <w:marBottom w:val="0"/>
      <w:divBdr>
        <w:top w:val="none" w:sz="0" w:space="0" w:color="auto"/>
        <w:left w:val="none" w:sz="0" w:space="0" w:color="auto"/>
        <w:bottom w:val="none" w:sz="0" w:space="0" w:color="auto"/>
        <w:right w:val="none" w:sz="0" w:space="0" w:color="auto"/>
      </w:divBdr>
    </w:div>
    <w:div w:id="1301306837">
      <w:bodyDiv w:val="1"/>
      <w:marLeft w:val="0"/>
      <w:marRight w:val="0"/>
      <w:marTop w:val="0"/>
      <w:marBottom w:val="0"/>
      <w:divBdr>
        <w:top w:val="none" w:sz="0" w:space="0" w:color="auto"/>
        <w:left w:val="none" w:sz="0" w:space="0" w:color="auto"/>
        <w:bottom w:val="none" w:sz="0" w:space="0" w:color="auto"/>
        <w:right w:val="none" w:sz="0" w:space="0" w:color="auto"/>
      </w:divBdr>
    </w:div>
    <w:div w:id="1385789801">
      <w:bodyDiv w:val="1"/>
      <w:marLeft w:val="0"/>
      <w:marRight w:val="0"/>
      <w:marTop w:val="0"/>
      <w:marBottom w:val="0"/>
      <w:divBdr>
        <w:top w:val="none" w:sz="0" w:space="0" w:color="auto"/>
        <w:left w:val="none" w:sz="0" w:space="0" w:color="auto"/>
        <w:bottom w:val="none" w:sz="0" w:space="0" w:color="auto"/>
        <w:right w:val="none" w:sz="0" w:space="0" w:color="auto"/>
      </w:divBdr>
    </w:div>
    <w:div w:id="1387297270">
      <w:bodyDiv w:val="1"/>
      <w:marLeft w:val="0"/>
      <w:marRight w:val="0"/>
      <w:marTop w:val="0"/>
      <w:marBottom w:val="0"/>
      <w:divBdr>
        <w:top w:val="none" w:sz="0" w:space="0" w:color="auto"/>
        <w:left w:val="none" w:sz="0" w:space="0" w:color="auto"/>
        <w:bottom w:val="none" w:sz="0" w:space="0" w:color="auto"/>
        <w:right w:val="none" w:sz="0" w:space="0" w:color="auto"/>
      </w:divBdr>
    </w:div>
    <w:div w:id="1471942562">
      <w:bodyDiv w:val="1"/>
      <w:marLeft w:val="0"/>
      <w:marRight w:val="0"/>
      <w:marTop w:val="0"/>
      <w:marBottom w:val="0"/>
      <w:divBdr>
        <w:top w:val="none" w:sz="0" w:space="0" w:color="auto"/>
        <w:left w:val="none" w:sz="0" w:space="0" w:color="auto"/>
        <w:bottom w:val="none" w:sz="0" w:space="0" w:color="auto"/>
        <w:right w:val="none" w:sz="0" w:space="0" w:color="auto"/>
      </w:divBdr>
    </w:div>
    <w:div w:id="1505631285">
      <w:bodyDiv w:val="1"/>
      <w:marLeft w:val="0"/>
      <w:marRight w:val="0"/>
      <w:marTop w:val="0"/>
      <w:marBottom w:val="0"/>
      <w:divBdr>
        <w:top w:val="none" w:sz="0" w:space="0" w:color="auto"/>
        <w:left w:val="none" w:sz="0" w:space="0" w:color="auto"/>
        <w:bottom w:val="none" w:sz="0" w:space="0" w:color="auto"/>
        <w:right w:val="none" w:sz="0" w:space="0" w:color="auto"/>
      </w:divBdr>
    </w:div>
    <w:div w:id="1709990397">
      <w:bodyDiv w:val="1"/>
      <w:marLeft w:val="0"/>
      <w:marRight w:val="0"/>
      <w:marTop w:val="0"/>
      <w:marBottom w:val="0"/>
      <w:divBdr>
        <w:top w:val="none" w:sz="0" w:space="0" w:color="auto"/>
        <w:left w:val="none" w:sz="0" w:space="0" w:color="auto"/>
        <w:bottom w:val="none" w:sz="0" w:space="0" w:color="auto"/>
        <w:right w:val="none" w:sz="0" w:space="0" w:color="auto"/>
      </w:divBdr>
    </w:div>
    <w:div w:id="1734154182">
      <w:bodyDiv w:val="1"/>
      <w:marLeft w:val="0"/>
      <w:marRight w:val="0"/>
      <w:marTop w:val="0"/>
      <w:marBottom w:val="0"/>
      <w:divBdr>
        <w:top w:val="none" w:sz="0" w:space="0" w:color="auto"/>
        <w:left w:val="none" w:sz="0" w:space="0" w:color="auto"/>
        <w:bottom w:val="none" w:sz="0" w:space="0" w:color="auto"/>
        <w:right w:val="none" w:sz="0" w:space="0" w:color="auto"/>
      </w:divBdr>
    </w:div>
    <w:div w:id="1741978347">
      <w:bodyDiv w:val="1"/>
      <w:marLeft w:val="0"/>
      <w:marRight w:val="0"/>
      <w:marTop w:val="0"/>
      <w:marBottom w:val="0"/>
      <w:divBdr>
        <w:top w:val="none" w:sz="0" w:space="0" w:color="auto"/>
        <w:left w:val="none" w:sz="0" w:space="0" w:color="auto"/>
        <w:bottom w:val="none" w:sz="0" w:space="0" w:color="auto"/>
        <w:right w:val="none" w:sz="0" w:space="0" w:color="auto"/>
      </w:divBdr>
    </w:div>
    <w:div w:id="1912421998">
      <w:bodyDiv w:val="1"/>
      <w:marLeft w:val="0"/>
      <w:marRight w:val="0"/>
      <w:marTop w:val="0"/>
      <w:marBottom w:val="0"/>
      <w:divBdr>
        <w:top w:val="none" w:sz="0" w:space="0" w:color="auto"/>
        <w:left w:val="none" w:sz="0" w:space="0" w:color="auto"/>
        <w:bottom w:val="none" w:sz="0" w:space="0" w:color="auto"/>
        <w:right w:val="none" w:sz="0" w:space="0" w:color="auto"/>
      </w:divBdr>
    </w:div>
    <w:div w:id="2013603174">
      <w:bodyDiv w:val="1"/>
      <w:marLeft w:val="0"/>
      <w:marRight w:val="0"/>
      <w:marTop w:val="0"/>
      <w:marBottom w:val="0"/>
      <w:divBdr>
        <w:top w:val="none" w:sz="0" w:space="0" w:color="auto"/>
        <w:left w:val="none" w:sz="0" w:space="0" w:color="auto"/>
        <w:bottom w:val="none" w:sz="0" w:space="0" w:color="auto"/>
        <w:right w:val="none" w:sz="0" w:space="0" w:color="auto"/>
      </w:divBdr>
    </w:div>
    <w:div w:id="2023585607">
      <w:bodyDiv w:val="1"/>
      <w:marLeft w:val="0"/>
      <w:marRight w:val="0"/>
      <w:marTop w:val="0"/>
      <w:marBottom w:val="0"/>
      <w:divBdr>
        <w:top w:val="none" w:sz="0" w:space="0" w:color="auto"/>
        <w:left w:val="none" w:sz="0" w:space="0" w:color="auto"/>
        <w:bottom w:val="none" w:sz="0" w:space="0" w:color="auto"/>
        <w:right w:val="none" w:sz="0" w:space="0" w:color="auto"/>
      </w:divBdr>
    </w:div>
    <w:div w:id="2049991766">
      <w:bodyDiv w:val="1"/>
      <w:marLeft w:val="0"/>
      <w:marRight w:val="0"/>
      <w:marTop w:val="0"/>
      <w:marBottom w:val="0"/>
      <w:divBdr>
        <w:top w:val="none" w:sz="0" w:space="0" w:color="auto"/>
        <w:left w:val="none" w:sz="0" w:space="0" w:color="auto"/>
        <w:bottom w:val="none" w:sz="0" w:space="0" w:color="auto"/>
        <w:right w:val="none" w:sz="0" w:space="0" w:color="auto"/>
      </w:divBdr>
    </w:div>
    <w:div w:id="2130006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laws-lois.justice.gc.ca/eng/acts/C-46"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1765</Words>
  <Characters>10067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Castro</dc:creator>
  <cp:keywords/>
  <dc:description/>
  <cp:lastModifiedBy>Carol Castro</cp:lastModifiedBy>
  <cp:revision>3</cp:revision>
  <cp:lastPrinted>2019-12-18T21:31:00Z</cp:lastPrinted>
  <dcterms:created xsi:type="dcterms:W3CDTF">2019-12-18T21:31:00Z</dcterms:created>
  <dcterms:modified xsi:type="dcterms:W3CDTF">2019-12-18T21:32:00Z</dcterms:modified>
</cp:coreProperties>
</file>