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tabs>
          <w:tab w:val="left" w:pos="3720"/>
        </w:tabs>
        <w:spacing w:after="160" w:line="259"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tabs>
          <w:tab w:val="left" w:pos="3720"/>
        </w:tabs>
        <w:spacing w:after="160" w:line="259"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tabs>
          <w:tab w:val="left" w:pos="3720"/>
        </w:tabs>
        <w:spacing w:after="160" w:line="259"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tabs>
          <w:tab w:val="left" w:pos="3720"/>
        </w:tabs>
        <w:spacing w:after="160" w:line="259"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tabs>
          <w:tab w:val="left" w:pos="3720"/>
        </w:tabs>
        <w:spacing w:after="160" w:line="259"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tabs>
          <w:tab w:val="left" w:pos="3720"/>
        </w:tabs>
        <w:spacing w:after="160" w:line="259"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tabs>
          <w:tab w:val="left" w:pos="3720"/>
        </w:tabs>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Charter of Rights</w:t>
      </w:r>
      <w:r w:rsidDel="00000000" w:rsidR="00000000" w:rsidRPr="00000000">
        <w:rPr>
          <w:rtl w:val="0"/>
        </w:rPr>
      </w:r>
    </w:p>
    <w:p w:rsidR="00000000" w:rsidDel="00000000" w:rsidP="00000000" w:rsidRDefault="00000000" w:rsidRPr="00000000" w14:paraId="0000000A">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Joshua Chirambaguwa </w:t>
      </w:r>
    </w:p>
    <w:p w:rsidR="00000000" w:rsidDel="00000000" w:rsidP="00000000" w:rsidRDefault="00000000" w:rsidRPr="00000000" w14:paraId="0000000B">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LAWS 1001 C</w:t>
      </w:r>
    </w:p>
    <w:p w:rsidR="00000000" w:rsidDel="00000000" w:rsidP="00000000" w:rsidRDefault="00000000" w:rsidRPr="00000000" w14:paraId="0000000C">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Barry Wright </w:t>
      </w:r>
    </w:p>
    <w:p w:rsidR="00000000" w:rsidDel="00000000" w:rsidP="00000000" w:rsidRDefault="00000000" w:rsidRPr="00000000" w14:paraId="0000000D">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Carleton University </w:t>
      </w:r>
    </w:p>
    <w:p w:rsidR="00000000" w:rsidDel="00000000" w:rsidP="00000000" w:rsidRDefault="00000000" w:rsidRPr="00000000" w14:paraId="0000000E">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Friday November 8, 2019</w:t>
      </w:r>
    </w:p>
    <w:p w:rsidR="00000000" w:rsidDel="00000000" w:rsidP="00000000" w:rsidRDefault="00000000" w:rsidRPr="00000000" w14:paraId="0000000F">
      <w:pPr>
        <w:spacing w:line="48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3"/>
        <w:keepNext w:val="0"/>
        <w:keepLines w:val="0"/>
        <w:shd w:fill="ffffff" w:val="clear"/>
        <w:spacing w:before="0" w:line="288" w:lineRule="auto"/>
        <w:jc w:val="right"/>
        <w:rPr>
          <w:rFonts w:ascii="Times New Roman" w:cs="Times New Roman" w:eastAsia="Times New Roman" w:hAnsi="Times New Roman"/>
          <w:sz w:val="24"/>
          <w:szCs w:val="24"/>
        </w:rPr>
      </w:pPr>
      <w:bookmarkStart w:colFirst="0" w:colLast="0" w:name="_v6s80y7gu2iw" w:id="0"/>
      <w:bookmarkEnd w:id="0"/>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A">
      <w:pPr>
        <w:spacing w:after="200"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Traditionally, the courts determine whether something is appropriate, or inappropriate. However, sometimes this can contradict the will of the people involved. In many countries around the world, the courts have been mandated to declare some government activities as “unconstitutional”. But the power should really be in the hands of the beholder. If someone enjoys a right, they should have at least some form of control over it. But when a second party controls these rights, it is difficult to be sure how long said rights can be enjoyed. They can be taken away in an instant without any explanation. Ultimately, the fact that there is an organ that represents people’s interests means that it can also be given the role of managing the rights of the people that gave them that mandate.</w:t>
      </w:r>
    </w:p>
    <w:p w:rsidR="00000000" w:rsidDel="00000000" w:rsidP="00000000" w:rsidRDefault="00000000" w:rsidRPr="00000000" w14:paraId="0000001B">
      <w:pPr>
        <w:spacing w:after="200" w:before="20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Courts v Parliament - Who Has The Final Say: </w:t>
      </w:r>
    </w:p>
    <w:p w:rsidR="00000000" w:rsidDel="00000000" w:rsidP="00000000" w:rsidRDefault="00000000" w:rsidRPr="00000000" w14:paraId="0000001C">
      <w:pPr>
        <w:spacing w:after="200"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most appropriate idea is to give the power of having the final say to the parliament. According to the Berger reading, various cases involving public policies and individual rights were analyzed. As a result of this, he realized that the court system had been left with the responsibility of protecting peoples’ liberties (Berger, 2018). There are some individual rights that should be controlled by individuals as opposed to the judges. It is only after people get ahold of their rights that they can confidently refer to themselves as “We the People”. Therefore, the parliament be allowed to have the final say in conflicts involving individual rights and public policies. The involvement of the parliament in the process shows respect to the voice of the people. The best way to take the constitution from the judiciary is by denying them the right to make final decisions about the meaning of the constitution (Berger, 2018). They could also be denied the right to interpret the constitution in whatever manner. It is also very common for citizens and the parliament to face policy questions that require constitutional intervention. The legislature is sometimes faced with the challenge of deciding whether or not what they plan to vote for will be viewed as constitutional by the courts. The constitution was made by the people, thus, they should be able to make the necessary changes when and wherever possible. The appropriate way to reduce the supremacy of the judiciary and give people more power is by taking several different actions. Some of these actions include revising court procedures, stripping the judiciary by the parliament, reducing the judicial budget, and presidential ignorance of the mandates of the judiciary.</w:t>
      </w:r>
    </w:p>
    <w:p w:rsidR="00000000" w:rsidDel="00000000" w:rsidP="00000000" w:rsidRDefault="00000000" w:rsidRPr="00000000" w14:paraId="0000001D">
      <w:pPr>
        <w:spacing w:after="200" w:before="20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Charter of Rights:</w:t>
      </w:r>
    </w:p>
    <w:p w:rsidR="00000000" w:rsidDel="00000000" w:rsidP="00000000" w:rsidRDefault="00000000" w:rsidRPr="00000000" w14:paraId="0000001E">
      <w:pPr>
        <w:spacing w:after="200"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Canadian Charter of Rights is a document that stipulates some of the fundamental rights that almost every person in a democratic country should have. The Charter of Rights is even a part of the Canadian constitution, making it one of the most important documents in the entire country. It is this constitution which at times can be defined as the supreme law in Canada (Wright, Kazmierski, Kuzmarov, &amp; Bromwich, 2019). Its provisions are more permanent and determine the law-making processes at any time and at all levels of government. The laws must always be consistent with the requirements of the constitution for them to be valid. Any law that does not is deemed as invalid. </w:t>
      </w:r>
    </w:p>
    <w:p w:rsidR="00000000" w:rsidDel="00000000" w:rsidP="00000000" w:rsidRDefault="00000000" w:rsidRPr="00000000" w14:paraId="0000001F">
      <w:pPr>
        <w:spacing w:after="200" w:before="2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of the significant factors that define the Charter of Rights is that its provisions are sometimes not absolute. The provision of some rights is limited at times for various reasons. One of the most common is to protect other rights (Wright et al., 2019). The right to privacy, for example, is not always absolute. One may sometimes be limited in excersising the right if they use it to promote division among people around the country, or promoting hate, such as child pornography. The ability to make necessary changes to the Charter of Rights is one of the factors that defines a democratic nation. </w:t>
      </w:r>
    </w:p>
    <w:p w:rsidR="00000000" w:rsidDel="00000000" w:rsidP="00000000" w:rsidRDefault="00000000" w:rsidRPr="00000000" w14:paraId="00000020">
      <w:pPr>
        <w:spacing w:after="200"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Charter of Rights also provides several different freedoms, which are not absolute, to Canadians. One of the most significant is the freedom of worship. In the Charter it states that everyone is free to follow a religion of their choice and practice it without negatively affecting the lives of other people. It also provides for the freedom of belief, thought, and expression. The Charter identifies the media as an important factor in society. The press performs the role of informing citizens about important ideas and events (Wright et al., 2019). The media has the right to share any valuable information to the public and they can gather and act in ways that promote positive growth. They are also free to join trade unions and perform other vital roles that characterize a civilized world.</w:t>
      </w:r>
    </w:p>
    <w:p w:rsidR="00000000" w:rsidDel="00000000" w:rsidP="00000000" w:rsidRDefault="00000000" w:rsidRPr="00000000" w14:paraId="00000021">
      <w:pPr>
        <w:spacing w:after="200" w:before="200" w:line="48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Notwithstanding Clause:</w:t>
      </w:r>
    </w:p>
    <w:p w:rsidR="00000000" w:rsidDel="00000000" w:rsidP="00000000" w:rsidRDefault="00000000" w:rsidRPr="00000000" w14:paraId="00000022">
      <w:pPr>
        <w:spacing w:after="200"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The notwithstanding clause, found in section 33 of the Constitution act, gives federal and/or provincial authorities the right to ignore some of the Charter’s provisions that may not be in line with their interests nor with their duties for five years. Many political psychologists argue that a clause is a potent tool for federal and provincial authorities. The reasons behind its creation are also quite challenging to understand. The notwithstanding clause gives some leaders the ability to formulate and implement laws without considering some of the essential provisions of the Charter, such as those dealing with equality, legal rights, and fundamental freedoms (Wright et al., 2019). In short, the notwithstanding clause allows leaders to take measures that may sometimes violate some constitutional provisions. The fact, however, is that the ignorance for specific Charter provisions is not permanent, but expires after five years. But, it can be reenacted in cases of a need to amend.</w:t>
      </w:r>
    </w:p>
    <w:p w:rsidR="00000000" w:rsidDel="00000000" w:rsidP="00000000" w:rsidRDefault="00000000" w:rsidRPr="00000000" w14:paraId="00000023">
      <w:pPr>
        <w:spacing w:after="200" w:before="200" w:line="48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Expansion of the Judiciary Influence:</w:t>
      </w:r>
    </w:p>
    <w:p w:rsidR="00000000" w:rsidDel="00000000" w:rsidP="00000000" w:rsidRDefault="00000000" w:rsidRPr="00000000" w14:paraId="00000024">
      <w:pPr>
        <w:spacing w:after="200"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Charter of Rights significantly expands the influence of the judiciary on matters of public policies. That impact directly impacts on the state of democracy in Canada. Before its introduction, the country experienced more essential rights such as equality, freedom of expression, and fundamental justice (Wright et al., 2019). However, under the Charter, the stated rights and freedoms were given a constitutional status. That means that the judiciary was given the role of interpreting them and deciding on cases related to their implementation. One of the most significant defining characteristics of the Charter is that it is self-executing. Some of its provisions are significantly vague. That is one of the factors behind most of the controversy associated with many of the court decisions related to public policy and individual human rights (Berger, 2018). The degree of confusion related to the interpretation of some of the provisions is sometimes so significant to the extent that even some supreme court judges disagree on their meaning and relevance in specific areas.</w:t>
      </w:r>
    </w:p>
    <w:p w:rsidR="00000000" w:rsidDel="00000000" w:rsidP="00000000" w:rsidRDefault="00000000" w:rsidRPr="00000000" w14:paraId="00000025">
      <w:pPr>
        <w:spacing w:after="200"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tl w:val="0"/>
        </w:rPr>
      </w:r>
    </w:p>
    <w:p w:rsidR="00000000" w:rsidDel="00000000" w:rsidP="00000000" w:rsidRDefault="00000000" w:rsidRPr="00000000" w14:paraId="00000026">
      <w:pPr>
        <w:spacing w:after="200" w:before="20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Essence, either the court or parliament SHOULD have the final say in resolving conflicts between individual rights and public policies. However this should be done through careful consideration of the Charter of Rights and notwithstanding clause. At the end of the day, the Charter gives the judiciary more power. It puts rights developed through democratic means to the hands of the court for implementation, a factor that has caused significant levels of confusion in the country’s legal system. Many of the provisions of the Charter were developed through democratric processes. Chaos erupts when they are interpreted in undemocratic ways through the courts.</w:t>
      </w:r>
    </w:p>
    <w:p w:rsidR="00000000" w:rsidDel="00000000" w:rsidP="00000000" w:rsidRDefault="00000000" w:rsidRPr="00000000" w14:paraId="00000027">
      <w:pPr>
        <w:spacing w:after="200" w:before="20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200" w:before="20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200" w:before="20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2A">
      <w:pPr>
        <w:spacing w:after="200" w:before="20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S.Tasson, R. Bromwich, J. Dickson, V. Kazmierski, B. Appel Kuzmarov, S. Malette, U. Oszu, eds., </w:t>
      </w:r>
      <w:r w:rsidDel="00000000" w:rsidR="00000000" w:rsidRPr="00000000">
        <w:rPr>
          <w:rFonts w:ascii="Times New Roman" w:cs="Times New Roman" w:eastAsia="Times New Roman" w:hAnsi="Times New Roman"/>
          <w:sz w:val="24"/>
          <w:szCs w:val="24"/>
          <w:u w:val="single"/>
          <w:rtl w:val="0"/>
        </w:rPr>
        <w:t xml:space="preserve">Introduction to Legal Studies: Foundations and Rights Protection</w:t>
      </w:r>
      <w:r w:rsidDel="00000000" w:rsidR="00000000" w:rsidRPr="00000000">
        <w:rPr>
          <w:rFonts w:ascii="Times New Roman" w:cs="Times New Roman" w:eastAsia="Times New Roman" w:hAnsi="Times New Roman"/>
          <w:sz w:val="24"/>
          <w:szCs w:val="24"/>
          <w:rtl w:val="0"/>
        </w:rPr>
        <w:t xml:space="preserve"> (Concorde, Captus Press, 2018), 52</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tl w:val="0"/>
        </w:rPr>
      </w:r>
    </w:p>
    <w:p w:rsidR="00000000" w:rsidDel="00000000" w:rsidP="00000000" w:rsidRDefault="00000000" w:rsidRPr="00000000" w14:paraId="0000002B">
      <w:pPr>
        <w:spacing w:after="200" w:before="20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Wright, B., Kazmierski, V., Appel Kuzmarov, B. and Bromwich, R. (2019). </w:t>
      </w:r>
      <w:r w:rsidDel="00000000" w:rsidR="00000000" w:rsidRPr="00000000">
        <w:rPr>
          <w:rFonts w:ascii="Times New Roman" w:cs="Times New Roman" w:eastAsia="Times New Roman" w:hAnsi="Times New Roman"/>
          <w:i w:val="1"/>
          <w:sz w:val="24"/>
          <w:szCs w:val="24"/>
          <w:highlight w:val="white"/>
          <w:rtl w:val="0"/>
        </w:rPr>
        <w:t xml:space="preserve">Looking At law: Canada's Legal System</w:t>
      </w:r>
      <w:r w:rsidDel="00000000" w:rsidR="00000000" w:rsidRPr="00000000">
        <w:rPr>
          <w:rFonts w:ascii="Times New Roman" w:cs="Times New Roman" w:eastAsia="Times New Roman" w:hAnsi="Times New Roman"/>
          <w:sz w:val="24"/>
          <w:szCs w:val="24"/>
          <w:highlight w:val="white"/>
          <w:rtl w:val="0"/>
        </w:rPr>
        <w:t xml:space="preserve">. 7th ed. Toronto: LexisNexis Canada, pp.62-69.</w:t>
      </w:r>
      <w:r w:rsidDel="00000000" w:rsidR="00000000" w:rsidRPr="00000000">
        <w:rPr>
          <w:rtl w:val="0"/>
        </w:rPr>
      </w:r>
    </w:p>
    <w:p w:rsidR="00000000" w:rsidDel="00000000" w:rsidP="00000000" w:rsidRDefault="00000000" w:rsidRPr="00000000" w14:paraId="0000002C">
      <w:pPr>
        <w:spacing w:after="200" w:before="200" w:line="480" w:lineRule="auto"/>
        <w:ind w:left="0" w:firstLine="0"/>
        <w:rPr>
          <w:rFonts w:ascii="Times New Roman" w:cs="Times New Roman" w:eastAsia="Times New Roman" w:hAnsi="Times New Roman"/>
          <w:b w:val="1"/>
          <w:sz w:val="24"/>
          <w:szCs w:val="24"/>
        </w:rPr>
      </w:pPr>
      <w:r w:rsidDel="00000000" w:rsidR="00000000" w:rsidRPr="00000000">
        <w:rPr>
          <w:rtl w:val="0"/>
        </w:rPr>
      </w:r>
    </w:p>
    <w:sectPr>
      <w:headerReference r:id="rId6" w:type="default"/>
      <w:headerReference r:id="rId7" w:type="first"/>
      <w:footerReference r:id="rId8" w:type="firs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CHARTER OF RIGHTS</w:t>
      <w:tab/>
      <w:tab/>
      <w:tab/>
      <w:tab/>
      <w:tab/>
      <w:tab/>
      <w:tab/>
      <w:tab/>
    </w: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sz w:val="24"/>
        <w:szCs w:val="24"/>
        <w:rtl w:val="0"/>
      </w:rPr>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tabs>
        <w:tab w:val="center" w:pos="4680"/>
        <w:tab w:val="right" w:pos="9360"/>
      </w:tabs>
      <w:spacing w:line="240" w:lineRule="auto"/>
      <w:rPr/>
    </w:pPr>
    <w:r w:rsidDel="00000000" w:rsidR="00000000" w:rsidRPr="00000000">
      <w:rPr>
        <w:rFonts w:ascii="Times New Roman" w:cs="Times New Roman" w:eastAsia="Times New Roman" w:hAnsi="Times New Roman"/>
        <w:sz w:val="24"/>
        <w:szCs w:val="24"/>
        <w:rtl w:val="0"/>
      </w:rPr>
      <w:t xml:space="preserve">Running Head: THE CHARTER OF RIGHTS</w:t>
      <w:tab/>
      <w:t xml:space="preserve">     </w:t>
      <w:tab/>
      <w:t xml:space="preserve"> </w:t>
    </w: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F">
    <w:pPr>
      <w:tabs>
        <w:tab w:val="center" w:pos="4680"/>
        <w:tab w:val="right" w:pos="9360"/>
      </w:tabs>
      <w:spacing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