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395" w:rsidRPr="00BC4395" w:rsidRDefault="00BC4395" w:rsidP="00BC4395">
      <w:pPr>
        <w:tabs>
          <w:tab w:val="center" w:pos="8540"/>
          <w:tab w:val="center" w:pos="9540"/>
        </w:tabs>
        <w:spacing w:before="240"/>
        <w:rPr>
          <w:b/>
          <w:smallCaps/>
          <w:color w:val="0000FF"/>
          <w:sz w:val="32"/>
          <w:szCs w:val="32"/>
          <w:lang w:val="en-CA"/>
        </w:rPr>
      </w:pPr>
      <w:r w:rsidRPr="00BC4395">
        <w:rPr>
          <w:b/>
          <w:smallCaps/>
          <w:color w:val="0000FF"/>
          <w:sz w:val="32"/>
          <w:szCs w:val="32"/>
          <w:lang w:val="en-CA"/>
        </w:rPr>
        <w:t>What You Really Need to Know</w:t>
      </w:r>
    </w:p>
    <w:p w:rsidR="00BC4395" w:rsidRPr="00BC4395" w:rsidRDefault="00BC4395" w:rsidP="00BC4395">
      <w:pPr>
        <w:pStyle w:val="heading20"/>
        <w:framePr w:w="0" w:hSpace="0" w:vSpace="0" w:wrap="auto" w:hAnchor="text"/>
        <w:pBdr>
          <w:bottom w:val="single" w:sz="4" w:space="1" w:color="auto"/>
        </w:pBdr>
        <w:ind w:left="0" w:right="0"/>
        <w:rPr>
          <w:rFonts w:ascii="Times New Roman" w:hAnsi="Times New Roman"/>
          <w:caps w:val="0"/>
          <w:smallCaps/>
          <w:lang w:val="en-CA"/>
        </w:rPr>
      </w:pPr>
      <w:r w:rsidRPr="00BC4395">
        <w:rPr>
          <w:rFonts w:ascii="Times New Roman" w:hAnsi="Times New Roman"/>
          <w:caps w:val="0"/>
          <w:smallCaps/>
          <w:lang w:val="en-CA"/>
        </w:rPr>
        <w:t>Chapter 20: Legal Liability Cases</w:t>
      </w:r>
    </w:p>
    <w:p w:rsidR="00BC4395" w:rsidRPr="00BC4395" w:rsidRDefault="00BC4395" w:rsidP="00BC4395">
      <w:pPr>
        <w:rPr>
          <w:lang w:val="en-CA"/>
        </w:rPr>
      </w:pPr>
    </w:p>
    <w:p w:rsidR="00BC4395" w:rsidRPr="00BC4395" w:rsidRDefault="00BC4395" w:rsidP="00BC4395">
      <w:pPr>
        <w:rPr>
          <w:lang w:val="en-CA"/>
        </w:rPr>
      </w:pPr>
    </w:p>
    <w:p w:rsidR="00DE6639" w:rsidRPr="00BC4395" w:rsidRDefault="00DE6639" w:rsidP="00DE6639">
      <w:pPr>
        <w:rPr>
          <w:rFonts w:ascii="Times New Roman" w:hAnsi="Times New Roman"/>
          <w:b/>
          <w:szCs w:val="24"/>
          <w:lang w:val="en-CA"/>
        </w:rPr>
      </w:pPr>
      <w:proofErr w:type="gramStart"/>
      <w:r w:rsidRPr="00BC4395">
        <w:rPr>
          <w:rFonts w:ascii="Times New Roman" w:hAnsi="Times New Roman"/>
          <w:b/>
          <w:szCs w:val="24"/>
          <w:lang w:val="en-CA"/>
        </w:rPr>
        <w:t>LO1  List</w:t>
      </w:r>
      <w:proofErr w:type="gramEnd"/>
      <w:r w:rsidRPr="00BC4395">
        <w:rPr>
          <w:rFonts w:ascii="Times New Roman" w:hAnsi="Times New Roman"/>
          <w:b/>
          <w:szCs w:val="24"/>
          <w:lang w:val="en-CA"/>
        </w:rPr>
        <w:t xml:space="preserve"> some examples of potential civil and criminal litigation facing </w:t>
      </w:r>
      <w:r w:rsidR="00BC4395" w:rsidRPr="00BC4395">
        <w:rPr>
          <w:rFonts w:ascii="Times New Roman" w:hAnsi="Times New Roman"/>
          <w:b/>
          <w:szCs w:val="24"/>
          <w:lang w:val="en-CA"/>
        </w:rPr>
        <w:t>public accountants</w:t>
      </w:r>
      <w:r w:rsidRPr="00BC4395">
        <w:rPr>
          <w:rFonts w:ascii="Times New Roman" w:hAnsi="Times New Roman"/>
          <w:b/>
          <w:szCs w:val="24"/>
          <w:lang w:val="en-CA"/>
        </w:rPr>
        <w:t>.</w:t>
      </w:r>
    </w:p>
    <w:p w:rsidR="003A0CC0" w:rsidRDefault="003A0CC0" w:rsidP="003A0CC0">
      <w:pPr>
        <w:numPr>
          <w:ilvl w:val="0"/>
          <w:numId w:val="15"/>
        </w:numPr>
        <w:rPr>
          <w:rFonts w:ascii="Times New Roman" w:hAnsi="Times New Roman"/>
          <w:szCs w:val="24"/>
          <w:lang w:val="en-CA"/>
        </w:rPr>
      </w:pPr>
      <w:r w:rsidRPr="00BC4395">
        <w:rPr>
          <w:rFonts w:ascii="Times New Roman" w:hAnsi="Times New Roman"/>
          <w:szCs w:val="24"/>
          <w:lang w:val="en-CA"/>
        </w:rPr>
        <w:t xml:space="preserve">Most auditor legal responsibilities arise from the law of negligence, the part of the common law known as the law of torts.  </w:t>
      </w:r>
      <w:r w:rsidRPr="00BC4395">
        <w:rPr>
          <w:rFonts w:ascii="Times New Roman" w:hAnsi="Times New Roman"/>
          <w:b/>
          <w:szCs w:val="24"/>
          <w:lang w:val="en-CA"/>
        </w:rPr>
        <w:t>Negligence</w:t>
      </w:r>
      <w:r w:rsidRPr="00BC4395">
        <w:rPr>
          <w:rFonts w:ascii="Times New Roman" w:hAnsi="Times New Roman"/>
          <w:szCs w:val="24"/>
          <w:lang w:val="en-CA"/>
        </w:rPr>
        <w:t xml:space="preserve"> is the failure to perform a duty with the requisite standard care.</w:t>
      </w:r>
    </w:p>
    <w:p w:rsidR="008179D2" w:rsidRDefault="008179D2" w:rsidP="008179D2">
      <w:pPr>
        <w:numPr>
          <w:ilvl w:val="0"/>
          <w:numId w:val="15"/>
        </w:numPr>
        <w:rPr>
          <w:rFonts w:ascii="Times New Roman" w:hAnsi="Times New Roman"/>
          <w:szCs w:val="24"/>
          <w:lang w:val="en-CA"/>
        </w:rPr>
      </w:pPr>
      <w:r w:rsidRPr="008179D2">
        <w:rPr>
          <w:rFonts w:ascii="Times New Roman" w:hAnsi="Times New Roman"/>
          <w:szCs w:val="24"/>
          <w:lang w:val="en-CA"/>
        </w:rPr>
        <w:t>Actions brought under common law place most of the burdens of affirmative proof on the plaintiff, who must prove</w:t>
      </w:r>
      <w:r>
        <w:rPr>
          <w:rFonts w:ascii="Times New Roman" w:hAnsi="Times New Roman"/>
          <w:szCs w:val="24"/>
          <w:lang w:val="en-CA"/>
        </w:rPr>
        <w:t xml:space="preserve">: </w:t>
      </w:r>
    </w:p>
    <w:p w:rsidR="008179D2" w:rsidRDefault="008179D2" w:rsidP="00DB3029">
      <w:pPr>
        <w:numPr>
          <w:ilvl w:val="1"/>
          <w:numId w:val="15"/>
        </w:numPr>
        <w:rPr>
          <w:rFonts w:ascii="Times New Roman" w:hAnsi="Times New Roman"/>
          <w:szCs w:val="24"/>
          <w:lang w:val="en-CA"/>
        </w:rPr>
      </w:pPr>
      <w:r w:rsidRPr="008179D2">
        <w:rPr>
          <w:rFonts w:ascii="Times New Roman" w:hAnsi="Times New Roman"/>
          <w:szCs w:val="24"/>
          <w:lang w:val="en-CA"/>
        </w:rPr>
        <w:t xml:space="preserve">(1) that he or she was damaged or suffered a loss, </w:t>
      </w:r>
    </w:p>
    <w:p w:rsidR="008179D2" w:rsidRDefault="008179D2" w:rsidP="00DB3029">
      <w:pPr>
        <w:numPr>
          <w:ilvl w:val="1"/>
          <w:numId w:val="15"/>
        </w:numPr>
        <w:rPr>
          <w:rFonts w:ascii="Times New Roman" w:hAnsi="Times New Roman"/>
          <w:szCs w:val="24"/>
          <w:lang w:val="en-CA"/>
        </w:rPr>
      </w:pPr>
      <w:r w:rsidRPr="008179D2">
        <w:rPr>
          <w:rFonts w:ascii="Times New Roman" w:hAnsi="Times New Roman"/>
          <w:szCs w:val="24"/>
          <w:lang w:val="en-CA"/>
        </w:rPr>
        <w:t xml:space="preserve">(2) that there was a beneficiary relationship with the defendant, </w:t>
      </w:r>
    </w:p>
    <w:p w:rsidR="008179D2" w:rsidRDefault="008179D2" w:rsidP="00DB3029">
      <w:pPr>
        <w:numPr>
          <w:ilvl w:val="1"/>
          <w:numId w:val="15"/>
        </w:numPr>
        <w:rPr>
          <w:rFonts w:ascii="Times New Roman" w:hAnsi="Times New Roman"/>
          <w:szCs w:val="24"/>
          <w:lang w:val="en-CA"/>
        </w:rPr>
      </w:pPr>
      <w:r w:rsidRPr="008179D2">
        <w:rPr>
          <w:rFonts w:ascii="Times New Roman" w:hAnsi="Times New Roman"/>
          <w:szCs w:val="24"/>
          <w:lang w:val="en-CA"/>
        </w:rPr>
        <w:t xml:space="preserve">(3) that the financial statements were materially misleading or that the accountant’s advice was faulty, </w:t>
      </w:r>
    </w:p>
    <w:p w:rsidR="008179D2" w:rsidRDefault="008179D2" w:rsidP="00DB3029">
      <w:pPr>
        <w:numPr>
          <w:ilvl w:val="1"/>
          <w:numId w:val="15"/>
        </w:numPr>
        <w:rPr>
          <w:rFonts w:ascii="Times New Roman" w:hAnsi="Times New Roman"/>
          <w:szCs w:val="24"/>
          <w:lang w:val="en-CA"/>
        </w:rPr>
      </w:pPr>
      <w:r w:rsidRPr="008179D2">
        <w:rPr>
          <w:rFonts w:ascii="Times New Roman" w:hAnsi="Times New Roman"/>
          <w:szCs w:val="24"/>
          <w:lang w:val="en-CA"/>
        </w:rPr>
        <w:t xml:space="preserve">(4) that he or she relied on the statements or advice, </w:t>
      </w:r>
    </w:p>
    <w:p w:rsidR="008179D2" w:rsidRDefault="008179D2" w:rsidP="00DB3029">
      <w:pPr>
        <w:numPr>
          <w:ilvl w:val="1"/>
          <w:numId w:val="15"/>
        </w:numPr>
        <w:rPr>
          <w:rFonts w:ascii="Times New Roman" w:hAnsi="Times New Roman"/>
          <w:szCs w:val="24"/>
          <w:lang w:val="en-CA"/>
        </w:rPr>
      </w:pPr>
      <w:r w:rsidRPr="008179D2">
        <w:rPr>
          <w:rFonts w:ascii="Times New Roman" w:hAnsi="Times New Roman"/>
          <w:szCs w:val="24"/>
          <w:lang w:val="en-CA"/>
        </w:rPr>
        <w:t xml:space="preserve">(5) that the statements were the direct cause of the loss, and </w:t>
      </w:r>
    </w:p>
    <w:p w:rsidR="008179D2" w:rsidRPr="008179D2" w:rsidRDefault="008179D2" w:rsidP="00DB3029">
      <w:pPr>
        <w:numPr>
          <w:ilvl w:val="1"/>
          <w:numId w:val="15"/>
        </w:numPr>
        <w:rPr>
          <w:rFonts w:ascii="Times New Roman" w:hAnsi="Times New Roman"/>
          <w:szCs w:val="24"/>
          <w:lang w:val="en-CA"/>
        </w:rPr>
      </w:pPr>
      <w:r w:rsidRPr="008179D2">
        <w:rPr>
          <w:rFonts w:ascii="Times New Roman" w:hAnsi="Times New Roman"/>
          <w:szCs w:val="24"/>
          <w:lang w:val="en-CA"/>
        </w:rPr>
        <w:t xml:space="preserve">(6) </w:t>
      </w:r>
      <w:proofErr w:type="gramStart"/>
      <w:r w:rsidRPr="008179D2">
        <w:rPr>
          <w:rFonts w:ascii="Times New Roman" w:hAnsi="Times New Roman"/>
          <w:szCs w:val="24"/>
          <w:lang w:val="en-CA"/>
        </w:rPr>
        <w:t>that</w:t>
      </w:r>
      <w:proofErr w:type="gramEnd"/>
      <w:r w:rsidRPr="008179D2">
        <w:rPr>
          <w:rFonts w:ascii="Times New Roman" w:hAnsi="Times New Roman"/>
          <w:szCs w:val="24"/>
          <w:lang w:val="en-CA"/>
        </w:rPr>
        <w:t xml:space="preserve"> the accountant was negligent, grossly negligent, deceitful, or otherwise responsible for damages.</w:t>
      </w:r>
    </w:p>
    <w:p w:rsidR="008179D2" w:rsidRPr="008179D2" w:rsidRDefault="008179D2" w:rsidP="008179D2">
      <w:pPr>
        <w:numPr>
          <w:ilvl w:val="0"/>
          <w:numId w:val="15"/>
        </w:numPr>
        <w:rPr>
          <w:rFonts w:ascii="Times New Roman" w:hAnsi="Times New Roman"/>
          <w:szCs w:val="24"/>
          <w:lang w:val="en-CA"/>
        </w:rPr>
      </w:pPr>
      <w:r w:rsidRPr="008179D2">
        <w:rPr>
          <w:rFonts w:ascii="Times New Roman" w:hAnsi="Times New Roman"/>
          <w:szCs w:val="24"/>
          <w:lang w:val="en-CA"/>
        </w:rPr>
        <w:t xml:space="preserve">Clients may bring a lawsuit for breach of contract. The relationship of direct involvement between parties to a contract is also known as </w:t>
      </w:r>
      <w:proofErr w:type="spellStart"/>
      <w:r w:rsidRPr="00DB3029">
        <w:rPr>
          <w:rFonts w:ascii="Times New Roman" w:hAnsi="Times New Roman"/>
          <w:i/>
          <w:szCs w:val="24"/>
          <w:lang w:val="en-CA"/>
        </w:rPr>
        <w:t>privity</w:t>
      </w:r>
      <w:proofErr w:type="spellEnd"/>
      <w:r w:rsidRPr="008179D2">
        <w:rPr>
          <w:rFonts w:ascii="Times New Roman" w:hAnsi="Times New Roman"/>
          <w:szCs w:val="24"/>
          <w:lang w:val="en-CA"/>
        </w:rPr>
        <w:t xml:space="preserve">. </w:t>
      </w:r>
      <w:proofErr w:type="spellStart"/>
      <w:r w:rsidRPr="00DB3029">
        <w:rPr>
          <w:rFonts w:ascii="Times New Roman" w:hAnsi="Times New Roman"/>
          <w:i/>
          <w:szCs w:val="24"/>
          <w:lang w:val="en-CA"/>
        </w:rPr>
        <w:t>Privity</w:t>
      </w:r>
      <w:proofErr w:type="spellEnd"/>
      <w:r w:rsidRPr="008179D2">
        <w:rPr>
          <w:rFonts w:ascii="Times New Roman" w:hAnsi="Times New Roman"/>
          <w:szCs w:val="24"/>
          <w:lang w:val="en-CA"/>
        </w:rPr>
        <w:t xml:space="preserve"> means the auditor can be sued for breach of contract. When </w:t>
      </w:r>
      <w:proofErr w:type="spellStart"/>
      <w:r w:rsidRPr="008179D2">
        <w:rPr>
          <w:rFonts w:ascii="Times New Roman" w:hAnsi="Times New Roman"/>
          <w:szCs w:val="24"/>
          <w:lang w:val="en-CA"/>
        </w:rPr>
        <w:t>privity</w:t>
      </w:r>
      <w:proofErr w:type="spellEnd"/>
      <w:r w:rsidRPr="008179D2">
        <w:rPr>
          <w:rFonts w:ascii="Times New Roman" w:hAnsi="Times New Roman"/>
          <w:szCs w:val="24"/>
          <w:lang w:val="en-CA"/>
        </w:rPr>
        <w:t xml:space="preserve"> exists, a plaintiff usually need only show that the defendant accountant was negligent—showed lack of reasonable care in the performance of professional accounting tasks. If negligence is proved, the accountant may be liable, provided the client did not contribute to his or her own harm.</w:t>
      </w:r>
    </w:p>
    <w:p w:rsidR="008179D2" w:rsidRDefault="008179D2" w:rsidP="00DB3029">
      <w:pPr>
        <w:rPr>
          <w:rFonts w:ascii="Times New Roman" w:hAnsi="Times New Roman"/>
          <w:szCs w:val="24"/>
          <w:lang w:val="en-CA"/>
        </w:rPr>
      </w:pPr>
    </w:p>
    <w:p w:rsidR="008179D2" w:rsidRPr="00DB3029" w:rsidRDefault="008179D2" w:rsidP="00DB3029">
      <w:pPr>
        <w:rPr>
          <w:rFonts w:ascii="Times New Roman" w:hAnsi="Times New Roman"/>
          <w:b/>
          <w:szCs w:val="24"/>
          <w:lang w:val="en-CA"/>
        </w:rPr>
      </w:pPr>
      <w:proofErr w:type="gramStart"/>
      <w:r w:rsidRPr="00DB3029">
        <w:rPr>
          <w:rFonts w:ascii="Times New Roman" w:hAnsi="Times New Roman"/>
          <w:b/>
          <w:szCs w:val="24"/>
          <w:lang w:val="en-CA"/>
        </w:rPr>
        <w:t>LO2  Apply</w:t>
      </w:r>
      <w:proofErr w:type="gramEnd"/>
      <w:r w:rsidRPr="00DB3029">
        <w:rPr>
          <w:rFonts w:ascii="Times New Roman" w:hAnsi="Times New Roman"/>
          <w:b/>
          <w:szCs w:val="24"/>
          <w:lang w:val="en-CA"/>
        </w:rPr>
        <w:t xml:space="preserve"> and integrate the chapter topics to analyze a practical auditing situation/case/scenario.</w:t>
      </w:r>
    </w:p>
    <w:p w:rsidR="00BC4395" w:rsidRDefault="00DE6639" w:rsidP="00DE6639">
      <w:pPr>
        <w:numPr>
          <w:ilvl w:val="0"/>
          <w:numId w:val="15"/>
        </w:numPr>
        <w:rPr>
          <w:rFonts w:ascii="Times New Roman" w:hAnsi="Times New Roman"/>
          <w:szCs w:val="24"/>
          <w:lang w:val="en-CA"/>
        </w:rPr>
      </w:pPr>
      <w:r w:rsidRPr="00BC4395">
        <w:rPr>
          <w:rFonts w:ascii="Times New Roman" w:hAnsi="Times New Roman"/>
          <w:szCs w:val="24"/>
          <w:lang w:val="en-CA"/>
        </w:rPr>
        <w:t xml:space="preserve">Under common law all of the following </w:t>
      </w:r>
      <w:r w:rsidRPr="00BC4395">
        <w:rPr>
          <w:rFonts w:ascii="Times New Roman" w:hAnsi="Times New Roman"/>
          <w:b/>
          <w:szCs w:val="24"/>
          <w:lang w:val="en-CA"/>
        </w:rPr>
        <w:t>four elements of negligence</w:t>
      </w:r>
      <w:r w:rsidRPr="00BC4395">
        <w:rPr>
          <w:rFonts w:ascii="Times New Roman" w:hAnsi="Times New Roman"/>
          <w:szCs w:val="24"/>
          <w:lang w:val="en-CA"/>
        </w:rPr>
        <w:t xml:space="preserve"> must be established by the plaintiff if he or she is to successfully sue the auditor</w:t>
      </w:r>
      <w:r w:rsidR="00BC4395" w:rsidRPr="00BC4395">
        <w:rPr>
          <w:rFonts w:ascii="Times New Roman" w:hAnsi="Times New Roman"/>
          <w:szCs w:val="24"/>
          <w:lang w:val="en-CA"/>
        </w:rPr>
        <w:t>.</w:t>
      </w:r>
    </w:p>
    <w:p w:rsidR="00BC4395" w:rsidRDefault="00DE6639" w:rsidP="00DB3029">
      <w:pPr>
        <w:numPr>
          <w:ilvl w:val="1"/>
          <w:numId w:val="15"/>
        </w:numPr>
        <w:rPr>
          <w:rFonts w:ascii="Times New Roman" w:hAnsi="Times New Roman"/>
          <w:szCs w:val="24"/>
          <w:lang w:val="en-CA"/>
        </w:rPr>
      </w:pPr>
      <w:r w:rsidRPr="00BC4395">
        <w:rPr>
          <w:rFonts w:ascii="Times New Roman" w:hAnsi="Times New Roman"/>
          <w:szCs w:val="24"/>
          <w:lang w:val="en-CA"/>
        </w:rPr>
        <w:t>There must be a legal duty of care to the plaintiff</w:t>
      </w:r>
      <w:r w:rsidR="00BC4395">
        <w:rPr>
          <w:rFonts w:ascii="Times New Roman" w:hAnsi="Times New Roman"/>
          <w:szCs w:val="24"/>
          <w:lang w:val="en-CA"/>
        </w:rPr>
        <w:t>.</w:t>
      </w:r>
    </w:p>
    <w:p w:rsidR="00BC4395" w:rsidRDefault="00BC4395" w:rsidP="00DB3029">
      <w:pPr>
        <w:numPr>
          <w:ilvl w:val="1"/>
          <w:numId w:val="15"/>
        </w:numPr>
        <w:rPr>
          <w:rFonts w:ascii="Times New Roman" w:hAnsi="Times New Roman"/>
          <w:szCs w:val="24"/>
          <w:lang w:val="en-CA"/>
        </w:rPr>
      </w:pPr>
      <w:r>
        <w:rPr>
          <w:rFonts w:ascii="Times New Roman" w:hAnsi="Times New Roman"/>
          <w:szCs w:val="24"/>
          <w:lang w:val="en-CA"/>
        </w:rPr>
        <w:t>T</w:t>
      </w:r>
      <w:r w:rsidRPr="00BC4395">
        <w:rPr>
          <w:rFonts w:ascii="Times New Roman" w:hAnsi="Times New Roman"/>
          <w:szCs w:val="24"/>
          <w:lang w:val="en-CA"/>
        </w:rPr>
        <w:t xml:space="preserve">here </w:t>
      </w:r>
      <w:r w:rsidR="00DE6639" w:rsidRPr="00BC4395">
        <w:rPr>
          <w:rFonts w:ascii="Times New Roman" w:hAnsi="Times New Roman"/>
          <w:szCs w:val="24"/>
          <w:lang w:val="en-CA"/>
        </w:rPr>
        <w:t>must be a breach in that duty</w:t>
      </w:r>
      <w:r>
        <w:rPr>
          <w:rFonts w:ascii="Times New Roman" w:hAnsi="Times New Roman"/>
          <w:szCs w:val="24"/>
          <w:lang w:val="en-CA"/>
        </w:rPr>
        <w:t>.</w:t>
      </w:r>
      <w:r w:rsidR="00DE6639" w:rsidRPr="00BC4395">
        <w:rPr>
          <w:rFonts w:ascii="Times New Roman" w:hAnsi="Times New Roman"/>
          <w:szCs w:val="24"/>
          <w:lang w:val="en-CA"/>
        </w:rPr>
        <w:t xml:space="preserve"> </w:t>
      </w:r>
    </w:p>
    <w:p w:rsidR="00BC4395" w:rsidRDefault="00BC4395" w:rsidP="00DB3029">
      <w:pPr>
        <w:numPr>
          <w:ilvl w:val="1"/>
          <w:numId w:val="15"/>
        </w:numPr>
        <w:rPr>
          <w:rFonts w:ascii="Times New Roman" w:hAnsi="Times New Roman"/>
          <w:szCs w:val="24"/>
          <w:lang w:val="en-CA"/>
        </w:rPr>
      </w:pPr>
      <w:r>
        <w:rPr>
          <w:rFonts w:ascii="Times New Roman" w:hAnsi="Times New Roman"/>
          <w:szCs w:val="24"/>
          <w:lang w:val="en-CA"/>
        </w:rPr>
        <w:t>T</w:t>
      </w:r>
      <w:r w:rsidRPr="00BC4395">
        <w:rPr>
          <w:rFonts w:ascii="Times New Roman" w:hAnsi="Times New Roman"/>
          <w:szCs w:val="24"/>
          <w:lang w:val="en-CA"/>
        </w:rPr>
        <w:t xml:space="preserve">here </w:t>
      </w:r>
      <w:r w:rsidR="00DE6639" w:rsidRPr="00BC4395">
        <w:rPr>
          <w:rFonts w:ascii="Times New Roman" w:hAnsi="Times New Roman"/>
          <w:szCs w:val="24"/>
          <w:lang w:val="en-CA"/>
        </w:rPr>
        <w:t>must be proof that damage resulted</w:t>
      </w:r>
      <w:r>
        <w:rPr>
          <w:rFonts w:ascii="Times New Roman" w:hAnsi="Times New Roman"/>
          <w:szCs w:val="24"/>
          <w:lang w:val="en-CA"/>
        </w:rPr>
        <w:t>.</w:t>
      </w:r>
    </w:p>
    <w:p w:rsidR="00DE6639" w:rsidRPr="00BC4395" w:rsidRDefault="00BC4395" w:rsidP="00DB3029">
      <w:pPr>
        <w:numPr>
          <w:ilvl w:val="1"/>
          <w:numId w:val="15"/>
        </w:numPr>
        <w:rPr>
          <w:rFonts w:ascii="Times New Roman" w:hAnsi="Times New Roman"/>
          <w:szCs w:val="24"/>
          <w:lang w:val="en-CA"/>
        </w:rPr>
      </w:pPr>
      <w:r>
        <w:rPr>
          <w:rFonts w:ascii="Times New Roman" w:hAnsi="Times New Roman"/>
          <w:szCs w:val="24"/>
          <w:lang w:val="en-CA"/>
        </w:rPr>
        <w:t>T</w:t>
      </w:r>
      <w:r w:rsidRPr="00BC4395">
        <w:rPr>
          <w:rFonts w:ascii="Times New Roman" w:hAnsi="Times New Roman"/>
          <w:szCs w:val="24"/>
          <w:lang w:val="en-CA"/>
        </w:rPr>
        <w:t xml:space="preserve">here </w:t>
      </w:r>
      <w:r w:rsidR="00DE6639" w:rsidRPr="00BC4395">
        <w:rPr>
          <w:rFonts w:ascii="Times New Roman" w:hAnsi="Times New Roman"/>
          <w:szCs w:val="24"/>
          <w:lang w:val="en-CA"/>
        </w:rPr>
        <w:t xml:space="preserve">must be a reasonably proximate connection between the breach of duty and the resulting damage. </w:t>
      </w:r>
    </w:p>
    <w:p w:rsidR="00BC4395" w:rsidRPr="00DB3029" w:rsidRDefault="00BC4395" w:rsidP="003A0CC0">
      <w:pPr>
        <w:numPr>
          <w:ilvl w:val="0"/>
          <w:numId w:val="15"/>
        </w:numPr>
        <w:rPr>
          <w:rFonts w:ascii="Times New Roman" w:hAnsi="Times New Roman"/>
          <w:b/>
          <w:szCs w:val="24"/>
          <w:u w:val="single"/>
          <w:lang w:val="en-CA"/>
        </w:rPr>
      </w:pPr>
      <w:r w:rsidRPr="00DB3029">
        <w:rPr>
          <w:rFonts w:ascii="Times New Roman" w:hAnsi="Times New Roman"/>
          <w:b/>
          <w:szCs w:val="24"/>
          <w:u w:val="single"/>
          <w:lang w:val="en-CA"/>
        </w:rPr>
        <w:t>Part I: Duty of Care to Whom?</w:t>
      </w:r>
    </w:p>
    <w:p w:rsidR="003A0CC0" w:rsidRPr="00BC4395" w:rsidRDefault="001E4964" w:rsidP="00DB3029">
      <w:pPr>
        <w:numPr>
          <w:ilvl w:val="1"/>
          <w:numId w:val="15"/>
        </w:numPr>
        <w:rPr>
          <w:rFonts w:ascii="Times New Roman" w:hAnsi="Times New Roman"/>
          <w:szCs w:val="24"/>
          <w:lang w:val="en-CA"/>
        </w:rPr>
      </w:pPr>
      <w:r w:rsidRPr="00BC4395">
        <w:rPr>
          <w:rFonts w:ascii="Times New Roman" w:hAnsi="Times New Roman"/>
          <w:szCs w:val="24"/>
          <w:lang w:val="en-CA"/>
        </w:rPr>
        <w:t>Many</w:t>
      </w:r>
      <w:r w:rsidR="003A0CC0" w:rsidRPr="00BC4395">
        <w:rPr>
          <w:rFonts w:ascii="Times New Roman" w:hAnsi="Times New Roman"/>
          <w:szCs w:val="24"/>
          <w:lang w:val="en-CA"/>
        </w:rPr>
        <w:t xml:space="preserve"> years ago, it was very difficult for parties, other than contracting clients, to succeed in lawsuits against auditors. The case known as </w:t>
      </w:r>
      <w:proofErr w:type="spellStart"/>
      <w:r w:rsidR="003A0CC0" w:rsidRPr="00BC4395">
        <w:rPr>
          <w:rFonts w:ascii="Times New Roman" w:hAnsi="Times New Roman"/>
          <w:szCs w:val="24"/>
          <w:lang w:val="en-CA"/>
        </w:rPr>
        <w:t>Ultramares</w:t>
      </w:r>
      <w:proofErr w:type="spellEnd"/>
      <w:r w:rsidR="003A0CC0" w:rsidRPr="00BC4395">
        <w:rPr>
          <w:rFonts w:ascii="Times New Roman" w:hAnsi="Times New Roman"/>
          <w:szCs w:val="24"/>
          <w:lang w:val="en-CA"/>
        </w:rPr>
        <w:t xml:space="preserve"> (1931) expressed the view that, if negligence is so great that it constitutes gross negligence—lack of minimum care in performing professional duties, indicating reckless disregard for duty and responsibility—grounds might exist for concluding that the accountant had engaged in constructive fraud.</w:t>
      </w:r>
    </w:p>
    <w:p w:rsidR="003A0CC0" w:rsidRPr="00BC4395" w:rsidRDefault="003A0CC0" w:rsidP="00DB3029">
      <w:pPr>
        <w:numPr>
          <w:ilvl w:val="1"/>
          <w:numId w:val="15"/>
        </w:numPr>
        <w:rPr>
          <w:rFonts w:ascii="Times New Roman" w:hAnsi="Times New Roman"/>
          <w:szCs w:val="24"/>
          <w:lang w:val="en-CA"/>
        </w:rPr>
      </w:pPr>
      <w:r w:rsidRPr="00BC4395">
        <w:rPr>
          <w:rFonts w:ascii="Times New Roman" w:hAnsi="Times New Roman"/>
          <w:szCs w:val="24"/>
          <w:lang w:val="en-CA"/>
        </w:rPr>
        <w:t>The case extend</w:t>
      </w:r>
      <w:r w:rsidR="001E4964" w:rsidRPr="00BC4395">
        <w:rPr>
          <w:rFonts w:ascii="Times New Roman" w:hAnsi="Times New Roman"/>
          <w:szCs w:val="24"/>
          <w:lang w:val="en-CA"/>
        </w:rPr>
        <w:t>ing</w:t>
      </w:r>
      <w:r w:rsidRPr="00BC4395">
        <w:rPr>
          <w:rFonts w:ascii="Times New Roman" w:hAnsi="Times New Roman"/>
          <w:szCs w:val="24"/>
          <w:lang w:val="en-CA"/>
        </w:rPr>
        <w:t xml:space="preserve"> tort law to cover economic loss is Hedley Byrne v. Heller and Partners (1964).  Haig v, Bamford (1976) held that where an accountant has </w:t>
      </w:r>
      <w:r w:rsidRPr="00BC4395">
        <w:rPr>
          <w:rFonts w:ascii="Times New Roman" w:hAnsi="Times New Roman"/>
          <w:szCs w:val="24"/>
          <w:lang w:val="en-CA"/>
        </w:rPr>
        <w:lastRenderedPageBreak/>
        <w:t>negligently prepared financial statements and a third party relies on them to his or her disadvantage, a duty of care will arise where: the accountant knows the results will be relied on by the plaintiff; the plaintiff is a member of a known limited class; the statements have been prepared primarily for guidance of that limited class and for purposes the plaintiff did in fact rely on them.  The accountant does not need to know the specific identity of the user as long as the accountant was aware that the client intended to supply the statements to members of this very limited class.</w:t>
      </w:r>
    </w:p>
    <w:p w:rsidR="003A0CC0" w:rsidRPr="00BC4395" w:rsidRDefault="003A0CC0" w:rsidP="00DB3029">
      <w:pPr>
        <w:numPr>
          <w:ilvl w:val="1"/>
          <w:numId w:val="15"/>
        </w:numPr>
        <w:rPr>
          <w:rFonts w:ascii="Times New Roman" w:hAnsi="Times New Roman"/>
          <w:szCs w:val="24"/>
          <w:lang w:val="en-CA"/>
        </w:rPr>
      </w:pPr>
      <w:r w:rsidRPr="00BC4395">
        <w:rPr>
          <w:rFonts w:ascii="Times New Roman" w:hAnsi="Times New Roman"/>
          <w:szCs w:val="24"/>
          <w:lang w:val="en-CA"/>
        </w:rPr>
        <w:t xml:space="preserve">Auditor’s liability in Canada was further extended to prospective investors (reasonably foreseeable third parties) in Dupuis v. Pan American Mines (1979).  Auditor’s liability under common law was limited again in the Hercules Managements Ltd. v. Ernst &amp; Young (1997) which ruled that “an audit is not prepared in order to assist shareholders in making investment decisions” but rather “to assist the collectivity of shareholders of the audited companies in their task of overseeing management”.  </w:t>
      </w:r>
    </w:p>
    <w:p w:rsidR="003A0CC0" w:rsidRPr="00BC4395" w:rsidRDefault="003A0CC0" w:rsidP="00DB3029">
      <w:pPr>
        <w:numPr>
          <w:ilvl w:val="1"/>
          <w:numId w:val="15"/>
        </w:numPr>
        <w:rPr>
          <w:rFonts w:ascii="Times New Roman" w:hAnsi="Times New Roman"/>
          <w:szCs w:val="24"/>
          <w:lang w:val="en-CA"/>
        </w:rPr>
      </w:pPr>
      <w:r w:rsidRPr="00BC4395">
        <w:rPr>
          <w:rFonts w:ascii="Times New Roman" w:hAnsi="Times New Roman"/>
          <w:szCs w:val="24"/>
          <w:lang w:val="en-CA"/>
        </w:rPr>
        <w:t xml:space="preserve">Based on the Hercules decision, an auditor who signs a company’s financial statements has no legal liability to shareholders or investors.  The </w:t>
      </w:r>
      <w:r w:rsidR="001E4964" w:rsidRPr="00BC4395">
        <w:rPr>
          <w:rFonts w:ascii="Times New Roman" w:hAnsi="Times New Roman"/>
          <w:szCs w:val="24"/>
          <w:lang w:val="en-CA"/>
        </w:rPr>
        <w:t>court’s concern was</w:t>
      </w:r>
      <w:r w:rsidRPr="00BC4395">
        <w:rPr>
          <w:rFonts w:ascii="Times New Roman" w:hAnsi="Times New Roman"/>
          <w:szCs w:val="24"/>
          <w:lang w:val="en-CA"/>
        </w:rPr>
        <w:t xml:space="preserve"> to protect auditors from unlimited liability to thousands of investors who may use the audit opinion for many different purposes.  This decision raise</w:t>
      </w:r>
      <w:r w:rsidR="001E4964" w:rsidRPr="00BC4395">
        <w:rPr>
          <w:rFonts w:ascii="Times New Roman" w:hAnsi="Times New Roman"/>
          <w:szCs w:val="24"/>
          <w:lang w:val="en-CA"/>
        </w:rPr>
        <w:t>d</w:t>
      </w:r>
      <w:r w:rsidRPr="00BC4395">
        <w:rPr>
          <w:rFonts w:ascii="Times New Roman" w:hAnsi="Times New Roman"/>
          <w:szCs w:val="24"/>
          <w:lang w:val="en-CA"/>
        </w:rPr>
        <w:t xml:space="preserve"> the question of the purpose of an audit of financial statements that is not useful for investor decision making.  Partly in response to this ruling, the Ontario Securities Commission introduced Bill 198 which re-establishes the legal liability of auditors to investors.  The intent of Bill 198 (and similar legislation) is to make it easier for investors to recover damages from accountants, directors, and others associated with misleading financial reporting. </w:t>
      </w:r>
    </w:p>
    <w:p w:rsidR="003A0CC0" w:rsidRPr="00BC4395" w:rsidRDefault="003A0CC0" w:rsidP="00DB3029">
      <w:pPr>
        <w:numPr>
          <w:ilvl w:val="1"/>
          <w:numId w:val="15"/>
        </w:numPr>
        <w:rPr>
          <w:rFonts w:ascii="Times New Roman" w:hAnsi="Times New Roman"/>
          <w:szCs w:val="24"/>
          <w:lang w:val="en-CA"/>
        </w:rPr>
      </w:pPr>
      <w:r w:rsidRPr="00BC4395">
        <w:rPr>
          <w:rFonts w:ascii="Times New Roman" w:hAnsi="Times New Roman"/>
          <w:szCs w:val="24"/>
          <w:lang w:val="en-CA"/>
        </w:rPr>
        <w:t xml:space="preserve">Under CIT Financial Corp. v. Glover (1955), auditors are liable to third parties for ordinary negligence if their reports are for the primary benefit of the third party. Thus, the </w:t>
      </w:r>
      <w:proofErr w:type="spellStart"/>
      <w:r w:rsidRPr="00BC4395">
        <w:rPr>
          <w:rFonts w:ascii="Times New Roman" w:hAnsi="Times New Roman"/>
          <w:szCs w:val="24"/>
          <w:lang w:val="en-CA"/>
        </w:rPr>
        <w:t>privity</w:t>
      </w:r>
      <w:proofErr w:type="spellEnd"/>
      <w:r w:rsidRPr="00BC4395">
        <w:rPr>
          <w:rFonts w:ascii="Times New Roman" w:hAnsi="Times New Roman"/>
          <w:szCs w:val="24"/>
          <w:lang w:val="en-CA"/>
        </w:rPr>
        <w:t xml:space="preserve"> criterion may not serve as a defence when third-party beneficiaries are known.  </w:t>
      </w:r>
      <w:r w:rsidR="00BC4395">
        <w:rPr>
          <w:rFonts w:ascii="Times New Roman" w:hAnsi="Times New Roman"/>
          <w:szCs w:val="24"/>
          <w:lang w:val="en-CA"/>
        </w:rPr>
        <w:t>Public accountants (</w:t>
      </w:r>
      <w:r w:rsidRPr="00BC4395">
        <w:rPr>
          <w:rFonts w:ascii="Times New Roman" w:hAnsi="Times New Roman"/>
          <w:szCs w:val="24"/>
          <w:lang w:val="en-CA"/>
        </w:rPr>
        <w:t>PAs</w:t>
      </w:r>
      <w:r w:rsidR="00BC4395">
        <w:rPr>
          <w:rFonts w:ascii="Times New Roman" w:hAnsi="Times New Roman"/>
          <w:szCs w:val="24"/>
          <w:lang w:val="en-CA"/>
        </w:rPr>
        <w:t>)</w:t>
      </w:r>
      <w:r w:rsidRPr="00BC4395">
        <w:rPr>
          <w:rFonts w:ascii="Times New Roman" w:hAnsi="Times New Roman"/>
          <w:szCs w:val="24"/>
          <w:lang w:val="en-CA"/>
        </w:rPr>
        <w:t xml:space="preserve"> may also be liable to foreseeable beneficiaries—creditors, investors, or potential investors who rely on the accountants’ work. If the PA is reasonably able to foresee a limited class of potential users of his work, liability may be imposed for ordinary negligence. </w:t>
      </w:r>
    </w:p>
    <w:p w:rsidR="003A0CC0" w:rsidRPr="00BC4395" w:rsidRDefault="003A0CC0" w:rsidP="00DB3029">
      <w:pPr>
        <w:numPr>
          <w:ilvl w:val="1"/>
          <w:numId w:val="15"/>
        </w:numPr>
        <w:rPr>
          <w:rFonts w:ascii="Times New Roman" w:hAnsi="Times New Roman"/>
          <w:szCs w:val="24"/>
          <w:lang w:val="en-CA"/>
        </w:rPr>
      </w:pPr>
      <w:r w:rsidRPr="00BC4395">
        <w:rPr>
          <w:rFonts w:ascii="Times New Roman" w:hAnsi="Times New Roman"/>
          <w:szCs w:val="24"/>
          <w:lang w:val="en-CA"/>
        </w:rPr>
        <w:t>The courts have attempted to strike a fair balance between reliable information for users of financial statements and unreasonable risk to the auditor. This balance has resulted in Canadian auditors currently being liable for negligent error to limited classes of third parties. Third parties are often classified in the following categories:</w:t>
      </w:r>
    </w:p>
    <w:p w:rsidR="003A0CC0" w:rsidRPr="00BC4395" w:rsidRDefault="003A0CC0" w:rsidP="003A0CC0">
      <w:pPr>
        <w:ind w:left="864"/>
        <w:rPr>
          <w:rFonts w:ascii="Times New Roman" w:hAnsi="Times New Roman"/>
          <w:szCs w:val="24"/>
          <w:lang w:val="en-CA"/>
        </w:rPr>
      </w:pPr>
      <w:r w:rsidRPr="00BC4395">
        <w:rPr>
          <w:rFonts w:ascii="Times New Roman" w:hAnsi="Times New Roman"/>
          <w:szCs w:val="24"/>
          <w:lang w:val="en-CA"/>
        </w:rPr>
        <w:t>(a) Known third parties</w:t>
      </w:r>
      <w:r w:rsidR="00877672" w:rsidRPr="00BC4395">
        <w:rPr>
          <w:rFonts w:ascii="Times New Roman" w:hAnsi="Times New Roman"/>
          <w:szCs w:val="24"/>
          <w:lang w:val="en-CA"/>
        </w:rPr>
        <w:t>,</w:t>
      </w:r>
    </w:p>
    <w:p w:rsidR="003A0CC0" w:rsidRPr="00BC4395" w:rsidRDefault="003A0CC0" w:rsidP="003A0CC0">
      <w:pPr>
        <w:ind w:left="864"/>
        <w:rPr>
          <w:rFonts w:ascii="Times New Roman" w:hAnsi="Times New Roman"/>
          <w:szCs w:val="24"/>
          <w:lang w:val="en-CA"/>
        </w:rPr>
      </w:pPr>
      <w:r w:rsidRPr="00BC4395">
        <w:rPr>
          <w:rFonts w:ascii="Times New Roman" w:hAnsi="Times New Roman"/>
          <w:szCs w:val="24"/>
          <w:lang w:val="en-CA"/>
        </w:rPr>
        <w:t>(b) Reasonably foreseeable third parties</w:t>
      </w:r>
      <w:r w:rsidR="00877672" w:rsidRPr="00BC4395">
        <w:rPr>
          <w:rFonts w:ascii="Times New Roman" w:hAnsi="Times New Roman"/>
          <w:szCs w:val="24"/>
          <w:lang w:val="en-CA"/>
        </w:rPr>
        <w:t>, and</w:t>
      </w:r>
    </w:p>
    <w:p w:rsidR="003A0CC0" w:rsidRPr="00BC4395" w:rsidRDefault="003A0CC0" w:rsidP="003A0CC0">
      <w:pPr>
        <w:ind w:left="864"/>
        <w:rPr>
          <w:rFonts w:ascii="Times New Roman" w:hAnsi="Times New Roman"/>
          <w:szCs w:val="24"/>
          <w:lang w:val="en-CA"/>
        </w:rPr>
      </w:pPr>
      <w:r w:rsidRPr="00BC4395">
        <w:rPr>
          <w:rFonts w:ascii="Times New Roman" w:hAnsi="Times New Roman"/>
          <w:szCs w:val="24"/>
          <w:lang w:val="en-CA"/>
        </w:rPr>
        <w:t>(c) All third parties relying on financial statements</w:t>
      </w:r>
      <w:r w:rsidR="00877672" w:rsidRPr="00BC4395">
        <w:rPr>
          <w:rFonts w:ascii="Times New Roman" w:hAnsi="Times New Roman"/>
          <w:szCs w:val="24"/>
          <w:lang w:val="en-CA"/>
        </w:rPr>
        <w:t>.</w:t>
      </w:r>
    </w:p>
    <w:p w:rsidR="003A0CC0" w:rsidRPr="00BC4395" w:rsidRDefault="003A0CC0" w:rsidP="00DB3029">
      <w:pPr>
        <w:numPr>
          <w:ilvl w:val="1"/>
          <w:numId w:val="15"/>
        </w:numPr>
        <w:rPr>
          <w:rFonts w:ascii="Times New Roman" w:hAnsi="Times New Roman"/>
          <w:szCs w:val="24"/>
          <w:lang w:val="en-CA"/>
        </w:rPr>
      </w:pPr>
      <w:r w:rsidRPr="00BC4395">
        <w:rPr>
          <w:rFonts w:ascii="Times New Roman" w:hAnsi="Times New Roman"/>
          <w:szCs w:val="24"/>
          <w:lang w:val="en-CA"/>
        </w:rPr>
        <w:t>The trend in litigation suggests the courts will most likely draw the line between categories (a) and (b) for purposes of deciding who auditors owe a duty of care to under common law.  For gross negligence or fraud on the part of the auditor the third-party liability is much broader.</w:t>
      </w:r>
    </w:p>
    <w:p w:rsidR="00BC4395" w:rsidRPr="00DB3029" w:rsidRDefault="00BC4395" w:rsidP="003A0CC0">
      <w:pPr>
        <w:numPr>
          <w:ilvl w:val="0"/>
          <w:numId w:val="15"/>
        </w:numPr>
        <w:rPr>
          <w:rFonts w:ascii="Times New Roman" w:hAnsi="Times New Roman"/>
          <w:b/>
          <w:szCs w:val="24"/>
          <w:u w:val="single"/>
          <w:lang w:val="en-CA"/>
        </w:rPr>
      </w:pPr>
      <w:r w:rsidRPr="00DB3029">
        <w:rPr>
          <w:rFonts w:ascii="Times New Roman" w:hAnsi="Times New Roman"/>
          <w:b/>
          <w:szCs w:val="24"/>
          <w:u w:val="single"/>
          <w:lang w:val="en-CA"/>
        </w:rPr>
        <w:t>Part II: Due Care: Its Meaning</w:t>
      </w:r>
    </w:p>
    <w:p w:rsidR="003A0CC0" w:rsidRPr="00BC4395" w:rsidRDefault="003A0CC0" w:rsidP="00DB3029">
      <w:pPr>
        <w:numPr>
          <w:ilvl w:val="1"/>
          <w:numId w:val="15"/>
        </w:numPr>
        <w:rPr>
          <w:rFonts w:ascii="Times New Roman" w:hAnsi="Times New Roman"/>
          <w:szCs w:val="24"/>
          <w:lang w:val="en-CA"/>
        </w:rPr>
      </w:pPr>
      <w:r w:rsidRPr="00BC4395">
        <w:rPr>
          <w:rFonts w:ascii="Times New Roman" w:hAnsi="Times New Roman"/>
          <w:szCs w:val="24"/>
          <w:lang w:val="en-CA"/>
        </w:rPr>
        <w:t xml:space="preserve">The second element of negligence is breach of duty of care. Due professional care implies the careful application of all the standards of the profession (GAAS, GAAP) and observance of all the rules of professional conduct. The courts have interpreted </w:t>
      </w:r>
      <w:r w:rsidRPr="00BC4395">
        <w:rPr>
          <w:rFonts w:ascii="Times New Roman" w:hAnsi="Times New Roman"/>
          <w:szCs w:val="24"/>
          <w:lang w:val="en-CA"/>
        </w:rPr>
        <w:lastRenderedPageBreak/>
        <w:t>care to be reasonably prudent practice; therefore, neither the highest possible standards nor the minimum standards would be considered due care from a legal perspective.</w:t>
      </w:r>
    </w:p>
    <w:p w:rsidR="003A0CC0" w:rsidRPr="00BC4395" w:rsidRDefault="003A0CC0" w:rsidP="00DB3029">
      <w:pPr>
        <w:numPr>
          <w:ilvl w:val="1"/>
          <w:numId w:val="15"/>
        </w:numPr>
        <w:rPr>
          <w:rFonts w:ascii="Times New Roman" w:hAnsi="Times New Roman"/>
          <w:szCs w:val="24"/>
          <w:lang w:val="en-CA"/>
        </w:rPr>
      </w:pPr>
      <w:r w:rsidRPr="00BC4395">
        <w:rPr>
          <w:rFonts w:ascii="Times New Roman" w:hAnsi="Times New Roman"/>
          <w:szCs w:val="24"/>
          <w:lang w:val="en-CA"/>
        </w:rPr>
        <w:t>If the courts conclude the auditor is associated with misleading financial statements, they may conclude the auditors are fraudulently negligent.  If auditors are found guilty of a fraudulent misrepresentation, there are no limits on third-party liability.</w:t>
      </w:r>
    </w:p>
    <w:p w:rsidR="00F94A36" w:rsidRPr="00BC4395" w:rsidRDefault="00F94A36" w:rsidP="00DB3029">
      <w:pPr>
        <w:numPr>
          <w:ilvl w:val="1"/>
          <w:numId w:val="15"/>
        </w:numPr>
        <w:rPr>
          <w:rFonts w:ascii="Times New Roman" w:hAnsi="Times New Roman"/>
          <w:szCs w:val="24"/>
          <w:lang w:val="en-CA"/>
        </w:rPr>
      </w:pPr>
      <w:r w:rsidRPr="00BC4395">
        <w:rPr>
          <w:rFonts w:ascii="Times New Roman" w:hAnsi="Times New Roman"/>
          <w:szCs w:val="24"/>
          <w:lang w:val="en-CA"/>
        </w:rPr>
        <w:t xml:space="preserve">PAs also render compilation and review services and are associated with unaudited financial information.  These services must be provided in accordance with professional standards and courts can impose liability for accounting work judged to be substandard. </w:t>
      </w:r>
    </w:p>
    <w:p w:rsidR="00BC4395" w:rsidRPr="00DB3029" w:rsidRDefault="00BC4395" w:rsidP="00DE6639">
      <w:pPr>
        <w:numPr>
          <w:ilvl w:val="0"/>
          <w:numId w:val="15"/>
        </w:numPr>
        <w:rPr>
          <w:rFonts w:ascii="Times New Roman" w:hAnsi="Times New Roman"/>
          <w:b/>
          <w:szCs w:val="24"/>
          <w:u w:val="single"/>
          <w:lang w:val="en-CA"/>
        </w:rPr>
      </w:pPr>
      <w:r w:rsidRPr="00DB3029">
        <w:rPr>
          <w:rFonts w:ascii="Times New Roman" w:hAnsi="Times New Roman"/>
          <w:b/>
          <w:szCs w:val="24"/>
          <w:u w:val="single"/>
          <w:lang w:val="en-CA"/>
        </w:rPr>
        <w:t>III</w:t>
      </w:r>
      <w:r>
        <w:rPr>
          <w:rFonts w:ascii="Times New Roman" w:hAnsi="Times New Roman"/>
          <w:b/>
          <w:szCs w:val="24"/>
          <w:u w:val="single"/>
          <w:lang w:val="en-CA"/>
        </w:rPr>
        <w:t>.</w:t>
      </w:r>
      <w:r w:rsidRPr="00DB3029">
        <w:rPr>
          <w:rFonts w:ascii="Times New Roman" w:hAnsi="Times New Roman"/>
          <w:b/>
          <w:szCs w:val="24"/>
          <w:u w:val="single"/>
          <w:lang w:val="en-CA"/>
        </w:rPr>
        <w:t xml:space="preserve"> Third and IV. Fourth Elements of Negligence</w:t>
      </w:r>
    </w:p>
    <w:p w:rsidR="00DE6639" w:rsidRPr="00BC4395" w:rsidRDefault="00DE6639" w:rsidP="00DB3029">
      <w:pPr>
        <w:numPr>
          <w:ilvl w:val="1"/>
          <w:numId w:val="15"/>
        </w:numPr>
        <w:rPr>
          <w:rFonts w:ascii="Times New Roman" w:hAnsi="Times New Roman"/>
          <w:szCs w:val="24"/>
          <w:lang w:val="en-CA"/>
        </w:rPr>
      </w:pPr>
      <w:r w:rsidRPr="00BC4395">
        <w:rPr>
          <w:rFonts w:ascii="Times New Roman" w:hAnsi="Times New Roman"/>
          <w:szCs w:val="24"/>
          <w:lang w:val="en-CA"/>
        </w:rPr>
        <w:t>The third element</w:t>
      </w:r>
      <w:r w:rsidR="001E4964" w:rsidRPr="00BC4395">
        <w:rPr>
          <w:rFonts w:ascii="Times New Roman" w:hAnsi="Times New Roman"/>
          <w:szCs w:val="24"/>
          <w:lang w:val="en-CA"/>
        </w:rPr>
        <w:t xml:space="preserve"> of negligence</w:t>
      </w:r>
      <w:r w:rsidRPr="00BC4395">
        <w:rPr>
          <w:rFonts w:ascii="Times New Roman" w:hAnsi="Times New Roman"/>
          <w:szCs w:val="24"/>
          <w:lang w:val="en-CA"/>
        </w:rPr>
        <w:t xml:space="preserve"> is that some damage must occur to the third party—otherwise only the audit fee can be recovered.  </w:t>
      </w:r>
    </w:p>
    <w:p w:rsidR="00DE6639" w:rsidRPr="00BC4395" w:rsidRDefault="00DE6639" w:rsidP="00DB3029">
      <w:pPr>
        <w:numPr>
          <w:ilvl w:val="1"/>
          <w:numId w:val="15"/>
        </w:numPr>
        <w:rPr>
          <w:rFonts w:ascii="Times New Roman" w:hAnsi="Times New Roman"/>
          <w:szCs w:val="24"/>
          <w:lang w:val="en-CA"/>
        </w:rPr>
      </w:pPr>
      <w:r w:rsidRPr="00BC4395">
        <w:rPr>
          <w:rFonts w:ascii="Times New Roman" w:hAnsi="Times New Roman"/>
          <w:szCs w:val="24"/>
          <w:lang w:val="en-CA"/>
        </w:rPr>
        <w:t xml:space="preserve">The fourth and last element of negligence requires there be a causal link between the breach of duty and the resulting damage. Thus, for example, if losses occur before the time of the audit, or if it can be proven that the plaintiff did not rely on the audited information to any significant degree, the lawsuit will not be successful. </w:t>
      </w:r>
    </w:p>
    <w:p w:rsidR="00B62D62" w:rsidRPr="00BC4395" w:rsidRDefault="00B62D62" w:rsidP="00F94A36">
      <w:pPr>
        <w:rPr>
          <w:rFonts w:ascii="Times New Roman" w:hAnsi="Times New Roman"/>
          <w:szCs w:val="24"/>
          <w:lang w:val="en-CA"/>
        </w:rPr>
      </w:pPr>
    </w:p>
    <w:p w:rsidR="008179D2" w:rsidRPr="00BC4395" w:rsidRDefault="008179D2" w:rsidP="008179D2">
      <w:pPr>
        <w:rPr>
          <w:rFonts w:ascii="Times New Roman" w:hAnsi="Times New Roman"/>
          <w:b/>
          <w:szCs w:val="24"/>
          <w:lang w:val="en-CA"/>
        </w:rPr>
      </w:pPr>
      <w:proofErr w:type="gramStart"/>
      <w:r w:rsidRPr="00BC4395">
        <w:rPr>
          <w:rFonts w:ascii="Times New Roman" w:hAnsi="Times New Roman"/>
          <w:b/>
          <w:szCs w:val="24"/>
          <w:lang w:val="en-CA"/>
        </w:rPr>
        <w:t>LO</w:t>
      </w:r>
      <w:r>
        <w:rPr>
          <w:rFonts w:ascii="Times New Roman" w:hAnsi="Times New Roman"/>
          <w:b/>
          <w:szCs w:val="24"/>
          <w:lang w:val="en-CA"/>
        </w:rPr>
        <w:t>3</w:t>
      </w:r>
      <w:r w:rsidRPr="00BC4395">
        <w:rPr>
          <w:rFonts w:ascii="Times New Roman" w:hAnsi="Times New Roman"/>
          <w:b/>
          <w:szCs w:val="24"/>
          <w:lang w:val="en-CA"/>
        </w:rPr>
        <w:t xml:space="preserve">  </w:t>
      </w:r>
      <w:r>
        <w:rPr>
          <w:rFonts w:ascii="Times New Roman" w:hAnsi="Times New Roman"/>
          <w:b/>
          <w:szCs w:val="24"/>
          <w:lang w:val="en-CA"/>
        </w:rPr>
        <w:t>Explain</w:t>
      </w:r>
      <w:proofErr w:type="gramEnd"/>
      <w:r>
        <w:rPr>
          <w:rFonts w:ascii="Times New Roman" w:hAnsi="Times New Roman"/>
          <w:b/>
          <w:szCs w:val="24"/>
          <w:lang w:val="en-CA"/>
        </w:rPr>
        <w:t xml:space="preserve"> how anti-corruption laws have influenced auditor liabilities</w:t>
      </w:r>
      <w:r w:rsidRPr="00BC4395">
        <w:rPr>
          <w:rFonts w:ascii="Times New Roman" w:hAnsi="Times New Roman"/>
          <w:b/>
          <w:szCs w:val="24"/>
          <w:lang w:val="en-CA"/>
        </w:rPr>
        <w:t>.</w:t>
      </w:r>
    </w:p>
    <w:p w:rsidR="008179D2" w:rsidRPr="008179D2" w:rsidRDefault="008179D2" w:rsidP="00DB3029">
      <w:pPr>
        <w:pStyle w:val="ListParagraph"/>
        <w:numPr>
          <w:ilvl w:val="0"/>
          <w:numId w:val="16"/>
        </w:numPr>
        <w:rPr>
          <w:rFonts w:ascii="Times New Roman" w:hAnsi="Times New Roman"/>
          <w:b/>
          <w:szCs w:val="24"/>
          <w:lang w:val="en-CA"/>
        </w:rPr>
      </w:pPr>
      <w:r w:rsidRPr="008179D2">
        <w:rPr>
          <w:rFonts w:ascii="Times New Roman" w:hAnsi="Times New Roman"/>
          <w:szCs w:val="24"/>
          <w:lang w:val="en-CA"/>
        </w:rPr>
        <w:t xml:space="preserve">The two US laws that affect auditors are </w:t>
      </w:r>
      <w:r w:rsidRPr="00DB3029">
        <w:rPr>
          <w:rFonts w:ascii="Times New Roman" w:hAnsi="Times New Roman"/>
          <w:i/>
          <w:szCs w:val="24"/>
          <w:lang w:val="en-CA"/>
        </w:rPr>
        <w:t>The Foreign Corrupt Practices Act of 1977 (FCPA)</w:t>
      </w:r>
      <w:r w:rsidRPr="008179D2">
        <w:rPr>
          <w:rFonts w:ascii="Times New Roman" w:hAnsi="Times New Roman"/>
          <w:szCs w:val="24"/>
          <w:lang w:val="en-CA"/>
        </w:rPr>
        <w:t xml:space="preserve"> and the </w:t>
      </w:r>
      <w:r w:rsidRPr="00DB3029">
        <w:rPr>
          <w:rFonts w:ascii="Times New Roman" w:hAnsi="Times New Roman"/>
          <w:i/>
          <w:szCs w:val="24"/>
          <w:lang w:val="en-CA"/>
        </w:rPr>
        <w:t>Racketeer Influenced and Corrupt Organization Act (RICO)</w:t>
      </w:r>
      <w:r w:rsidRPr="008179D2">
        <w:rPr>
          <w:rFonts w:ascii="Times New Roman" w:hAnsi="Times New Roman"/>
          <w:szCs w:val="24"/>
          <w:lang w:val="en-CA"/>
        </w:rPr>
        <w:t xml:space="preserve">.    The FCPA makes it a criminal offence for American companies to bribe a foreign official.  The FCPA is a law directed at company managements. Independent auditors have no direct responsibility under these laws. There are two Canadian versions of these laws: the Bill C-22 Proceeds of Crime (Money Laundering) and Terrorist Financing Act (PCMLTFA); and Corruption of Foreign Officials Act.  Bill C-22 permits fines of up to $2 million and prison terms for management and employees if they engage in money laundering.  Auditors should be aware of their reporting responsibilities to outside agencies, and the need to avoid being considered accomplices under the legislation. </w:t>
      </w:r>
    </w:p>
    <w:p w:rsidR="008179D2" w:rsidRPr="00BC4395" w:rsidRDefault="008179D2" w:rsidP="00F94A36">
      <w:pPr>
        <w:rPr>
          <w:rFonts w:ascii="Times New Roman" w:hAnsi="Times New Roman"/>
          <w:szCs w:val="24"/>
          <w:lang w:val="en-CA"/>
        </w:rPr>
      </w:pPr>
      <w:bookmarkStart w:id="0" w:name="_GoBack"/>
      <w:bookmarkEnd w:id="0"/>
    </w:p>
    <w:p w:rsidR="00F94A36" w:rsidRPr="00BC4395" w:rsidRDefault="008179D2" w:rsidP="00F94A36">
      <w:pPr>
        <w:rPr>
          <w:rFonts w:ascii="Times New Roman" w:hAnsi="Times New Roman"/>
          <w:b/>
          <w:szCs w:val="24"/>
          <w:lang w:val="en-CA"/>
        </w:rPr>
      </w:pPr>
      <w:proofErr w:type="gramStart"/>
      <w:r w:rsidRPr="00BC4395">
        <w:rPr>
          <w:rFonts w:ascii="Times New Roman" w:hAnsi="Times New Roman"/>
          <w:b/>
          <w:szCs w:val="24"/>
          <w:lang w:val="en-CA"/>
        </w:rPr>
        <w:t>LO</w:t>
      </w:r>
      <w:r>
        <w:rPr>
          <w:rFonts w:ascii="Times New Roman" w:hAnsi="Times New Roman"/>
          <w:b/>
          <w:szCs w:val="24"/>
          <w:lang w:val="en-CA"/>
        </w:rPr>
        <w:t>4</w:t>
      </w:r>
      <w:r w:rsidRPr="00BC4395">
        <w:rPr>
          <w:rFonts w:ascii="Times New Roman" w:hAnsi="Times New Roman"/>
          <w:b/>
          <w:szCs w:val="24"/>
          <w:lang w:val="en-CA"/>
        </w:rPr>
        <w:t xml:space="preserve">  </w:t>
      </w:r>
      <w:r>
        <w:rPr>
          <w:rFonts w:ascii="Times New Roman" w:hAnsi="Times New Roman"/>
          <w:b/>
          <w:szCs w:val="24"/>
          <w:lang w:val="en-CA"/>
        </w:rPr>
        <w:t>Recognize</w:t>
      </w:r>
      <w:proofErr w:type="gramEnd"/>
      <w:r>
        <w:rPr>
          <w:rFonts w:ascii="Times New Roman" w:hAnsi="Times New Roman"/>
          <w:b/>
          <w:szCs w:val="24"/>
          <w:lang w:val="en-CA"/>
        </w:rPr>
        <w:t xml:space="preserve"> U.S. Securities and Exchange Commission (statutory) law liability issues</w:t>
      </w:r>
      <w:r w:rsidR="00FB6B66" w:rsidRPr="00BC4395">
        <w:rPr>
          <w:rFonts w:ascii="Times New Roman" w:hAnsi="Times New Roman"/>
          <w:b/>
          <w:szCs w:val="24"/>
          <w:lang w:val="en-CA"/>
        </w:rPr>
        <w:t>.</w:t>
      </w:r>
    </w:p>
    <w:p w:rsidR="00FB6B66" w:rsidRPr="00BC4395" w:rsidRDefault="00FB6B66" w:rsidP="00FB6B66">
      <w:pPr>
        <w:numPr>
          <w:ilvl w:val="0"/>
          <w:numId w:val="16"/>
        </w:numPr>
        <w:rPr>
          <w:rFonts w:ascii="Times New Roman" w:hAnsi="Times New Roman"/>
          <w:b/>
          <w:szCs w:val="24"/>
          <w:lang w:val="en-CA"/>
        </w:rPr>
      </w:pPr>
      <w:r w:rsidRPr="00BC4395">
        <w:rPr>
          <w:rFonts w:ascii="Times New Roman" w:hAnsi="Times New Roman"/>
          <w:szCs w:val="24"/>
          <w:lang w:val="en-CA"/>
        </w:rPr>
        <w:t>As a result of the increasingly litigious climate, auditors ought to:</w:t>
      </w:r>
      <w:r w:rsidRPr="00BC4395">
        <w:rPr>
          <w:rFonts w:ascii="Times New Roman" w:hAnsi="Times New Roman"/>
          <w:szCs w:val="24"/>
          <w:lang w:val="en-CA"/>
        </w:rPr>
        <w:tab/>
      </w:r>
    </w:p>
    <w:p w:rsidR="00FB6B66" w:rsidRPr="00BC4395" w:rsidRDefault="00FB6B66" w:rsidP="00FB6B66">
      <w:pPr>
        <w:numPr>
          <w:ilvl w:val="1"/>
          <w:numId w:val="16"/>
        </w:numPr>
        <w:rPr>
          <w:rFonts w:ascii="Times New Roman" w:hAnsi="Times New Roman"/>
          <w:b/>
          <w:szCs w:val="24"/>
          <w:lang w:val="en-CA"/>
        </w:rPr>
      </w:pPr>
      <w:r w:rsidRPr="00BC4395">
        <w:rPr>
          <w:rFonts w:ascii="Times New Roman" w:hAnsi="Times New Roman"/>
          <w:szCs w:val="24"/>
          <w:lang w:val="en-CA"/>
        </w:rPr>
        <w:t>Be wary of what kind of clients are accepted,</w:t>
      </w:r>
    </w:p>
    <w:p w:rsidR="00FB6B66" w:rsidRPr="00BC4395" w:rsidRDefault="00FB6B66" w:rsidP="00FB6B66">
      <w:pPr>
        <w:numPr>
          <w:ilvl w:val="1"/>
          <w:numId w:val="16"/>
        </w:numPr>
        <w:rPr>
          <w:rFonts w:ascii="Times New Roman" w:hAnsi="Times New Roman"/>
          <w:b/>
          <w:szCs w:val="24"/>
          <w:lang w:val="en-CA"/>
        </w:rPr>
      </w:pPr>
      <w:r w:rsidRPr="00BC4395">
        <w:rPr>
          <w:rFonts w:ascii="Times New Roman" w:hAnsi="Times New Roman"/>
          <w:szCs w:val="24"/>
          <w:lang w:val="en-CA"/>
        </w:rPr>
        <w:t>Know the client’s business, and</w:t>
      </w:r>
    </w:p>
    <w:p w:rsidR="00FB6B66" w:rsidRPr="00BC4395" w:rsidRDefault="00FB6B66" w:rsidP="00FB6B66">
      <w:pPr>
        <w:numPr>
          <w:ilvl w:val="1"/>
          <w:numId w:val="16"/>
        </w:numPr>
        <w:rPr>
          <w:rFonts w:ascii="Times New Roman" w:hAnsi="Times New Roman"/>
          <w:b/>
          <w:szCs w:val="24"/>
          <w:lang w:val="en-CA"/>
        </w:rPr>
      </w:pPr>
      <w:r w:rsidRPr="00BC4395">
        <w:rPr>
          <w:rFonts w:ascii="Times New Roman" w:hAnsi="Times New Roman"/>
          <w:szCs w:val="24"/>
          <w:lang w:val="en-CA"/>
        </w:rPr>
        <w:t>Perform quality audits (includes using qualified personnel, obtaining sufficient evidence, preparing good working papers, and obtaining engagement and representation letters).</w:t>
      </w:r>
    </w:p>
    <w:p w:rsidR="00FB6B66" w:rsidRPr="00BC4395" w:rsidRDefault="00FB6B66" w:rsidP="00FB6B66">
      <w:pPr>
        <w:numPr>
          <w:ilvl w:val="0"/>
          <w:numId w:val="16"/>
        </w:numPr>
        <w:rPr>
          <w:rFonts w:ascii="Times New Roman" w:hAnsi="Times New Roman"/>
          <w:b/>
          <w:szCs w:val="24"/>
          <w:lang w:val="en-CA"/>
        </w:rPr>
      </w:pPr>
      <w:r w:rsidRPr="00BC4395">
        <w:rPr>
          <w:rFonts w:ascii="Times New Roman" w:hAnsi="Times New Roman"/>
          <w:szCs w:val="24"/>
          <w:lang w:val="en-CA"/>
        </w:rPr>
        <w:t>Auditors should report to a company’s audit committee.</w:t>
      </w:r>
    </w:p>
    <w:p w:rsidR="00FB6B66" w:rsidRPr="00BC4395" w:rsidRDefault="00FB6B66" w:rsidP="00FB6B66">
      <w:pPr>
        <w:numPr>
          <w:ilvl w:val="0"/>
          <w:numId w:val="16"/>
        </w:numPr>
        <w:rPr>
          <w:rFonts w:ascii="Times New Roman" w:hAnsi="Times New Roman"/>
          <w:b/>
          <w:szCs w:val="24"/>
          <w:lang w:val="en-CA"/>
        </w:rPr>
      </w:pPr>
      <w:r w:rsidRPr="00BC4395">
        <w:rPr>
          <w:rFonts w:ascii="Times New Roman" w:hAnsi="Times New Roman"/>
          <w:szCs w:val="24"/>
          <w:lang w:val="en-CA"/>
        </w:rPr>
        <w:t xml:space="preserve">Before accepting clients, </w:t>
      </w:r>
      <w:r w:rsidR="00E64EE0">
        <w:rPr>
          <w:rFonts w:ascii="Times New Roman" w:hAnsi="Times New Roman"/>
          <w:szCs w:val="24"/>
          <w:lang w:val="en-CA"/>
        </w:rPr>
        <w:t>public accountants (</w:t>
      </w:r>
      <w:r w:rsidRPr="00BC4395">
        <w:rPr>
          <w:rFonts w:ascii="Times New Roman" w:hAnsi="Times New Roman"/>
          <w:szCs w:val="24"/>
          <w:lang w:val="en-CA"/>
        </w:rPr>
        <w:t>PAs</w:t>
      </w:r>
      <w:r w:rsidR="00E64EE0">
        <w:rPr>
          <w:rFonts w:ascii="Times New Roman" w:hAnsi="Times New Roman"/>
          <w:szCs w:val="24"/>
          <w:lang w:val="en-CA"/>
        </w:rPr>
        <w:t>)</w:t>
      </w:r>
      <w:r w:rsidRPr="00BC4395">
        <w:rPr>
          <w:rFonts w:ascii="Times New Roman" w:hAnsi="Times New Roman"/>
          <w:szCs w:val="24"/>
          <w:lang w:val="en-CA"/>
        </w:rPr>
        <w:t xml:space="preserve"> should ask why clients are changing accountants, visit the client’s business, meet their accounting and tax personnel and check their references.</w:t>
      </w:r>
    </w:p>
    <w:p w:rsidR="00F94A36" w:rsidRPr="00BC4395" w:rsidRDefault="00F94A36" w:rsidP="00BC4395">
      <w:pPr>
        <w:rPr>
          <w:rFonts w:ascii="Times New Roman" w:hAnsi="Times New Roman"/>
          <w:szCs w:val="24"/>
          <w:lang w:val="en-CA"/>
        </w:rPr>
      </w:pPr>
    </w:p>
    <w:p w:rsidR="00E908A2" w:rsidRPr="00BC4395" w:rsidRDefault="00E908A2" w:rsidP="00E908A2">
      <w:pPr>
        <w:rPr>
          <w:rFonts w:ascii="Times New Roman" w:hAnsi="Times New Roman"/>
          <w:szCs w:val="24"/>
          <w:lang w:val="en-CA"/>
        </w:rPr>
      </w:pPr>
    </w:p>
    <w:sectPr w:rsidR="00E908A2" w:rsidRPr="00BC4395" w:rsidSect="00DB3029">
      <w:headerReference w:type="even" r:id="rId8"/>
      <w:headerReference w:type="default" r:id="rId9"/>
      <w:footerReference w:type="even" r:id="rId10"/>
      <w:footerReference w:type="default" r:id="rId11"/>
      <w:footerReference w:type="first" r:id="rId12"/>
      <w:type w:val="oddPage"/>
      <w:pgSz w:w="12240" w:h="15840"/>
      <w:pgMar w:top="1440" w:right="1440" w:bottom="1440" w:left="1440" w:header="720" w:footer="720" w:gutter="0"/>
      <w:cols w:space="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F1B" w:rsidRDefault="00950F1B">
      <w:r>
        <w:separator/>
      </w:r>
    </w:p>
  </w:endnote>
  <w:endnote w:type="continuationSeparator" w:id="0">
    <w:p w:rsidR="00950F1B" w:rsidRDefault="00950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9D2" w:rsidRDefault="008179D2" w:rsidP="0012632E">
    <w:pPr>
      <w:pStyle w:val="Footer"/>
      <w:tabs>
        <w:tab w:val="clear" w:pos="4320"/>
        <w:tab w:val="clear" w:pos="8640"/>
        <w:tab w:val="left" w:pos="3600"/>
        <w:tab w:val="right" w:pos="9720"/>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6e</w:t>
    </w:r>
    <w:r>
      <w:rPr>
        <w:rFonts w:ascii="Times New Roman" w:hAnsi="Times New Roman"/>
        <w:color w:val="0000FF"/>
        <w:sz w:val="18"/>
      </w:rPr>
      <w:tab/>
      <w:t xml:space="preserve">                                      </w:t>
    </w:r>
    <w:r>
      <w:rPr>
        <w:rFonts w:ascii="Times New Roman" w:hAnsi="Times New Roman"/>
        <w:color w:val="0000FF"/>
        <w:sz w:val="18"/>
      </w:rPr>
      <w:tab/>
      <w:t xml:space="preserve">    </w:t>
    </w:r>
    <w:r>
      <w:rPr>
        <w:rFonts w:ascii="Times New Roman" w:hAnsi="Times New Roman"/>
        <w:i/>
        <w:color w:val="0000FF"/>
        <w:sz w:val="18"/>
      </w:rPr>
      <w:t>© The McGraw-Hill Companies, Inc., 2012</w:t>
    </w:r>
  </w:p>
  <w:p w:rsidR="008179D2" w:rsidRDefault="008179D2" w:rsidP="0012632E">
    <w:pPr>
      <w:pStyle w:val="Footer"/>
      <w:pBdr>
        <w:top w:val="single" w:sz="2" w:space="0" w:color="auto"/>
      </w:pBdr>
      <w:tabs>
        <w:tab w:val="clear" w:pos="4320"/>
        <w:tab w:val="clear" w:pos="8640"/>
        <w:tab w:val="left" w:pos="2160"/>
        <w:tab w:val="right" w:pos="9720"/>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20-</w:t>
    </w:r>
    <w:r>
      <w:rPr>
        <w:rFonts w:ascii="Times New Roman" w:hAnsi="Times New Roman"/>
        <w:i/>
        <w:color w:val="0000FF"/>
        <w:sz w:val="18"/>
      </w:rPr>
      <w:pgNum/>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9D2" w:rsidRPr="0043558D" w:rsidRDefault="008179D2" w:rsidP="00BC4395">
    <w:pPr>
      <w:pStyle w:val="Footer"/>
      <w:tabs>
        <w:tab w:val="clear" w:pos="4320"/>
        <w:tab w:val="clear" w:pos="8640"/>
        <w:tab w:val="left" w:pos="3600"/>
        <w:tab w:val="right" w:pos="8364"/>
      </w:tabs>
      <w:rPr>
        <w:rFonts w:ascii="Times New Roman" w:hAnsi="Times New Roman"/>
        <w:i/>
        <w:color w:val="0000FF"/>
        <w:sz w:val="18"/>
      </w:rPr>
    </w:pPr>
    <w:proofErr w:type="spellStart"/>
    <w:r w:rsidRPr="0043558D">
      <w:rPr>
        <w:rFonts w:ascii="Times New Roman" w:hAnsi="Times New Roman"/>
        <w:color w:val="0000FF"/>
        <w:sz w:val="18"/>
      </w:rPr>
      <w:t>Smieliauskas</w:t>
    </w:r>
    <w:proofErr w:type="spellEnd"/>
    <w:r w:rsidRPr="0043558D">
      <w:rPr>
        <w:rFonts w:ascii="Times New Roman" w:hAnsi="Times New Roman"/>
        <w:color w:val="0000FF"/>
        <w:sz w:val="18"/>
      </w:rPr>
      <w:t>/</w:t>
    </w:r>
    <w:proofErr w:type="spellStart"/>
    <w:r w:rsidRPr="0043558D">
      <w:rPr>
        <w:rFonts w:ascii="Times New Roman" w:hAnsi="Times New Roman"/>
        <w:color w:val="0000FF"/>
        <w:sz w:val="18"/>
      </w:rPr>
      <w:t>Bewley</w:t>
    </w:r>
    <w:proofErr w:type="spellEnd"/>
    <w:r w:rsidRPr="0043558D">
      <w:rPr>
        <w:rFonts w:ascii="Times New Roman" w:hAnsi="Times New Roman"/>
        <w:color w:val="0000FF"/>
        <w:sz w:val="18"/>
      </w:rPr>
      <w:t>, 7e</w:t>
    </w:r>
    <w:r w:rsidRPr="0043558D">
      <w:rPr>
        <w:rFonts w:ascii="Times New Roman" w:hAnsi="Times New Roman"/>
        <w:color w:val="0000FF"/>
        <w:sz w:val="18"/>
      </w:rPr>
      <w:tab/>
    </w:r>
    <w:r w:rsidRPr="0043558D">
      <w:rPr>
        <w:rFonts w:ascii="Times New Roman" w:hAnsi="Times New Roman"/>
        <w:color w:val="0000FF"/>
        <w:sz w:val="18"/>
      </w:rPr>
      <w:tab/>
    </w:r>
    <w:r w:rsidRPr="0043558D">
      <w:rPr>
        <w:rFonts w:ascii="Times New Roman" w:hAnsi="Times New Roman"/>
        <w:i/>
        <w:color w:val="0000FF"/>
        <w:sz w:val="18"/>
      </w:rPr>
      <w:t>© McGraw-Hill Education, 2016</w:t>
    </w:r>
  </w:p>
  <w:p w:rsidR="008179D2" w:rsidRPr="00BC4395" w:rsidRDefault="008179D2" w:rsidP="00BC4395">
    <w:pPr>
      <w:pStyle w:val="Footer"/>
      <w:pBdr>
        <w:top w:val="single" w:sz="2" w:space="0" w:color="auto"/>
      </w:pBdr>
      <w:tabs>
        <w:tab w:val="clear" w:pos="4320"/>
        <w:tab w:val="clear" w:pos="8640"/>
        <w:tab w:val="left" w:pos="2160"/>
        <w:tab w:val="right" w:pos="8364"/>
      </w:tabs>
      <w:rPr>
        <w:rFonts w:ascii="Times New Roman" w:hAnsi="Times New Roman"/>
        <w:i/>
        <w:color w:val="0000FF"/>
        <w:sz w:val="18"/>
      </w:rPr>
    </w:pPr>
    <w:r w:rsidRPr="0043558D">
      <w:rPr>
        <w:rFonts w:ascii="Times New Roman" w:hAnsi="Times New Roman"/>
        <w:i/>
        <w:color w:val="0000FF"/>
        <w:sz w:val="18"/>
      </w:rPr>
      <w:t xml:space="preserve">What You Really Need to Know  </w:t>
    </w:r>
    <w:r w:rsidRPr="0043558D">
      <w:rPr>
        <w:rFonts w:ascii="Times New Roman" w:hAnsi="Times New Roman"/>
        <w:i/>
        <w:color w:val="0000FF"/>
        <w:sz w:val="18"/>
      </w:rPr>
      <w:tab/>
      <w:t xml:space="preserve">   </w:t>
    </w:r>
    <w:r>
      <w:rPr>
        <w:rFonts w:ascii="Times New Roman" w:hAnsi="Times New Roman"/>
        <w:i/>
        <w:color w:val="0000FF"/>
        <w:sz w:val="18"/>
      </w:rPr>
      <w:t>20</w:t>
    </w:r>
    <w:r w:rsidRPr="0043558D">
      <w:rPr>
        <w:rFonts w:ascii="Times New Roman" w:hAnsi="Times New Roman"/>
        <w:i/>
        <w:color w:val="0000FF"/>
        <w:sz w:val="18"/>
      </w:rPr>
      <w:t>-</w:t>
    </w:r>
    <w:r w:rsidRPr="0043558D">
      <w:rPr>
        <w:rFonts w:ascii="Times New Roman" w:hAnsi="Times New Roman"/>
        <w:i/>
        <w:color w:val="0000FF"/>
        <w:sz w:val="18"/>
      </w:rPr>
      <w:fldChar w:fldCharType="begin"/>
    </w:r>
    <w:r w:rsidRPr="0043558D">
      <w:rPr>
        <w:rFonts w:ascii="Times New Roman" w:hAnsi="Times New Roman"/>
        <w:i/>
        <w:color w:val="0000FF"/>
        <w:sz w:val="18"/>
      </w:rPr>
      <w:instrText xml:space="preserve"> PAGE   \* MERGEFORMAT </w:instrText>
    </w:r>
    <w:r w:rsidRPr="0043558D">
      <w:rPr>
        <w:rFonts w:ascii="Times New Roman" w:hAnsi="Times New Roman"/>
        <w:i/>
        <w:color w:val="0000FF"/>
        <w:sz w:val="18"/>
      </w:rPr>
      <w:fldChar w:fldCharType="separate"/>
    </w:r>
    <w:r w:rsidR="00DB3029">
      <w:rPr>
        <w:rFonts w:ascii="Times New Roman" w:hAnsi="Times New Roman"/>
        <w:i/>
        <w:noProof/>
        <w:color w:val="0000FF"/>
        <w:sz w:val="18"/>
      </w:rPr>
      <w:t>3</w:t>
    </w:r>
    <w:r w:rsidRPr="0043558D">
      <w:rPr>
        <w:rFonts w:ascii="Times New Roman" w:hAnsi="Times New Roman"/>
        <w:i/>
        <w:noProof/>
        <w:color w:val="0000FF"/>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9D2" w:rsidRPr="0043558D" w:rsidRDefault="008179D2" w:rsidP="00BC4395">
    <w:pPr>
      <w:pStyle w:val="Footer"/>
      <w:tabs>
        <w:tab w:val="clear" w:pos="4320"/>
        <w:tab w:val="clear" w:pos="8640"/>
        <w:tab w:val="left" w:pos="3600"/>
        <w:tab w:val="right" w:pos="8364"/>
      </w:tabs>
      <w:rPr>
        <w:rFonts w:ascii="Times New Roman" w:hAnsi="Times New Roman"/>
        <w:i/>
        <w:color w:val="0000FF"/>
        <w:sz w:val="18"/>
      </w:rPr>
    </w:pPr>
    <w:proofErr w:type="spellStart"/>
    <w:r w:rsidRPr="0043558D">
      <w:rPr>
        <w:rFonts w:ascii="Times New Roman" w:hAnsi="Times New Roman"/>
        <w:color w:val="0000FF"/>
        <w:sz w:val="18"/>
      </w:rPr>
      <w:t>Smieliauskas</w:t>
    </w:r>
    <w:proofErr w:type="spellEnd"/>
    <w:r w:rsidRPr="0043558D">
      <w:rPr>
        <w:rFonts w:ascii="Times New Roman" w:hAnsi="Times New Roman"/>
        <w:color w:val="0000FF"/>
        <w:sz w:val="18"/>
      </w:rPr>
      <w:t>/</w:t>
    </w:r>
    <w:proofErr w:type="spellStart"/>
    <w:r w:rsidRPr="0043558D">
      <w:rPr>
        <w:rFonts w:ascii="Times New Roman" w:hAnsi="Times New Roman"/>
        <w:color w:val="0000FF"/>
        <w:sz w:val="18"/>
      </w:rPr>
      <w:t>Bewley</w:t>
    </w:r>
    <w:proofErr w:type="spellEnd"/>
    <w:r w:rsidRPr="0043558D">
      <w:rPr>
        <w:rFonts w:ascii="Times New Roman" w:hAnsi="Times New Roman"/>
        <w:color w:val="0000FF"/>
        <w:sz w:val="18"/>
      </w:rPr>
      <w:t>, 7e</w:t>
    </w:r>
    <w:r w:rsidRPr="0043558D">
      <w:rPr>
        <w:rFonts w:ascii="Times New Roman" w:hAnsi="Times New Roman"/>
        <w:color w:val="0000FF"/>
        <w:sz w:val="18"/>
      </w:rPr>
      <w:tab/>
    </w:r>
    <w:r w:rsidRPr="0043558D">
      <w:rPr>
        <w:rFonts w:ascii="Times New Roman" w:hAnsi="Times New Roman"/>
        <w:color w:val="0000FF"/>
        <w:sz w:val="18"/>
      </w:rPr>
      <w:tab/>
    </w:r>
    <w:r w:rsidRPr="0043558D">
      <w:rPr>
        <w:rFonts w:ascii="Times New Roman" w:hAnsi="Times New Roman"/>
        <w:i/>
        <w:color w:val="0000FF"/>
        <w:sz w:val="18"/>
      </w:rPr>
      <w:t>© McGraw-Hill Education, 2016</w:t>
    </w:r>
  </w:p>
  <w:p w:rsidR="008179D2" w:rsidRPr="00BC4395" w:rsidRDefault="008179D2" w:rsidP="00BC4395">
    <w:pPr>
      <w:pStyle w:val="Footer"/>
      <w:pBdr>
        <w:top w:val="single" w:sz="2" w:space="0" w:color="auto"/>
      </w:pBdr>
      <w:tabs>
        <w:tab w:val="clear" w:pos="4320"/>
        <w:tab w:val="clear" w:pos="8640"/>
        <w:tab w:val="left" w:pos="2160"/>
        <w:tab w:val="right" w:pos="8364"/>
      </w:tabs>
      <w:rPr>
        <w:rFonts w:ascii="Times New Roman" w:hAnsi="Times New Roman"/>
        <w:i/>
        <w:color w:val="0000FF"/>
        <w:sz w:val="18"/>
      </w:rPr>
    </w:pPr>
    <w:r w:rsidRPr="0043558D">
      <w:rPr>
        <w:rFonts w:ascii="Times New Roman" w:hAnsi="Times New Roman"/>
        <w:i/>
        <w:color w:val="0000FF"/>
        <w:sz w:val="18"/>
      </w:rPr>
      <w:t xml:space="preserve">What You Really Need to Know  </w:t>
    </w:r>
    <w:r w:rsidRPr="0043558D">
      <w:rPr>
        <w:rFonts w:ascii="Times New Roman" w:hAnsi="Times New Roman"/>
        <w:i/>
        <w:color w:val="0000FF"/>
        <w:sz w:val="18"/>
      </w:rPr>
      <w:tab/>
      <w:t xml:space="preserve">   </w:t>
    </w:r>
    <w:r>
      <w:rPr>
        <w:rFonts w:ascii="Times New Roman" w:hAnsi="Times New Roman"/>
        <w:i/>
        <w:color w:val="0000FF"/>
        <w:sz w:val="18"/>
      </w:rPr>
      <w:t>20</w:t>
    </w:r>
    <w:r w:rsidRPr="0043558D">
      <w:rPr>
        <w:rFonts w:ascii="Times New Roman" w:hAnsi="Times New Roman"/>
        <w:i/>
        <w:color w:val="0000FF"/>
        <w:sz w:val="18"/>
      </w:rPr>
      <w:t>-</w:t>
    </w:r>
    <w:r w:rsidRPr="0043558D">
      <w:rPr>
        <w:rFonts w:ascii="Times New Roman" w:hAnsi="Times New Roman"/>
        <w:i/>
        <w:color w:val="0000FF"/>
        <w:sz w:val="18"/>
      </w:rPr>
      <w:fldChar w:fldCharType="begin"/>
    </w:r>
    <w:r w:rsidRPr="0043558D">
      <w:rPr>
        <w:rFonts w:ascii="Times New Roman" w:hAnsi="Times New Roman"/>
        <w:i/>
        <w:color w:val="0000FF"/>
        <w:sz w:val="18"/>
      </w:rPr>
      <w:instrText xml:space="preserve"> PAGE   \* MERGEFORMAT </w:instrText>
    </w:r>
    <w:r w:rsidRPr="0043558D">
      <w:rPr>
        <w:rFonts w:ascii="Times New Roman" w:hAnsi="Times New Roman"/>
        <w:i/>
        <w:color w:val="0000FF"/>
        <w:sz w:val="18"/>
      </w:rPr>
      <w:fldChar w:fldCharType="separate"/>
    </w:r>
    <w:r w:rsidR="00DB3029">
      <w:rPr>
        <w:rFonts w:ascii="Times New Roman" w:hAnsi="Times New Roman"/>
        <w:i/>
        <w:noProof/>
        <w:color w:val="0000FF"/>
        <w:sz w:val="18"/>
      </w:rPr>
      <w:t>1</w:t>
    </w:r>
    <w:r w:rsidRPr="0043558D">
      <w:rPr>
        <w:rFonts w:ascii="Times New Roman" w:hAnsi="Times New Roman"/>
        <w:i/>
        <w:noProof/>
        <w:color w:val="0000FF"/>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F1B" w:rsidRDefault="00950F1B">
      <w:r>
        <w:separator/>
      </w:r>
    </w:p>
  </w:footnote>
  <w:footnote w:type="continuationSeparator" w:id="0">
    <w:p w:rsidR="00950F1B" w:rsidRDefault="00950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9D2" w:rsidRPr="00DA4A7A" w:rsidRDefault="008179D2" w:rsidP="00DA4A7A">
    <w:pPr>
      <w:pStyle w:val="Header"/>
    </w:pPr>
    <w:r>
      <w:rPr>
        <w:rFonts w:ascii="Times New Roman" w:hAnsi="Times New Roman"/>
        <w:b/>
        <w:color w:val="0000FF"/>
      </w:rPr>
      <w:fldChar w:fldCharType="begin"/>
    </w:r>
    <w:r>
      <w:rPr>
        <w:rFonts w:ascii="Times New Roman" w:hAnsi="Times New Roman"/>
        <w:b/>
        <w:color w:val="0000FF"/>
      </w:rPr>
      <w:instrText xml:space="preserve"> DOCPROPERTY  Subject  \* MERGEFORMAT </w:instrText>
    </w:r>
    <w:r>
      <w:rPr>
        <w:rFonts w:ascii="Times New Roman" w:hAnsi="Times New Roman"/>
        <w:b/>
        <w:color w:val="0000FF"/>
      </w:rPr>
      <w:fldChar w:fldCharType="separate"/>
    </w:r>
    <w:r>
      <w:rPr>
        <w:rFonts w:ascii="Times New Roman" w:hAnsi="Times New Roman"/>
        <w:b/>
        <w:color w:val="0000FF"/>
      </w:rPr>
      <w:t>Legal Liability</w:t>
    </w:r>
    <w:r>
      <w:rPr>
        <w:rFonts w:ascii="Times New Roman" w:hAnsi="Times New Roman"/>
        <w:b/>
        <w:color w:val="0000FF"/>
      </w:rPr>
      <w:fldChar w:fldCharType="end"/>
    </w:r>
    <w:r>
      <w:rPr>
        <w:rFonts w:ascii="Times New Roman" w:hAnsi="Times New Roman"/>
        <w:b/>
        <w:color w:val="0000FF"/>
      </w:rPr>
      <w:t xml:space="preserve"> Cases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9D2" w:rsidRPr="00DA4A7A" w:rsidRDefault="008179D2" w:rsidP="00DA4A7A">
    <w:pPr>
      <w:pStyle w:val="Header"/>
      <w:jc w:val="right"/>
    </w:pPr>
    <w:r>
      <w:rPr>
        <w:rFonts w:ascii="Times New Roman" w:hAnsi="Times New Roman"/>
        <w:b/>
        <w:color w:val="0000FF"/>
      </w:rPr>
      <w:fldChar w:fldCharType="begin"/>
    </w:r>
    <w:r>
      <w:rPr>
        <w:rFonts w:ascii="Times New Roman" w:hAnsi="Times New Roman"/>
        <w:b/>
        <w:color w:val="0000FF"/>
      </w:rPr>
      <w:instrText xml:space="preserve"> DOCPROPERTY  Subject </w:instrText>
    </w:r>
    <w:r>
      <w:rPr>
        <w:rFonts w:ascii="Times New Roman" w:hAnsi="Times New Roman"/>
        <w:b/>
        <w:color w:val="0000FF"/>
      </w:rPr>
      <w:fldChar w:fldCharType="separate"/>
    </w:r>
    <w:r>
      <w:rPr>
        <w:rFonts w:ascii="Times New Roman" w:hAnsi="Times New Roman"/>
        <w:b/>
        <w:color w:val="0000FF"/>
      </w:rPr>
      <w:t>Legal Liability</w:t>
    </w:r>
    <w:r>
      <w:rPr>
        <w:rFonts w:ascii="Times New Roman" w:hAnsi="Times New Roman"/>
        <w:b/>
        <w:color w:val="0000FF"/>
      </w:rPr>
      <w:fldChar w:fldCharType="end"/>
    </w:r>
    <w:r>
      <w:rPr>
        <w:rFonts w:ascii="Times New Roman" w:hAnsi="Times New Roman"/>
        <w:b/>
        <w:color w:val="0000FF"/>
      </w:rPr>
      <w:t xml:space="preserve"> Cases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AAC39DA"/>
    <w:lvl w:ilvl="0">
      <w:start w:val="1"/>
      <w:numFmt w:val="decimal"/>
      <w:lvlText w:val="%1."/>
      <w:lvlJc w:val="left"/>
      <w:pPr>
        <w:tabs>
          <w:tab w:val="num" w:pos="1800"/>
        </w:tabs>
        <w:ind w:left="1800" w:hanging="360"/>
      </w:pPr>
    </w:lvl>
  </w:abstractNum>
  <w:abstractNum w:abstractNumId="1">
    <w:nsid w:val="FFFFFF7D"/>
    <w:multiLevelType w:val="singleLevel"/>
    <w:tmpl w:val="B8E6D30A"/>
    <w:lvl w:ilvl="0">
      <w:start w:val="1"/>
      <w:numFmt w:val="decimal"/>
      <w:lvlText w:val="%1."/>
      <w:lvlJc w:val="left"/>
      <w:pPr>
        <w:tabs>
          <w:tab w:val="num" w:pos="1440"/>
        </w:tabs>
        <w:ind w:left="1440" w:hanging="360"/>
      </w:pPr>
    </w:lvl>
  </w:abstractNum>
  <w:abstractNum w:abstractNumId="2">
    <w:nsid w:val="FFFFFF7E"/>
    <w:multiLevelType w:val="singleLevel"/>
    <w:tmpl w:val="00A2A652"/>
    <w:lvl w:ilvl="0">
      <w:start w:val="1"/>
      <w:numFmt w:val="decimal"/>
      <w:lvlText w:val="%1."/>
      <w:lvlJc w:val="left"/>
      <w:pPr>
        <w:tabs>
          <w:tab w:val="num" w:pos="1080"/>
        </w:tabs>
        <w:ind w:left="1080" w:hanging="360"/>
      </w:pPr>
    </w:lvl>
  </w:abstractNum>
  <w:abstractNum w:abstractNumId="3">
    <w:nsid w:val="FFFFFF7F"/>
    <w:multiLevelType w:val="singleLevel"/>
    <w:tmpl w:val="81B47D7C"/>
    <w:lvl w:ilvl="0">
      <w:start w:val="1"/>
      <w:numFmt w:val="decimal"/>
      <w:lvlText w:val="%1."/>
      <w:lvlJc w:val="left"/>
      <w:pPr>
        <w:tabs>
          <w:tab w:val="num" w:pos="720"/>
        </w:tabs>
        <w:ind w:left="720" w:hanging="360"/>
      </w:pPr>
    </w:lvl>
  </w:abstractNum>
  <w:abstractNum w:abstractNumId="4">
    <w:nsid w:val="FFFFFF80"/>
    <w:multiLevelType w:val="singleLevel"/>
    <w:tmpl w:val="C7FEEB7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C08B5C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50EA48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890DED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0883ACE"/>
    <w:lvl w:ilvl="0">
      <w:start w:val="1"/>
      <w:numFmt w:val="decimal"/>
      <w:lvlText w:val="%1."/>
      <w:lvlJc w:val="left"/>
      <w:pPr>
        <w:tabs>
          <w:tab w:val="num" w:pos="360"/>
        </w:tabs>
        <w:ind w:left="360" w:hanging="360"/>
      </w:pPr>
    </w:lvl>
  </w:abstractNum>
  <w:abstractNum w:abstractNumId="9">
    <w:nsid w:val="FFFFFF89"/>
    <w:multiLevelType w:val="singleLevel"/>
    <w:tmpl w:val="78083C36"/>
    <w:lvl w:ilvl="0">
      <w:start w:val="1"/>
      <w:numFmt w:val="bullet"/>
      <w:lvlText w:val=""/>
      <w:lvlJc w:val="left"/>
      <w:pPr>
        <w:tabs>
          <w:tab w:val="num" w:pos="360"/>
        </w:tabs>
        <w:ind w:left="360" w:hanging="360"/>
      </w:pPr>
      <w:rPr>
        <w:rFonts w:ascii="Symbol" w:hAnsi="Symbol" w:hint="default"/>
      </w:rPr>
    </w:lvl>
  </w:abstractNum>
  <w:abstractNum w:abstractNumId="10">
    <w:nsid w:val="424215BA"/>
    <w:multiLevelType w:val="singleLevel"/>
    <w:tmpl w:val="530ED420"/>
    <w:lvl w:ilvl="0">
      <w:start w:val="7"/>
      <w:numFmt w:val="decimal"/>
      <w:lvlText w:val="%1."/>
      <w:lvlJc w:val="left"/>
      <w:pPr>
        <w:tabs>
          <w:tab w:val="num" w:pos="600"/>
        </w:tabs>
        <w:ind w:left="600" w:hanging="360"/>
      </w:pPr>
      <w:rPr>
        <w:rFonts w:hint="default"/>
      </w:rPr>
    </w:lvl>
  </w:abstractNum>
  <w:abstractNum w:abstractNumId="11">
    <w:nsid w:val="504113D8"/>
    <w:multiLevelType w:val="singleLevel"/>
    <w:tmpl w:val="EE3E6EF8"/>
    <w:lvl w:ilvl="0">
      <w:start w:val="2"/>
      <w:numFmt w:val="lowerLetter"/>
      <w:lvlText w:val="%1."/>
      <w:lvlJc w:val="left"/>
      <w:pPr>
        <w:tabs>
          <w:tab w:val="num" w:pos="620"/>
        </w:tabs>
        <w:ind w:left="620" w:hanging="360"/>
      </w:pPr>
      <w:rPr>
        <w:rFonts w:hint="default"/>
      </w:rPr>
    </w:lvl>
  </w:abstractNum>
  <w:abstractNum w:abstractNumId="12">
    <w:nsid w:val="59A66D8F"/>
    <w:multiLevelType w:val="hybridMultilevel"/>
    <w:tmpl w:val="CFC66F5E"/>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3">
    <w:nsid w:val="6DD007F4"/>
    <w:multiLevelType w:val="hybridMultilevel"/>
    <w:tmpl w:val="90349BE0"/>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4">
    <w:nsid w:val="771E1E08"/>
    <w:multiLevelType w:val="singleLevel"/>
    <w:tmpl w:val="0409000F"/>
    <w:lvl w:ilvl="0">
      <w:start w:val="23"/>
      <w:numFmt w:val="decimal"/>
      <w:lvlText w:val="%1."/>
      <w:lvlJc w:val="left"/>
      <w:pPr>
        <w:tabs>
          <w:tab w:val="num" w:pos="360"/>
        </w:tabs>
        <w:ind w:left="360" w:hanging="360"/>
      </w:pPr>
      <w:rPr>
        <w:rFonts w:hint="default"/>
      </w:rPr>
    </w:lvl>
  </w:abstractNum>
  <w:abstractNum w:abstractNumId="15">
    <w:nsid w:val="7D951941"/>
    <w:multiLevelType w:val="hybridMultilevel"/>
    <w:tmpl w:val="F39A145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32"/>
  <w:hyphenationZone w:val="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BDC"/>
    <w:rsid w:val="00003DB3"/>
    <w:rsid w:val="0002009A"/>
    <w:rsid w:val="000416F9"/>
    <w:rsid w:val="000530FC"/>
    <w:rsid w:val="00086C10"/>
    <w:rsid w:val="000A41C8"/>
    <w:rsid w:val="000C636D"/>
    <w:rsid w:val="000F0518"/>
    <w:rsid w:val="000F2857"/>
    <w:rsid w:val="00105218"/>
    <w:rsid w:val="001058BE"/>
    <w:rsid w:val="00116B7A"/>
    <w:rsid w:val="0012632E"/>
    <w:rsid w:val="00196029"/>
    <w:rsid w:val="001D0B2E"/>
    <w:rsid w:val="001E4964"/>
    <w:rsid w:val="001F3BE0"/>
    <w:rsid w:val="002C24A7"/>
    <w:rsid w:val="00337141"/>
    <w:rsid w:val="00377B2D"/>
    <w:rsid w:val="00385D21"/>
    <w:rsid w:val="003A0CC0"/>
    <w:rsid w:val="003D4544"/>
    <w:rsid w:val="003D4B65"/>
    <w:rsid w:val="003E3A83"/>
    <w:rsid w:val="00406D2B"/>
    <w:rsid w:val="00406F69"/>
    <w:rsid w:val="00414589"/>
    <w:rsid w:val="00417957"/>
    <w:rsid w:val="00434CF5"/>
    <w:rsid w:val="00444C3F"/>
    <w:rsid w:val="00455788"/>
    <w:rsid w:val="004746FB"/>
    <w:rsid w:val="0048462D"/>
    <w:rsid w:val="004A2F09"/>
    <w:rsid w:val="004B7710"/>
    <w:rsid w:val="004D44CE"/>
    <w:rsid w:val="004F6BDC"/>
    <w:rsid w:val="00505C35"/>
    <w:rsid w:val="00527536"/>
    <w:rsid w:val="005275A7"/>
    <w:rsid w:val="00531710"/>
    <w:rsid w:val="005435D5"/>
    <w:rsid w:val="00567073"/>
    <w:rsid w:val="005A2CE4"/>
    <w:rsid w:val="005C0810"/>
    <w:rsid w:val="005D6FAA"/>
    <w:rsid w:val="00604FD8"/>
    <w:rsid w:val="00610333"/>
    <w:rsid w:val="0064726B"/>
    <w:rsid w:val="0065301E"/>
    <w:rsid w:val="006A7FBE"/>
    <w:rsid w:val="006D2D56"/>
    <w:rsid w:val="00741B61"/>
    <w:rsid w:val="00761EC3"/>
    <w:rsid w:val="007639A9"/>
    <w:rsid w:val="00772193"/>
    <w:rsid w:val="007A0BD4"/>
    <w:rsid w:val="007A56CB"/>
    <w:rsid w:val="007A58B1"/>
    <w:rsid w:val="007C1135"/>
    <w:rsid w:val="00801515"/>
    <w:rsid w:val="008179D2"/>
    <w:rsid w:val="008235F7"/>
    <w:rsid w:val="00844312"/>
    <w:rsid w:val="008457A5"/>
    <w:rsid w:val="00873E4B"/>
    <w:rsid w:val="00873EA6"/>
    <w:rsid w:val="00877672"/>
    <w:rsid w:val="0088314F"/>
    <w:rsid w:val="008B6B6E"/>
    <w:rsid w:val="00922257"/>
    <w:rsid w:val="00950F1B"/>
    <w:rsid w:val="0097582C"/>
    <w:rsid w:val="00996E5C"/>
    <w:rsid w:val="009B022F"/>
    <w:rsid w:val="009B3E49"/>
    <w:rsid w:val="009D08CA"/>
    <w:rsid w:val="009F33B1"/>
    <w:rsid w:val="009F5E15"/>
    <w:rsid w:val="00A10E55"/>
    <w:rsid w:val="00A7039C"/>
    <w:rsid w:val="00A8532A"/>
    <w:rsid w:val="00A87F99"/>
    <w:rsid w:val="00A92366"/>
    <w:rsid w:val="00AD28D6"/>
    <w:rsid w:val="00AF7601"/>
    <w:rsid w:val="00B2288F"/>
    <w:rsid w:val="00B279D3"/>
    <w:rsid w:val="00B46694"/>
    <w:rsid w:val="00B62D62"/>
    <w:rsid w:val="00B710A1"/>
    <w:rsid w:val="00B72C26"/>
    <w:rsid w:val="00BB789F"/>
    <w:rsid w:val="00BC4395"/>
    <w:rsid w:val="00BC4583"/>
    <w:rsid w:val="00BC73EB"/>
    <w:rsid w:val="00C025C1"/>
    <w:rsid w:val="00C362D2"/>
    <w:rsid w:val="00C56D9B"/>
    <w:rsid w:val="00C74865"/>
    <w:rsid w:val="00C865C2"/>
    <w:rsid w:val="00C91433"/>
    <w:rsid w:val="00C956F7"/>
    <w:rsid w:val="00CE7894"/>
    <w:rsid w:val="00D30208"/>
    <w:rsid w:val="00D44BE6"/>
    <w:rsid w:val="00D600E1"/>
    <w:rsid w:val="00DA3979"/>
    <w:rsid w:val="00DA4A7A"/>
    <w:rsid w:val="00DB3029"/>
    <w:rsid w:val="00DC1FCE"/>
    <w:rsid w:val="00DE6639"/>
    <w:rsid w:val="00DF10D3"/>
    <w:rsid w:val="00E01645"/>
    <w:rsid w:val="00E544F2"/>
    <w:rsid w:val="00E56B1F"/>
    <w:rsid w:val="00E60BCD"/>
    <w:rsid w:val="00E61FDF"/>
    <w:rsid w:val="00E64EE0"/>
    <w:rsid w:val="00E65FBA"/>
    <w:rsid w:val="00E75019"/>
    <w:rsid w:val="00E755D5"/>
    <w:rsid w:val="00E83A5F"/>
    <w:rsid w:val="00E908A2"/>
    <w:rsid w:val="00EC1F6D"/>
    <w:rsid w:val="00F1108B"/>
    <w:rsid w:val="00F8261C"/>
    <w:rsid w:val="00F94A36"/>
    <w:rsid w:val="00FB6B66"/>
    <w:rsid w:val="00FF523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blu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semiHidden/>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basedOn w:val="DefaultParagraphFont"/>
    <w:link w:val="Footer"/>
    <w:locked/>
    <w:rsid w:val="0012632E"/>
    <w:rPr>
      <w:rFonts w:ascii="Palatino" w:hAnsi="Palatino"/>
      <w:sz w:val="24"/>
      <w:lang w:val="en-US" w:eastAsia="en-US" w:bidi="ar-SA"/>
    </w:rPr>
  </w:style>
  <w:style w:type="paragraph" w:styleId="BalloonText">
    <w:name w:val="Balloon Text"/>
    <w:basedOn w:val="Normal"/>
    <w:link w:val="BalloonTextChar"/>
    <w:uiPriority w:val="99"/>
    <w:semiHidden/>
    <w:unhideWhenUsed/>
    <w:rsid w:val="00BC4395"/>
    <w:rPr>
      <w:rFonts w:ascii="Tahoma" w:hAnsi="Tahoma" w:cs="Tahoma"/>
      <w:sz w:val="16"/>
      <w:szCs w:val="16"/>
    </w:rPr>
  </w:style>
  <w:style w:type="character" w:customStyle="1" w:styleId="BalloonTextChar">
    <w:name w:val="Balloon Text Char"/>
    <w:basedOn w:val="DefaultParagraphFont"/>
    <w:link w:val="BalloonText"/>
    <w:uiPriority w:val="99"/>
    <w:semiHidden/>
    <w:rsid w:val="00BC4395"/>
    <w:rPr>
      <w:rFonts w:ascii="Tahoma" w:hAnsi="Tahoma" w:cs="Tahoma"/>
      <w:sz w:val="16"/>
      <w:szCs w:val="16"/>
      <w:lang w:val="en-US" w:eastAsia="en-US"/>
    </w:rPr>
  </w:style>
  <w:style w:type="paragraph" w:styleId="ListParagraph">
    <w:name w:val="List Paragraph"/>
    <w:basedOn w:val="Normal"/>
    <w:uiPriority w:val="34"/>
    <w:qFormat/>
    <w:rsid w:val="008179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semiHidden/>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basedOn w:val="DefaultParagraphFont"/>
    <w:link w:val="Footer"/>
    <w:locked/>
    <w:rsid w:val="0012632E"/>
    <w:rPr>
      <w:rFonts w:ascii="Palatino" w:hAnsi="Palatino"/>
      <w:sz w:val="24"/>
      <w:lang w:val="en-US" w:eastAsia="en-US" w:bidi="ar-SA"/>
    </w:rPr>
  </w:style>
  <w:style w:type="paragraph" w:styleId="BalloonText">
    <w:name w:val="Balloon Text"/>
    <w:basedOn w:val="Normal"/>
    <w:link w:val="BalloonTextChar"/>
    <w:uiPriority w:val="99"/>
    <w:semiHidden/>
    <w:unhideWhenUsed/>
    <w:rsid w:val="00BC4395"/>
    <w:rPr>
      <w:rFonts w:ascii="Tahoma" w:hAnsi="Tahoma" w:cs="Tahoma"/>
      <w:sz w:val="16"/>
      <w:szCs w:val="16"/>
    </w:rPr>
  </w:style>
  <w:style w:type="character" w:customStyle="1" w:styleId="BalloonTextChar">
    <w:name w:val="Balloon Text Char"/>
    <w:basedOn w:val="DefaultParagraphFont"/>
    <w:link w:val="BalloonText"/>
    <w:uiPriority w:val="99"/>
    <w:semiHidden/>
    <w:rsid w:val="00BC4395"/>
    <w:rPr>
      <w:rFonts w:ascii="Tahoma" w:hAnsi="Tahoma" w:cs="Tahoma"/>
      <w:sz w:val="16"/>
      <w:szCs w:val="16"/>
      <w:lang w:val="en-US" w:eastAsia="en-US"/>
    </w:rPr>
  </w:style>
  <w:style w:type="paragraph" w:styleId="ListParagraph">
    <w:name w:val="List Paragraph"/>
    <w:basedOn w:val="Normal"/>
    <w:uiPriority w:val="34"/>
    <w:qFormat/>
    <w:rsid w:val="008179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1315</Words>
  <Characters>7497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Auditing: An International Approach, 7ce (Smieliauskas, Bewley)</vt:lpstr>
    </vt:vector>
  </TitlesOfParts>
  <Company>Santa Clara University</Company>
  <LinksUpToDate>false</LinksUpToDate>
  <CharactersWithSpaces>8795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Auditing: An International Approach, 7ce (Smieliauskas, Bewley)</dc:title>
  <dc:creator>Robert G. Ducharme, MAcc, CPA, CA - University of Waterloo, School of Accounting and Finance</dc:creator>
  <cp:lastModifiedBy>Rydzanicz, Amy</cp:lastModifiedBy>
  <cp:revision>11</cp:revision>
  <cp:lastPrinted>2009-11-10T22:48:00Z</cp:lastPrinted>
  <dcterms:created xsi:type="dcterms:W3CDTF">2012-07-30T15:11:00Z</dcterms:created>
  <dcterms:modified xsi:type="dcterms:W3CDTF">2015-09-09T19:25:00Z</dcterms:modified>
</cp:coreProperties>
</file>