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EC8" w:rsidRPr="006C0EC8" w:rsidRDefault="006C0EC8" w:rsidP="006C0EC8">
      <w:pPr>
        <w:tabs>
          <w:tab w:val="center" w:pos="8540"/>
          <w:tab w:val="center" w:pos="9540"/>
        </w:tabs>
        <w:spacing w:before="240"/>
        <w:rPr>
          <w:b/>
          <w:smallCaps/>
          <w:color w:val="0000FF"/>
          <w:sz w:val="32"/>
          <w:szCs w:val="32"/>
          <w:lang w:val="en-CA"/>
        </w:rPr>
      </w:pPr>
      <w:bookmarkStart w:id="0" w:name="_GoBack"/>
      <w:bookmarkEnd w:id="0"/>
      <w:r w:rsidRPr="006C0EC8">
        <w:rPr>
          <w:b/>
          <w:smallCaps/>
          <w:color w:val="0000FF"/>
          <w:sz w:val="32"/>
          <w:szCs w:val="32"/>
          <w:lang w:val="en-CA"/>
        </w:rPr>
        <w:t>What You Really Need to Know</w:t>
      </w:r>
    </w:p>
    <w:p w:rsidR="006C0EC8" w:rsidRPr="006C0EC8" w:rsidRDefault="006C0EC8" w:rsidP="006C0EC8">
      <w:pPr>
        <w:pStyle w:val="heading2"/>
        <w:framePr w:w="0" w:hSpace="0" w:vSpace="0" w:wrap="auto" w:hAnchor="text"/>
        <w:pBdr>
          <w:bottom w:val="single" w:sz="4" w:space="1" w:color="auto"/>
        </w:pBdr>
        <w:ind w:left="0" w:right="0"/>
        <w:rPr>
          <w:rFonts w:ascii="Times New Roman" w:hAnsi="Times New Roman"/>
          <w:caps w:val="0"/>
          <w:smallCaps/>
          <w:lang w:val="en-CA"/>
        </w:rPr>
      </w:pPr>
      <w:r w:rsidRPr="006C0EC8">
        <w:rPr>
          <w:rFonts w:ascii="Times New Roman" w:hAnsi="Times New Roman"/>
          <w:caps w:val="0"/>
          <w:smallCaps/>
          <w:lang w:val="en-CA"/>
        </w:rPr>
        <w:t>Chapter 15: Completing the Audit Work</w:t>
      </w:r>
    </w:p>
    <w:p w:rsidR="006C0EC8" w:rsidRPr="006C0EC8" w:rsidRDefault="006C0EC8" w:rsidP="006C0EC8">
      <w:pPr>
        <w:rPr>
          <w:lang w:val="en-CA"/>
        </w:rPr>
      </w:pPr>
    </w:p>
    <w:p w:rsidR="006C0EC8" w:rsidRPr="006C0EC8" w:rsidRDefault="006C0EC8" w:rsidP="006C0EC8">
      <w:pPr>
        <w:rPr>
          <w:lang w:val="en-CA"/>
        </w:rPr>
      </w:pPr>
    </w:p>
    <w:p w:rsidR="0000463E" w:rsidRPr="006C0EC8" w:rsidRDefault="0000463E" w:rsidP="00234822">
      <w:pPr>
        <w:rPr>
          <w:lang w:val="en-CA"/>
        </w:rPr>
      </w:pPr>
      <w:r w:rsidRPr="006C0EC8">
        <w:rPr>
          <w:b/>
          <w:lang w:val="en-CA"/>
        </w:rPr>
        <w:t>Overview</w:t>
      </w:r>
      <w:r w:rsidR="004E1143" w:rsidRPr="006C0EC8">
        <w:rPr>
          <w:b/>
          <w:lang w:val="en-CA"/>
        </w:rPr>
        <w:t xml:space="preserve"> </w:t>
      </w:r>
    </w:p>
    <w:p w:rsidR="00234822" w:rsidRPr="006C0EC8" w:rsidRDefault="00234822" w:rsidP="00234822">
      <w:pPr>
        <w:rPr>
          <w:lang w:val="en-CA"/>
        </w:rPr>
      </w:pPr>
      <w:r w:rsidRPr="006C0EC8">
        <w:rPr>
          <w:lang w:val="en-CA"/>
        </w:rPr>
        <w:t xml:space="preserve">This </w:t>
      </w:r>
      <w:r w:rsidR="00745091" w:rsidRPr="006C0EC8">
        <w:rPr>
          <w:lang w:val="en-CA"/>
        </w:rPr>
        <w:t xml:space="preserve">chapter is </w:t>
      </w:r>
      <w:r w:rsidRPr="006C0EC8">
        <w:rPr>
          <w:lang w:val="en-CA"/>
        </w:rPr>
        <w:t>about tying up loose ends, and bri</w:t>
      </w:r>
      <w:r w:rsidR="00881BA9" w:rsidRPr="006C0EC8">
        <w:rPr>
          <w:lang w:val="en-CA"/>
        </w:rPr>
        <w:t xml:space="preserve">nging </w:t>
      </w:r>
      <w:r w:rsidR="00745091" w:rsidRPr="006C0EC8">
        <w:rPr>
          <w:lang w:val="en-CA"/>
        </w:rPr>
        <w:t xml:space="preserve">together </w:t>
      </w:r>
      <w:r w:rsidR="00E235E1" w:rsidRPr="006C0EC8">
        <w:rPr>
          <w:lang w:val="en-CA"/>
        </w:rPr>
        <w:t xml:space="preserve">all </w:t>
      </w:r>
      <w:r w:rsidR="00745091" w:rsidRPr="006C0EC8">
        <w:rPr>
          <w:lang w:val="en-CA"/>
        </w:rPr>
        <w:t>the work that has been performed during t</w:t>
      </w:r>
      <w:r w:rsidRPr="006C0EC8">
        <w:rPr>
          <w:lang w:val="en-CA"/>
        </w:rPr>
        <w:t xml:space="preserve">he audit with a view to formulating an audit opinion. </w:t>
      </w:r>
      <w:r w:rsidR="00E235E1" w:rsidRPr="006C0EC8">
        <w:rPr>
          <w:lang w:val="en-CA"/>
        </w:rPr>
        <w:t xml:space="preserve"> </w:t>
      </w:r>
      <w:r w:rsidRPr="006C0EC8">
        <w:rPr>
          <w:lang w:val="en-CA"/>
        </w:rPr>
        <w:t xml:space="preserve">It is worthwhile to note that the procedures performed in completing the audit have several distinct characteristics. For instance, they do not pertain to specific transactions cycles or accounts; they are performed after the balance sheet date; they involve many subjective judgments by the auditor, and are usually performed by audit managers or other senior members of the audit team. </w:t>
      </w:r>
      <w:r w:rsidR="006C0EC8" w:rsidRPr="006C0EC8">
        <w:rPr>
          <w:lang w:val="en-CA"/>
        </w:rPr>
        <w:t xml:space="preserve"> </w:t>
      </w:r>
      <w:r w:rsidRPr="006C0EC8">
        <w:rPr>
          <w:lang w:val="en-CA"/>
        </w:rPr>
        <w:t>Generally speaking, the auditor’s responsibilities in comp</w:t>
      </w:r>
      <w:r w:rsidR="00745091" w:rsidRPr="006C0EC8">
        <w:rPr>
          <w:lang w:val="en-CA"/>
        </w:rPr>
        <w:t>l</w:t>
      </w:r>
      <w:r w:rsidRPr="006C0EC8">
        <w:rPr>
          <w:lang w:val="en-CA"/>
        </w:rPr>
        <w:t>eting the audit involve comp</w:t>
      </w:r>
      <w:r w:rsidR="00B04024" w:rsidRPr="006C0EC8">
        <w:rPr>
          <w:lang w:val="en-CA"/>
        </w:rPr>
        <w:t>l</w:t>
      </w:r>
      <w:r w:rsidRPr="006C0EC8">
        <w:rPr>
          <w:lang w:val="en-CA"/>
        </w:rPr>
        <w:t>eting the field work, evaluating the findings, and communicating with the client.</w:t>
      </w:r>
    </w:p>
    <w:p w:rsidR="00234822" w:rsidRPr="006C0EC8" w:rsidRDefault="00234822" w:rsidP="00234822">
      <w:pPr>
        <w:rPr>
          <w:lang w:val="en-CA"/>
        </w:rPr>
      </w:pPr>
    </w:p>
    <w:p w:rsidR="00B04024" w:rsidRPr="006C0EC8" w:rsidRDefault="00745091" w:rsidP="00234822">
      <w:pPr>
        <w:rPr>
          <w:b/>
          <w:lang w:val="en-CA"/>
        </w:rPr>
      </w:pPr>
      <w:proofErr w:type="gramStart"/>
      <w:r w:rsidRPr="006C0EC8">
        <w:rPr>
          <w:b/>
          <w:lang w:val="en-CA"/>
        </w:rPr>
        <w:t>LO1  Describe</w:t>
      </w:r>
      <w:proofErr w:type="gramEnd"/>
      <w:r w:rsidRPr="006C0EC8">
        <w:rPr>
          <w:b/>
          <w:lang w:val="en-CA"/>
        </w:rPr>
        <w:t xml:space="preserve"> the balance sheet account groups that the major revenue and expense accounts are associated with, as well as the substantive analytical procedures applied to audit revenues and expenses.</w:t>
      </w:r>
    </w:p>
    <w:p w:rsidR="00745091" w:rsidRPr="006C0EC8" w:rsidRDefault="000F61C9" w:rsidP="000F61C9">
      <w:pPr>
        <w:numPr>
          <w:ilvl w:val="0"/>
          <w:numId w:val="3"/>
        </w:numPr>
        <w:rPr>
          <w:lang w:val="en-CA"/>
        </w:rPr>
      </w:pPr>
      <w:r w:rsidRPr="006C0EC8">
        <w:rPr>
          <w:lang w:val="en-CA"/>
        </w:rPr>
        <w:t>As the field work nears its end, the major revenue and expense accounts will have been audited in connection with related balance sheet accounts.  Now, auditors need to consider other revenue and expense accounts.</w:t>
      </w:r>
    </w:p>
    <w:p w:rsidR="000F61C9" w:rsidRPr="006C0EC8" w:rsidRDefault="000F61C9" w:rsidP="000F61C9">
      <w:pPr>
        <w:numPr>
          <w:ilvl w:val="0"/>
          <w:numId w:val="3"/>
        </w:numPr>
        <w:rPr>
          <w:lang w:val="en-CA"/>
        </w:rPr>
      </w:pPr>
      <w:r w:rsidRPr="006C0EC8">
        <w:rPr>
          <w:lang w:val="en-CA"/>
        </w:rPr>
        <w:t>Analytical procedures can be used as substantive pr</w:t>
      </w:r>
      <w:r w:rsidR="00E235E1" w:rsidRPr="006C0EC8">
        <w:rPr>
          <w:lang w:val="en-CA"/>
        </w:rPr>
        <w:t xml:space="preserve">ocedures to compare the revenue </w:t>
      </w:r>
      <w:r w:rsidRPr="006C0EC8">
        <w:rPr>
          <w:lang w:val="en-CA"/>
        </w:rPr>
        <w:t>accounts</w:t>
      </w:r>
      <w:r w:rsidR="00E235E1" w:rsidRPr="006C0EC8">
        <w:rPr>
          <w:lang w:val="en-CA"/>
        </w:rPr>
        <w:t xml:space="preserve"> and minor expense accounts</w:t>
      </w:r>
      <w:r w:rsidRPr="006C0EC8">
        <w:rPr>
          <w:lang w:val="en-CA"/>
        </w:rPr>
        <w:t xml:space="preserve"> with prior-year data and with multiple-year trends, to look for unusual fluctuations.  </w:t>
      </w:r>
      <w:r w:rsidR="00E235E1" w:rsidRPr="006C0EC8">
        <w:rPr>
          <w:lang w:val="en-CA"/>
        </w:rPr>
        <w:t xml:space="preserve"> Management e</w:t>
      </w:r>
      <w:r w:rsidRPr="006C0EC8">
        <w:rPr>
          <w:lang w:val="en-CA"/>
        </w:rPr>
        <w:t>xplanations can be verified by further audit procedures.</w:t>
      </w:r>
    </w:p>
    <w:p w:rsidR="000F61C9" w:rsidRPr="006C0EC8" w:rsidRDefault="000F61C9" w:rsidP="000F61C9">
      <w:pPr>
        <w:numPr>
          <w:ilvl w:val="0"/>
          <w:numId w:val="3"/>
        </w:numPr>
        <w:rPr>
          <w:lang w:val="en-CA"/>
        </w:rPr>
      </w:pPr>
      <w:r w:rsidRPr="006C0EC8">
        <w:rPr>
          <w:lang w:val="en-CA"/>
        </w:rPr>
        <w:t>All miscellaneous or other expense accounts and clearing accounts with debit balances should be analyzed by listing each important item on a working paper and vouching it to supporting documents.</w:t>
      </w:r>
    </w:p>
    <w:p w:rsidR="000F61C9" w:rsidRPr="006C0EC8" w:rsidRDefault="000F61C9" w:rsidP="000F61C9">
      <w:pPr>
        <w:numPr>
          <w:ilvl w:val="0"/>
          <w:numId w:val="3"/>
        </w:numPr>
        <w:rPr>
          <w:lang w:val="en-CA"/>
        </w:rPr>
      </w:pPr>
      <w:r w:rsidRPr="006C0EC8">
        <w:rPr>
          <w:lang w:val="en-CA"/>
        </w:rPr>
        <w:t>Advertising, travel and enterta</w:t>
      </w:r>
      <w:r w:rsidR="00E235E1" w:rsidRPr="006C0EC8">
        <w:rPr>
          <w:lang w:val="en-CA"/>
        </w:rPr>
        <w:t>inment expense, and contributio</w:t>
      </w:r>
      <w:r w:rsidRPr="006C0EC8">
        <w:rPr>
          <w:lang w:val="en-CA"/>
        </w:rPr>
        <w:t>n accounts are analyzed in detail as they are particularly sensitive to management policy violations and income tax consequences.</w:t>
      </w:r>
    </w:p>
    <w:p w:rsidR="000F61C9" w:rsidRPr="006C0EC8" w:rsidRDefault="000F61C9" w:rsidP="00234822">
      <w:pPr>
        <w:rPr>
          <w:b/>
          <w:lang w:val="en-CA"/>
        </w:rPr>
      </w:pPr>
    </w:p>
    <w:p w:rsidR="00745091" w:rsidRPr="006C0EC8" w:rsidRDefault="00745091" w:rsidP="00234822">
      <w:pPr>
        <w:rPr>
          <w:b/>
          <w:lang w:val="en-CA"/>
        </w:rPr>
      </w:pPr>
      <w:proofErr w:type="gramStart"/>
      <w:r w:rsidRPr="006C0EC8">
        <w:rPr>
          <w:b/>
          <w:lang w:val="en-CA"/>
        </w:rPr>
        <w:t>LO2  Outline</w:t>
      </w:r>
      <w:proofErr w:type="gramEnd"/>
      <w:r w:rsidRPr="006C0EC8">
        <w:rPr>
          <w:b/>
          <w:lang w:val="en-CA"/>
        </w:rPr>
        <w:t xml:space="preserve"> the overall analytical procedures to be performed at the final stage of the audit, including analysis of the income statement, cash flow statement, financial statement presentation, and disclosures.</w:t>
      </w:r>
    </w:p>
    <w:p w:rsidR="000F61C9" w:rsidRPr="006C0EC8" w:rsidRDefault="000F61C9" w:rsidP="000F61C9">
      <w:pPr>
        <w:numPr>
          <w:ilvl w:val="0"/>
          <w:numId w:val="4"/>
        </w:numPr>
        <w:rPr>
          <w:lang w:val="en-CA"/>
        </w:rPr>
      </w:pPr>
      <w:r w:rsidRPr="006C0EC8">
        <w:rPr>
          <w:lang w:val="en-CA"/>
        </w:rPr>
        <w:t>Analytical procedures are used:  1) for risk assessment at the planning stage, 2) as a substantive test procedure during the audit, 3) during the overall evaluation of the financial statements at the end of the audit.</w:t>
      </w:r>
    </w:p>
    <w:p w:rsidR="00E235E1" w:rsidRPr="006C0EC8" w:rsidRDefault="000F61C9" w:rsidP="000F61C9">
      <w:pPr>
        <w:numPr>
          <w:ilvl w:val="0"/>
          <w:numId w:val="4"/>
        </w:numPr>
        <w:rPr>
          <w:lang w:val="en-CA"/>
        </w:rPr>
      </w:pPr>
      <w:r w:rsidRPr="006C0EC8">
        <w:rPr>
          <w:lang w:val="en-CA"/>
        </w:rPr>
        <w:t xml:space="preserve">Performing analytical procedures at the end of the field work is a required part of an overall review. It assesses the conclusions reached during the audit and evaluates the overall financial statement preparation. </w:t>
      </w:r>
    </w:p>
    <w:p w:rsidR="000F61C9" w:rsidRPr="006C0EC8" w:rsidRDefault="00E235E1" w:rsidP="000F61C9">
      <w:pPr>
        <w:numPr>
          <w:ilvl w:val="0"/>
          <w:numId w:val="4"/>
        </w:numPr>
        <w:rPr>
          <w:lang w:val="en-CA"/>
        </w:rPr>
      </w:pPr>
      <w:r w:rsidRPr="006C0EC8">
        <w:rPr>
          <w:lang w:val="en-CA"/>
        </w:rPr>
        <w:t>Analytical procedures are also used when verifying t</w:t>
      </w:r>
      <w:r w:rsidR="000F61C9" w:rsidRPr="006C0EC8">
        <w:rPr>
          <w:lang w:val="en-CA"/>
        </w:rPr>
        <w:t>he cash flow statement</w:t>
      </w:r>
      <w:r w:rsidRPr="006C0EC8">
        <w:rPr>
          <w:lang w:val="en-CA"/>
        </w:rPr>
        <w:t xml:space="preserve"> and</w:t>
      </w:r>
      <w:r w:rsidR="000F61C9" w:rsidRPr="006C0EC8">
        <w:rPr>
          <w:lang w:val="en-CA"/>
        </w:rPr>
        <w:t xml:space="preserve"> the statement of changes in retained earnings and shareholders’ equity</w:t>
      </w:r>
      <w:r w:rsidRPr="006C0EC8">
        <w:rPr>
          <w:lang w:val="en-CA"/>
        </w:rPr>
        <w:t>.</w:t>
      </w:r>
    </w:p>
    <w:p w:rsidR="00745091" w:rsidRPr="006C0EC8" w:rsidRDefault="00745091" w:rsidP="00234822">
      <w:pPr>
        <w:rPr>
          <w:b/>
          <w:lang w:val="en-CA"/>
        </w:rPr>
      </w:pPr>
    </w:p>
    <w:p w:rsidR="00745091" w:rsidRPr="006C0EC8" w:rsidRDefault="00745091" w:rsidP="00234822">
      <w:pPr>
        <w:rPr>
          <w:b/>
          <w:lang w:val="en-CA"/>
        </w:rPr>
      </w:pPr>
      <w:proofErr w:type="gramStart"/>
      <w:r w:rsidRPr="006C0EC8">
        <w:rPr>
          <w:b/>
          <w:lang w:val="en-CA"/>
        </w:rPr>
        <w:lastRenderedPageBreak/>
        <w:t>LO3  Explain</w:t>
      </w:r>
      <w:proofErr w:type="gramEnd"/>
      <w:r w:rsidRPr="006C0EC8">
        <w:rPr>
          <w:b/>
          <w:lang w:val="en-CA"/>
        </w:rPr>
        <w:t xml:space="preserve"> the </w:t>
      </w:r>
      <w:r w:rsidR="006C0EC8">
        <w:rPr>
          <w:b/>
          <w:lang w:val="en-CA"/>
        </w:rPr>
        <w:t>procedures</w:t>
      </w:r>
      <w:r w:rsidRPr="006C0EC8">
        <w:rPr>
          <w:b/>
          <w:lang w:val="en-CA"/>
        </w:rPr>
        <w:t xml:space="preserve"> used at the completion stage to identify any contingencies and </w:t>
      </w:r>
      <w:r w:rsidR="006C0EC8">
        <w:rPr>
          <w:b/>
          <w:lang w:val="en-CA"/>
        </w:rPr>
        <w:t>contractual commitments, including the use of lawyers’ letters</w:t>
      </w:r>
      <w:r w:rsidRPr="006C0EC8">
        <w:rPr>
          <w:b/>
          <w:lang w:val="en-CA"/>
        </w:rPr>
        <w:t>.</w:t>
      </w:r>
    </w:p>
    <w:p w:rsidR="00E235E1" w:rsidRPr="006C0EC8" w:rsidRDefault="000F61C9" w:rsidP="00E235E1">
      <w:pPr>
        <w:numPr>
          <w:ilvl w:val="0"/>
          <w:numId w:val="5"/>
        </w:numPr>
        <w:rPr>
          <w:lang w:val="en-CA"/>
        </w:rPr>
      </w:pPr>
      <w:r w:rsidRPr="006C0EC8">
        <w:rPr>
          <w:lang w:val="en-CA"/>
        </w:rPr>
        <w:t>In comp</w:t>
      </w:r>
      <w:r w:rsidR="00E235E1" w:rsidRPr="006C0EC8">
        <w:rPr>
          <w:lang w:val="en-CA"/>
        </w:rPr>
        <w:t>l</w:t>
      </w:r>
      <w:r w:rsidRPr="006C0EC8">
        <w:rPr>
          <w:lang w:val="en-CA"/>
        </w:rPr>
        <w:t>eting an audit in accordance with GAAS, the auditor must determine whether litigation, claims and assessments are reported in conformity with accounting standards. Management represents the primary source of such information, whereas a letter of audit inquiry to the client’s outside legal counsel is the auditor’s primary means of corroborating this information.</w:t>
      </w:r>
      <w:r w:rsidR="00E235E1" w:rsidRPr="006C0EC8">
        <w:rPr>
          <w:lang w:val="en-CA"/>
        </w:rPr>
        <w:t xml:space="preserve"> </w:t>
      </w:r>
    </w:p>
    <w:p w:rsidR="00E235E1" w:rsidRPr="006C0EC8" w:rsidRDefault="00E235E1" w:rsidP="00E235E1">
      <w:pPr>
        <w:numPr>
          <w:ilvl w:val="0"/>
          <w:numId w:val="5"/>
        </w:numPr>
        <w:rPr>
          <w:lang w:val="en-CA"/>
        </w:rPr>
      </w:pPr>
      <w:r w:rsidRPr="006C0EC8">
        <w:rPr>
          <w:lang w:val="en-CA"/>
        </w:rPr>
        <w:t xml:space="preserve">The </w:t>
      </w:r>
      <w:r w:rsidR="00E02863" w:rsidRPr="006C0EC8">
        <w:rPr>
          <w:b/>
          <w:lang w:val="en-CA"/>
        </w:rPr>
        <w:t xml:space="preserve">lawyer’s </w:t>
      </w:r>
      <w:r w:rsidRPr="006C0EC8">
        <w:rPr>
          <w:b/>
          <w:lang w:val="en-CA"/>
        </w:rPr>
        <w:t>letter</w:t>
      </w:r>
      <w:r w:rsidRPr="006C0EC8">
        <w:rPr>
          <w:lang w:val="en-CA"/>
        </w:rPr>
        <w:t xml:space="preserve"> is an </w:t>
      </w:r>
      <w:r w:rsidR="000F597C">
        <w:rPr>
          <w:lang w:val="en-CA"/>
        </w:rPr>
        <w:t>i</w:t>
      </w:r>
      <w:r w:rsidR="000F597C" w:rsidRPr="006C0EC8">
        <w:rPr>
          <w:lang w:val="en-CA"/>
        </w:rPr>
        <w:t xml:space="preserve">nquiry </w:t>
      </w:r>
      <w:r w:rsidRPr="006C0EC8">
        <w:rPr>
          <w:lang w:val="en-CA"/>
        </w:rPr>
        <w:t>from management to the lawyer with the lawyer’s response going directly to the auditor.  The objective is to provide audit evidence about any potentially material litigation or claims against the auditee and to determine if management’s estimates of the possible costs are reasonable.</w:t>
      </w:r>
    </w:p>
    <w:p w:rsidR="0005246B" w:rsidRPr="006C0EC8" w:rsidRDefault="00EC4443" w:rsidP="000F61C9">
      <w:pPr>
        <w:numPr>
          <w:ilvl w:val="0"/>
          <w:numId w:val="5"/>
        </w:numPr>
        <w:rPr>
          <w:lang w:val="en-CA"/>
        </w:rPr>
      </w:pPr>
      <w:r w:rsidRPr="006C0EC8">
        <w:rPr>
          <w:lang w:val="en-CA"/>
        </w:rPr>
        <w:t>Other a</w:t>
      </w:r>
      <w:r w:rsidR="0005246B" w:rsidRPr="006C0EC8">
        <w:rPr>
          <w:lang w:val="en-CA"/>
        </w:rPr>
        <w:t>udit procedures</w:t>
      </w:r>
      <w:r w:rsidRPr="006C0EC8">
        <w:rPr>
          <w:lang w:val="en-CA"/>
        </w:rPr>
        <w:t xml:space="preserve"> used to identify contingencies and claims include:</w:t>
      </w:r>
    </w:p>
    <w:p w:rsidR="00EC4443" w:rsidRPr="006C0EC8" w:rsidRDefault="00EC4443" w:rsidP="00EC4443">
      <w:pPr>
        <w:numPr>
          <w:ilvl w:val="1"/>
          <w:numId w:val="5"/>
        </w:numPr>
        <w:rPr>
          <w:lang w:val="en-CA"/>
        </w:rPr>
      </w:pPr>
      <w:r w:rsidRPr="006C0EC8">
        <w:rPr>
          <w:lang w:val="en-CA"/>
        </w:rPr>
        <w:t xml:space="preserve">Management </w:t>
      </w:r>
      <w:r w:rsidR="000F597C">
        <w:rPr>
          <w:lang w:val="en-CA"/>
        </w:rPr>
        <w:t>i</w:t>
      </w:r>
      <w:r w:rsidR="000F597C" w:rsidRPr="006C0EC8">
        <w:rPr>
          <w:lang w:val="en-CA"/>
        </w:rPr>
        <w:t xml:space="preserve">nquiry </w:t>
      </w:r>
      <w:r w:rsidRPr="006C0EC8">
        <w:rPr>
          <w:lang w:val="en-CA"/>
        </w:rPr>
        <w:t>and discussion</w:t>
      </w:r>
    </w:p>
    <w:p w:rsidR="00EC4443" w:rsidRPr="006C0EC8" w:rsidRDefault="00EC4443" w:rsidP="00EC4443">
      <w:pPr>
        <w:numPr>
          <w:ilvl w:val="1"/>
          <w:numId w:val="5"/>
        </w:numPr>
        <w:rPr>
          <w:lang w:val="en-CA"/>
        </w:rPr>
      </w:pPr>
      <w:r w:rsidRPr="006C0EC8">
        <w:rPr>
          <w:lang w:val="en-CA"/>
        </w:rPr>
        <w:t>Management description and evaluation of litigation and claims</w:t>
      </w:r>
    </w:p>
    <w:p w:rsidR="00EC4443" w:rsidRPr="006C0EC8" w:rsidRDefault="000907B1" w:rsidP="00EC4443">
      <w:pPr>
        <w:numPr>
          <w:ilvl w:val="1"/>
          <w:numId w:val="5"/>
        </w:numPr>
        <w:rPr>
          <w:lang w:val="en-CA"/>
        </w:rPr>
      </w:pPr>
      <w:r w:rsidRPr="006C0EC8">
        <w:rPr>
          <w:lang w:val="en-CA"/>
        </w:rPr>
        <w:t>Examination of documents in the auditee’s possession</w:t>
      </w:r>
    </w:p>
    <w:p w:rsidR="000907B1" w:rsidRPr="006C0EC8" w:rsidRDefault="000907B1" w:rsidP="00EC4443">
      <w:pPr>
        <w:numPr>
          <w:ilvl w:val="1"/>
          <w:numId w:val="5"/>
        </w:numPr>
        <w:rPr>
          <w:lang w:val="en-CA"/>
        </w:rPr>
      </w:pPr>
      <w:r w:rsidRPr="006C0EC8">
        <w:rPr>
          <w:lang w:val="en-CA"/>
        </w:rPr>
        <w:t>Management assurance of full disclosure</w:t>
      </w:r>
    </w:p>
    <w:p w:rsidR="000907B1" w:rsidRPr="006C0EC8" w:rsidRDefault="00E235E1" w:rsidP="00EC4443">
      <w:pPr>
        <w:numPr>
          <w:ilvl w:val="1"/>
          <w:numId w:val="5"/>
        </w:numPr>
        <w:rPr>
          <w:lang w:val="en-CA"/>
        </w:rPr>
      </w:pPr>
      <w:r w:rsidRPr="006C0EC8">
        <w:rPr>
          <w:lang w:val="en-CA"/>
        </w:rPr>
        <w:t xml:space="preserve">Reading contracts, loan agreements, and </w:t>
      </w:r>
      <w:r w:rsidR="000907B1" w:rsidRPr="006C0EC8">
        <w:rPr>
          <w:lang w:val="en-CA"/>
        </w:rPr>
        <w:t>minut</w:t>
      </w:r>
      <w:r w:rsidRPr="006C0EC8">
        <w:rPr>
          <w:lang w:val="en-CA"/>
        </w:rPr>
        <w:t>es of meetings</w:t>
      </w:r>
    </w:p>
    <w:p w:rsidR="000907B1" w:rsidRPr="006C0EC8" w:rsidRDefault="000907B1" w:rsidP="000907B1">
      <w:pPr>
        <w:numPr>
          <w:ilvl w:val="1"/>
          <w:numId w:val="5"/>
        </w:numPr>
        <w:rPr>
          <w:lang w:val="en-CA"/>
        </w:rPr>
      </w:pPr>
      <w:r w:rsidRPr="006C0EC8">
        <w:rPr>
          <w:lang w:val="en-CA"/>
        </w:rPr>
        <w:t>Obtain information regarding guarantees from bank confirmations</w:t>
      </w:r>
    </w:p>
    <w:p w:rsidR="00745091" w:rsidRPr="006C0EC8" w:rsidRDefault="00745091" w:rsidP="00234822">
      <w:pPr>
        <w:rPr>
          <w:b/>
          <w:lang w:val="en-CA"/>
        </w:rPr>
      </w:pPr>
    </w:p>
    <w:p w:rsidR="00745091" w:rsidRPr="006C0EC8" w:rsidRDefault="000F61C9" w:rsidP="00234822">
      <w:pPr>
        <w:rPr>
          <w:b/>
          <w:lang w:val="en-CA"/>
        </w:rPr>
      </w:pPr>
      <w:proofErr w:type="gramStart"/>
      <w:r w:rsidRPr="006C0EC8">
        <w:rPr>
          <w:b/>
          <w:lang w:val="en-CA"/>
        </w:rPr>
        <w:t>LO4  Given</w:t>
      </w:r>
      <w:proofErr w:type="gramEnd"/>
      <w:r w:rsidRPr="006C0EC8">
        <w:rPr>
          <w:b/>
          <w:lang w:val="en-CA"/>
        </w:rPr>
        <w:t xml:space="preserve"> a set of facts and circumstances, classify a subsequent event by type and proper treatment in the financial statements, and outline the implications of the timing of discovery of the event for the auditor’s report.</w:t>
      </w:r>
    </w:p>
    <w:p w:rsidR="00E02863" w:rsidRPr="006C0EC8" w:rsidRDefault="00E02863" w:rsidP="000907B1">
      <w:pPr>
        <w:pStyle w:val="ListParagraph"/>
        <w:numPr>
          <w:ilvl w:val="0"/>
          <w:numId w:val="6"/>
        </w:numPr>
        <w:rPr>
          <w:lang w:val="en-CA"/>
        </w:rPr>
      </w:pPr>
      <w:r w:rsidRPr="006C0EC8">
        <w:rPr>
          <w:b/>
          <w:lang w:val="en-CA"/>
        </w:rPr>
        <w:t>Subsequent events</w:t>
      </w:r>
      <w:r w:rsidRPr="006C0EC8">
        <w:rPr>
          <w:lang w:val="en-CA"/>
        </w:rPr>
        <w:t xml:space="preserve"> are events or</w:t>
      </w:r>
      <w:r w:rsidR="000907B1" w:rsidRPr="006C0EC8">
        <w:rPr>
          <w:lang w:val="en-CA"/>
        </w:rPr>
        <w:t xml:space="preserve"> transactions that occur after the balance sheet date but prior to the issuance of the financial statements and the auditor</w:t>
      </w:r>
      <w:r w:rsidR="000F597C">
        <w:rPr>
          <w:lang w:val="en-CA"/>
        </w:rPr>
        <w:t>’</w:t>
      </w:r>
      <w:r w:rsidR="000907B1" w:rsidRPr="006C0EC8">
        <w:rPr>
          <w:lang w:val="en-CA"/>
        </w:rPr>
        <w:t>s report.</w:t>
      </w:r>
    </w:p>
    <w:p w:rsidR="00E02863" w:rsidRPr="006C0EC8" w:rsidRDefault="00E02863" w:rsidP="000907B1">
      <w:pPr>
        <w:pStyle w:val="ListParagraph"/>
        <w:numPr>
          <w:ilvl w:val="0"/>
          <w:numId w:val="6"/>
        </w:numPr>
        <w:rPr>
          <w:lang w:val="en-CA"/>
        </w:rPr>
      </w:pPr>
      <w:r w:rsidRPr="006C0EC8">
        <w:rPr>
          <w:lang w:val="en-CA"/>
        </w:rPr>
        <w:t>T</w:t>
      </w:r>
      <w:r w:rsidR="000907B1" w:rsidRPr="006C0EC8">
        <w:rPr>
          <w:lang w:val="en-CA"/>
        </w:rPr>
        <w:t xml:space="preserve">he auditor is required by GAAS to discover the occurrence of any subsequent event that has a material effect on the financial statements.  </w:t>
      </w:r>
    </w:p>
    <w:p w:rsidR="00EB33E9" w:rsidRPr="006C0EC8" w:rsidRDefault="00EB33E9" w:rsidP="000907B1">
      <w:pPr>
        <w:pStyle w:val="ListParagraph"/>
        <w:numPr>
          <w:ilvl w:val="0"/>
          <w:numId w:val="6"/>
        </w:numPr>
        <w:rPr>
          <w:lang w:val="en-CA"/>
        </w:rPr>
      </w:pPr>
      <w:r w:rsidRPr="006C0EC8">
        <w:rPr>
          <w:lang w:val="en-CA"/>
        </w:rPr>
        <w:t>There are two types of subsequent events – Type I and Type II</w:t>
      </w:r>
      <w:r w:rsidR="00E02863" w:rsidRPr="006C0EC8">
        <w:rPr>
          <w:lang w:val="en-CA"/>
        </w:rPr>
        <w:t>.</w:t>
      </w:r>
    </w:p>
    <w:p w:rsidR="00EB33E9" w:rsidRPr="006C0EC8" w:rsidRDefault="00EB33E9" w:rsidP="000907B1">
      <w:pPr>
        <w:pStyle w:val="ListParagraph"/>
        <w:numPr>
          <w:ilvl w:val="0"/>
          <w:numId w:val="6"/>
        </w:numPr>
        <w:rPr>
          <w:lang w:val="en-CA"/>
        </w:rPr>
      </w:pPr>
      <w:r w:rsidRPr="006C0EC8">
        <w:rPr>
          <w:b/>
          <w:lang w:val="en-CA"/>
        </w:rPr>
        <w:t>Type I</w:t>
      </w:r>
      <w:r w:rsidRPr="006C0EC8">
        <w:rPr>
          <w:lang w:val="en-CA"/>
        </w:rPr>
        <w:t xml:space="preserve"> </w:t>
      </w:r>
      <w:r w:rsidR="00E02863" w:rsidRPr="006C0EC8">
        <w:rPr>
          <w:lang w:val="en-CA"/>
        </w:rPr>
        <w:t xml:space="preserve">events </w:t>
      </w:r>
      <w:r w:rsidRPr="006C0EC8">
        <w:rPr>
          <w:lang w:val="en-CA"/>
        </w:rPr>
        <w:t>are subsequent events that provide new information regarding financial conditions that existed at the date of the balance sheet and affect the numbers on it.  These events require adjustment of the dollar amounts in the financial statements along with any related disclosure.</w:t>
      </w:r>
    </w:p>
    <w:p w:rsidR="00E02863" w:rsidRPr="006C0EC8" w:rsidRDefault="00EB33E9" w:rsidP="000907B1">
      <w:pPr>
        <w:pStyle w:val="ListParagraph"/>
        <w:numPr>
          <w:ilvl w:val="0"/>
          <w:numId w:val="6"/>
        </w:numPr>
        <w:rPr>
          <w:lang w:val="en-CA"/>
        </w:rPr>
      </w:pPr>
      <w:r w:rsidRPr="006C0EC8">
        <w:rPr>
          <w:b/>
          <w:lang w:val="en-CA"/>
        </w:rPr>
        <w:t>Type II</w:t>
      </w:r>
      <w:r w:rsidRPr="006C0EC8">
        <w:rPr>
          <w:lang w:val="en-CA"/>
        </w:rPr>
        <w:t xml:space="preserve"> </w:t>
      </w:r>
      <w:r w:rsidR="00E02863" w:rsidRPr="006C0EC8">
        <w:rPr>
          <w:lang w:val="en-CA"/>
        </w:rPr>
        <w:t xml:space="preserve">events </w:t>
      </w:r>
      <w:r w:rsidRPr="006C0EC8">
        <w:rPr>
          <w:lang w:val="en-CA"/>
        </w:rPr>
        <w:t xml:space="preserve">are subsequent events involving conditions arising after the balance sheet date and require only disclosure.  Occasionally an event is so significant the best disclosure is pro forma financial data (presentation of the financial statements as if the event had occurred on the date of the balance sheet).  </w:t>
      </w:r>
    </w:p>
    <w:p w:rsidR="00EB33E9" w:rsidRPr="006C0EC8" w:rsidRDefault="00E02863" w:rsidP="000907B1">
      <w:pPr>
        <w:pStyle w:val="ListParagraph"/>
        <w:numPr>
          <w:ilvl w:val="0"/>
          <w:numId w:val="6"/>
        </w:numPr>
        <w:rPr>
          <w:lang w:val="en-CA"/>
        </w:rPr>
      </w:pPr>
      <w:r w:rsidRPr="006C0EC8">
        <w:rPr>
          <w:lang w:val="en-CA"/>
        </w:rPr>
        <w:t>Stoc</w:t>
      </w:r>
      <w:r w:rsidR="00EB33E9" w:rsidRPr="006C0EC8">
        <w:rPr>
          <w:lang w:val="en-CA"/>
        </w:rPr>
        <w:t>k dividends or stock splits</w:t>
      </w:r>
      <w:r w:rsidRPr="006C0EC8">
        <w:rPr>
          <w:lang w:val="en-CA"/>
        </w:rPr>
        <w:t xml:space="preserve"> (Type II subsequent event) require retroactive recognition</w:t>
      </w:r>
      <w:r w:rsidR="00EB33E9" w:rsidRPr="006C0EC8">
        <w:rPr>
          <w:lang w:val="en-CA"/>
        </w:rPr>
        <w:t>.</w:t>
      </w:r>
    </w:p>
    <w:p w:rsidR="00EB33E9" w:rsidRPr="006C0EC8" w:rsidRDefault="00EB33E9" w:rsidP="00EB33E9">
      <w:pPr>
        <w:ind w:left="360"/>
        <w:rPr>
          <w:lang w:val="en-CA"/>
        </w:rPr>
      </w:pPr>
    </w:p>
    <w:p w:rsidR="000F61C9" w:rsidRPr="006C0EC8" w:rsidRDefault="000F61C9" w:rsidP="00234822">
      <w:pPr>
        <w:rPr>
          <w:b/>
          <w:lang w:val="en-CA"/>
        </w:rPr>
      </w:pPr>
      <w:proofErr w:type="gramStart"/>
      <w:r w:rsidRPr="006C0EC8">
        <w:rPr>
          <w:b/>
          <w:lang w:val="en-CA"/>
        </w:rPr>
        <w:t>LO5  Explain</w:t>
      </w:r>
      <w:proofErr w:type="gramEnd"/>
      <w:r w:rsidRPr="006C0EC8">
        <w:rPr>
          <w:b/>
          <w:lang w:val="en-CA"/>
        </w:rPr>
        <w:t xml:space="preserve"> why written management representations are obtained and what items are generally included in the representation letter, including identification of related parties.</w:t>
      </w:r>
    </w:p>
    <w:p w:rsidR="00EB33E9" w:rsidRPr="006C0EC8" w:rsidRDefault="00EB33E9" w:rsidP="00EB33E9">
      <w:pPr>
        <w:pStyle w:val="ListParagraph"/>
        <w:numPr>
          <w:ilvl w:val="0"/>
          <w:numId w:val="7"/>
        </w:numPr>
        <w:rPr>
          <w:lang w:val="en-CA"/>
        </w:rPr>
      </w:pPr>
      <w:r w:rsidRPr="006C0EC8">
        <w:rPr>
          <w:lang w:val="en-CA"/>
        </w:rPr>
        <w:t>The auditor must also obtain written representations from</w:t>
      </w:r>
      <w:r w:rsidR="00E02863" w:rsidRPr="006C0EC8">
        <w:rPr>
          <w:lang w:val="en-CA"/>
        </w:rPr>
        <w:t xml:space="preserve"> </w:t>
      </w:r>
      <w:r w:rsidRPr="006C0EC8">
        <w:rPr>
          <w:lang w:val="en-CA"/>
        </w:rPr>
        <w:t xml:space="preserve">management as to matters that are either individually or collectively material to the financial statements. </w:t>
      </w:r>
      <w:r w:rsidR="00E02863" w:rsidRPr="006C0EC8">
        <w:rPr>
          <w:lang w:val="en-CA"/>
        </w:rPr>
        <w:t xml:space="preserve"> </w:t>
      </w:r>
      <w:r w:rsidRPr="006C0EC8">
        <w:rPr>
          <w:lang w:val="en-CA"/>
        </w:rPr>
        <w:t xml:space="preserve">Such </w:t>
      </w:r>
      <w:r w:rsidR="00E02863" w:rsidRPr="006C0EC8">
        <w:rPr>
          <w:lang w:val="en-CA"/>
        </w:rPr>
        <w:t xml:space="preserve">written representation (called a </w:t>
      </w:r>
      <w:r w:rsidR="00E02863" w:rsidRPr="006C0EC8">
        <w:rPr>
          <w:b/>
          <w:lang w:val="en-CA"/>
        </w:rPr>
        <w:t>management representation</w:t>
      </w:r>
      <w:r w:rsidRPr="006C0EC8">
        <w:rPr>
          <w:b/>
          <w:lang w:val="en-CA"/>
        </w:rPr>
        <w:t xml:space="preserve"> letter</w:t>
      </w:r>
      <w:r w:rsidR="00E02863" w:rsidRPr="006C0EC8">
        <w:rPr>
          <w:lang w:val="en-CA"/>
        </w:rPr>
        <w:t>)</w:t>
      </w:r>
      <w:r w:rsidRPr="006C0EC8">
        <w:rPr>
          <w:lang w:val="en-CA"/>
        </w:rPr>
        <w:t xml:space="preserve"> complements other auditing procedures and may reveal matters not otherwise discovered by the auditor. </w:t>
      </w:r>
    </w:p>
    <w:p w:rsidR="00EB33E9" w:rsidRPr="006C0EC8" w:rsidRDefault="00EB33E9" w:rsidP="00EB33E9">
      <w:pPr>
        <w:pStyle w:val="ListParagraph"/>
        <w:numPr>
          <w:ilvl w:val="0"/>
          <w:numId w:val="7"/>
        </w:numPr>
        <w:rPr>
          <w:lang w:val="en-CA"/>
        </w:rPr>
      </w:pPr>
      <w:r w:rsidRPr="006C0EC8">
        <w:rPr>
          <w:lang w:val="en-CA"/>
        </w:rPr>
        <w:lastRenderedPageBreak/>
        <w:t>The management representation letter is addressed to the auditor, signed by the responsible officers</w:t>
      </w:r>
      <w:r w:rsidR="00E02863" w:rsidRPr="006C0EC8">
        <w:rPr>
          <w:lang w:val="en-CA"/>
        </w:rPr>
        <w:t xml:space="preserve"> of the auditee,</w:t>
      </w:r>
      <w:r w:rsidRPr="006C0EC8">
        <w:rPr>
          <w:lang w:val="en-CA"/>
        </w:rPr>
        <w:t xml:space="preserve"> and dated as of the date of the auditor’s report</w:t>
      </w:r>
      <w:r w:rsidR="00E02863" w:rsidRPr="006C0EC8">
        <w:rPr>
          <w:lang w:val="en-CA"/>
        </w:rPr>
        <w:t>.</w:t>
      </w:r>
    </w:p>
    <w:p w:rsidR="00EB33E9" w:rsidRPr="006C0EC8" w:rsidRDefault="00EB33E9" w:rsidP="00EB33E9">
      <w:pPr>
        <w:pStyle w:val="ListParagraph"/>
        <w:numPr>
          <w:ilvl w:val="0"/>
          <w:numId w:val="7"/>
        </w:numPr>
        <w:rPr>
          <w:lang w:val="en-CA"/>
        </w:rPr>
      </w:pPr>
      <w:r w:rsidRPr="006C0EC8">
        <w:rPr>
          <w:lang w:val="en-CA"/>
        </w:rPr>
        <w:t>A primary purpose of the letter is to impress upon management its responsibility for the financial statements.</w:t>
      </w:r>
    </w:p>
    <w:p w:rsidR="00EB33E9" w:rsidRPr="006C0EC8" w:rsidRDefault="00E02863" w:rsidP="00EB33E9">
      <w:pPr>
        <w:pStyle w:val="ListParagraph"/>
        <w:numPr>
          <w:ilvl w:val="0"/>
          <w:numId w:val="7"/>
        </w:numPr>
        <w:rPr>
          <w:lang w:val="en-CA"/>
        </w:rPr>
      </w:pPr>
      <w:r w:rsidRPr="006C0EC8">
        <w:rPr>
          <w:lang w:val="en-CA"/>
        </w:rPr>
        <w:t xml:space="preserve">It should be noted that </w:t>
      </w:r>
      <w:r w:rsidR="00EB33E9" w:rsidRPr="006C0EC8">
        <w:rPr>
          <w:lang w:val="en-CA"/>
        </w:rPr>
        <w:t>refusal by management to provide such a letter  in effect limits the scope of the audit, and could result in the auditor not issuing a standard audit report.</w:t>
      </w:r>
    </w:p>
    <w:p w:rsidR="00EB33E9" w:rsidRPr="006C0EC8" w:rsidRDefault="00EB33E9" w:rsidP="00EB33E9">
      <w:pPr>
        <w:pStyle w:val="ListParagraph"/>
        <w:numPr>
          <w:ilvl w:val="0"/>
          <w:numId w:val="7"/>
        </w:numPr>
        <w:rPr>
          <w:lang w:val="en-CA"/>
        </w:rPr>
      </w:pPr>
      <w:r w:rsidRPr="006C0EC8">
        <w:rPr>
          <w:lang w:val="en-CA"/>
        </w:rPr>
        <w:t>Auditors have a responsibility to obtain reasonable assurance related parties have been identified and that there is app</w:t>
      </w:r>
      <w:r w:rsidR="00E02863" w:rsidRPr="006C0EC8">
        <w:rPr>
          <w:lang w:val="en-CA"/>
        </w:rPr>
        <w:t>r</w:t>
      </w:r>
      <w:r w:rsidRPr="006C0EC8">
        <w:rPr>
          <w:lang w:val="en-CA"/>
        </w:rPr>
        <w:t>opr</w:t>
      </w:r>
      <w:r w:rsidR="00E02863" w:rsidRPr="006C0EC8">
        <w:rPr>
          <w:lang w:val="en-CA"/>
        </w:rPr>
        <w:t>i</w:t>
      </w:r>
      <w:r w:rsidRPr="006C0EC8">
        <w:rPr>
          <w:lang w:val="en-CA"/>
        </w:rPr>
        <w:t>ate disclosure in the financial statements.</w:t>
      </w:r>
    </w:p>
    <w:p w:rsidR="000F61C9" w:rsidRPr="006C0EC8" w:rsidRDefault="000F61C9" w:rsidP="00234822">
      <w:pPr>
        <w:rPr>
          <w:b/>
          <w:lang w:val="en-CA"/>
        </w:rPr>
      </w:pPr>
    </w:p>
    <w:p w:rsidR="000F61C9" w:rsidRPr="006C0EC8" w:rsidRDefault="000F61C9" w:rsidP="00234822">
      <w:pPr>
        <w:rPr>
          <w:b/>
          <w:lang w:val="en-CA"/>
        </w:rPr>
      </w:pPr>
      <w:proofErr w:type="gramStart"/>
      <w:r w:rsidRPr="006C0EC8">
        <w:rPr>
          <w:b/>
          <w:lang w:val="en-CA"/>
        </w:rPr>
        <w:t>LO6  Outline</w:t>
      </w:r>
      <w:proofErr w:type="gramEnd"/>
      <w:r w:rsidRPr="006C0EC8">
        <w:rPr>
          <w:b/>
          <w:lang w:val="en-CA"/>
        </w:rPr>
        <w:t xml:space="preserve"> the procedures used to complete the documentation of the audit engagement.</w:t>
      </w:r>
    </w:p>
    <w:p w:rsidR="00086C03" w:rsidRPr="006C0EC8" w:rsidRDefault="00EB33E9" w:rsidP="00EB33E9">
      <w:pPr>
        <w:pStyle w:val="ListParagraph"/>
        <w:numPr>
          <w:ilvl w:val="0"/>
          <w:numId w:val="8"/>
        </w:numPr>
        <w:rPr>
          <w:lang w:val="en-CA"/>
        </w:rPr>
      </w:pPr>
      <w:r w:rsidRPr="006C0EC8">
        <w:rPr>
          <w:lang w:val="en-CA"/>
        </w:rPr>
        <w:t>To wrap up the audit field work, the on-site audit supervisor makes a final review of the audit documentation working papers</w:t>
      </w:r>
      <w:r w:rsidR="00E02863" w:rsidRPr="006C0EC8">
        <w:rPr>
          <w:lang w:val="en-CA"/>
        </w:rPr>
        <w:t>.</w:t>
      </w:r>
    </w:p>
    <w:p w:rsidR="000C3F26" w:rsidRPr="006C0EC8" w:rsidRDefault="000C3F26" w:rsidP="00EB33E9">
      <w:pPr>
        <w:pStyle w:val="ListParagraph"/>
        <w:numPr>
          <w:ilvl w:val="0"/>
          <w:numId w:val="8"/>
        </w:numPr>
        <w:rPr>
          <w:lang w:val="en-CA"/>
        </w:rPr>
      </w:pPr>
      <w:r w:rsidRPr="006C0EC8">
        <w:rPr>
          <w:lang w:val="en-CA"/>
        </w:rPr>
        <w:t xml:space="preserve">The final review ensures all accounts on the trial balance have a </w:t>
      </w:r>
      <w:r w:rsidRPr="006C0EC8">
        <w:rPr>
          <w:b/>
          <w:lang w:val="en-CA"/>
        </w:rPr>
        <w:t>working paper reference index</w:t>
      </w:r>
      <w:r w:rsidR="00E02863" w:rsidRPr="006C0EC8">
        <w:rPr>
          <w:lang w:val="en-CA"/>
        </w:rPr>
        <w:t xml:space="preserve"> (</w:t>
      </w:r>
      <w:r w:rsidRPr="006C0EC8">
        <w:rPr>
          <w:lang w:val="en-CA"/>
        </w:rPr>
        <w:t>the sign that audit work has been finished on that account</w:t>
      </w:r>
      <w:r w:rsidR="00E02863" w:rsidRPr="006C0EC8">
        <w:rPr>
          <w:lang w:val="en-CA"/>
        </w:rPr>
        <w:t>)</w:t>
      </w:r>
      <w:r w:rsidRPr="006C0EC8">
        <w:rPr>
          <w:lang w:val="en-CA"/>
        </w:rPr>
        <w:t xml:space="preserve"> and that all procedures in the audit program are “signed off” with a date and</w:t>
      </w:r>
      <w:r w:rsidR="00E02863" w:rsidRPr="006C0EC8">
        <w:rPr>
          <w:lang w:val="en-CA"/>
        </w:rPr>
        <w:t xml:space="preserve"> </w:t>
      </w:r>
      <w:r w:rsidRPr="006C0EC8">
        <w:rPr>
          <w:lang w:val="en-CA"/>
        </w:rPr>
        <w:t>initials.</w:t>
      </w:r>
    </w:p>
    <w:p w:rsidR="000C3F26" w:rsidRPr="006C0EC8" w:rsidRDefault="000C3F26" w:rsidP="00EB33E9">
      <w:pPr>
        <w:pStyle w:val="ListParagraph"/>
        <w:numPr>
          <w:ilvl w:val="0"/>
          <w:numId w:val="8"/>
        </w:numPr>
        <w:rPr>
          <w:lang w:val="en-CA"/>
        </w:rPr>
      </w:pPr>
      <w:r w:rsidRPr="006C0EC8">
        <w:rPr>
          <w:lang w:val="en-CA"/>
        </w:rPr>
        <w:t>The audit manager and engagement partner’s review focuses more on the overall scope of the audit.</w:t>
      </w:r>
      <w:r w:rsidR="00E02863" w:rsidRPr="006C0EC8">
        <w:rPr>
          <w:lang w:val="en-CA"/>
        </w:rPr>
        <w:t xml:space="preserve">  </w:t>
      </w:r>
      <w:r w:rsidRPr="006C0EC8">
        <w:rPr>
          <w:lang w:val="en-CA"/>
        </w:rPr>
        <w:t>To-do lists citing omissions or deficiencies that must be cleared before the final work is completed are prepared during these reviews.</w:t>
      </w:r>
    </w:p>
    <w:p w:rsidR="000C3F26" w:rsidRPr="006C0EC8" w:rsidRDefault="00E719D7" w:rsidP="00EB33E9">
      <w:pPr>
        <w:pStyle w:val="ListParagraph"/>
        <w:numPr>
          <w:ilvl w:val="0"/>
          <w:numId w:val="8"/>
        </w:numPr>
        <w:rPr>
          <w:lang w:val="en-CA"/>
        </w:rPr>
      </w:pPr>
      <w:r w:rsidRPr="006C0EC8">
        <w:rPr>
          <w:lang w:val="en-CA"/>
        </w:rPr>
        <w:t>For listed public entities, an engagement-quality review of the working papers and financial statement</w:t>
      </w:r>
      <w:r w:rsidR="00E02863" w:rsidRPr="006C0EC8">
        <w:rPr>
          <w:lang w:val="en-CA"/>
        </w:rPr>
        <w:t>s</w:t>
      </w:r>
      <w:r w:rsidRPr="006C0EC8">
        <w:rPr>
          <w:lang w:val="en-CA"/>
        </w:rPr>
        <w:t>, including notes, is</w:t>
      </w:r>
      <w:r w:rsidR="00E02863" w:rsidRPr="006C0EC8">
        <w:rPr>
          <w:lang w:val="en-CA"/>
        </w:rPr>
        <w:t xml:space="preserve"> p</w:t>
      </w:r>
      <w:r w:rsidRPr="006C0EC8">
        <w:rPr>
          <w:lang w:val="en-CA"/>
        </w:rPr>
        <w:t>erformed by a partner not re</w:t>
      </w:r>
      <w:r w:rsidR="00E02863" w:rsidRPr="006C0EC8">
        <w:rPr>
          <w:lang w:val="en-CA"/>
        </w:rPr>
        <w:t>sp</w:t>
      </w:r>
      <w:r w:rsidRPr="006C0EC8">
        <w:rPr>
          <w:lang w:val="en-CA"/>
        </w:rPr>
        <w:t>on</w:t>
      </w:r>
      <w:r w:rsidR="00E02863" w:rsidRPr="006C0EC8">
        <w:rPr>
          <w:lang w:val="en-CA"/>
        </w:rPr>
        <w:t>sib</w:t>
      </w:r>
      <w:r w:rsidRPr="006C0EC8">
        <w:rPr>
          <w:lang w:val="en-CA"/>
        </w:rPr>
        <w:t xml:space="preserve">le for the client relationship.  This </w:t>
      </w:r>
      <w:r w:rsidRPr="006C0EC8">
        <w:rPr>
          <w:b/>
          <w:lang w:val="en-CA"/>
        </w:rPr>
        <w:t>se</w:t>
      </w:r>
      <w:r w:rsidR="00E02863" w:rsidRPr="006C0EC8">
        <w:rPr>
          <w:b/>
          <w:lang w:val="en-CA"/>
        </w:rPr>
        <w:t>c</w:t>
      </w:r>
      <w:r w:rsidRPr="006C0EC8">
        <w:rPr>
          <w:b/>
          <w:lang w:val="en-CA"/>
        </w:rPr>
        <w:t>on</w:t>
      </w:r>
      <w:r w:rsidR="00E02863" w:rsidRPr="006C0EC8">
        <w:rPr>
          <w:b/>
          <w:lang w:val="en-CA"/>
        </w:rPr>
        <w:t>d-partner review</w:t>
      </w:r>
      <w:r w:rsidR="00E02863" w:rsidRPr="006C0EC8">
        <w:rPr>
          <w:lang w:val="en-CA"/>
        </w:rPr>
        <w:t xml:space="preserve"> ensures </w:t>
      </w:r>
      <w:r w:rsidRPr="006C0EC8">
        <w:rPr>
          <w:lang w:val="en-CA"/>
        </w:rPr>
        <w:t>the quality of audit work and reporting is in keeping with the quality standards of the audit firm.  This quality review must be complete before the audit report is issued.</w:t>
      </w:r>
    </w:p>
    <w:p w:rsidR="00E719D7" w:rsidRPr="006C0EC8" w:rsidRDefault="00E02863" w:rsidP="00EB33E9">
      <w:pPr>
        <w:pStyle w:val="ListParagraph"/>
        <w:numPr>
          <w:ilvl w:val="0"/>
          <w:numId w:val="8"/>
        </w:numPr>
        <w:rPr>
          <w:lang w:val="en-CA"/>
        </w:rPr>
      </w:pPr>
      <w:r w:rsidRPr="006C0EC8">
        <w:rPr>
          <w:lang w:val="en-CA"/>
        </w:rPr>
        <w:t xml:space="preserve">Usually </w:t>
      </w:r>
      <w:r w:rsidR="00E719D7" w:rsidRPr="006C0EC8">
        <w:rPr>
          <w:lang w:val="en-CA"/>
        </w:rPr>
        <w:t>working paper files are</w:t>
      </w:r>
      <w:r w:rsidRPr="006C0EC8">
        <w:rPr>
          <w:lang w:val="en-CA"/>
        </w:rPr>
        <w:t xml:space="preserve"> completed within sixty days of the audit report.  Files </w:t>
      </w:r>
      <w:r w:rsidR="00E719D7" w:rsidRPr="006C0EC8">
        <w:rPr>
          <w:lang w:val="en-CA"/>
        </w:rPr>
        <w:t>are retained for at least five years.</w:t>
      </w:r>
    </w:p>
    <w:p w:rsidR="00E719D7" w:rsidRPr="006C0EC8" w:rsidRDefault="00E719D7" w:rsidP="00EB33E9">
      <w:pPr>
        <w:pStyle w:val="ListParagraph"/>
        <w:numPr>
          <w:ilvl w:val="0"/>
          <w:numId w:val="8"/>
        </w:numPr>
        <w:rPr>
          <w:lang w:val="en-CA"/>
        </w:rPr>
      </w:pPr>
      <w:r w:rsidRPr="006C0EC8">
        <w:rPr>
          <w:lang w:val="en-CA"/>
        </w:rPr>
        <w:t>When field work is complete, the final audit time reports for billing purposes and audit staff performance evaluation reports are prepared by the audit supervisor.</w:t>
      </w:r>
    </w:p>
    <w:p w:rsidR="00086C03" w:rsidRPr="006C0EC8" w:rsidRDefault="00086C03" w:rsidP="00961321">
      <w:pPr>
        <w:rPr>
          <w:lang w:val="en-CA"/>
        </w:rPr>
      </w:pPr>
    </w:p>
    <w:p w:rsidR="00961321" w:rsidRPr="006C0EC8" w:rsidRDefault="00961321" w:rsidP="0000463E">
      <w:pPr>
        <w:rPr>
          <w:lang w:val="en-CA"/>
        </w:rPr>
      </w:pPr>
    </w:p>
    <w:sectPr w:rsidR="00961321" w:rsidRPr="006C0EC8" w:rsidSect="002B7B67">
      <w:headerReference w:type="default" r:id="rId8"/>
      <w:footerReference w:type="default" r:id="rId9"/>
      <w:footerReference w:type="first" r:id="rId10"/>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106" w:rsidRDefault="00F92106">
      <w:r>
        <w:separator/>
      </w:r>
    </w:p>
  </w:endnote>
  <w:endnote w:type="continuationSeparator" w:id="0">
    <w:p w:rsidR="00F92106" w:rsidRDefault="00F92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EC8" w:rsidRDefault="006C0EC8" w:rsidP="006C0EC8">
    <w:pPr>
      <w:pStyle w:val="Footer"/>
      <w:tabs>
        <w:tab w:val="clear" w:pos="4320"/>
        <w:tab w:val="clear" w:pos="8640"/>
        <w:tab w:val="left" w:pos="3600"/>
        <w:tab w:val="right" w:pos="8364"/>
      </w:tabs>
      <w:rPr>
        <w:i/>
        <w:color w:val="0000FF"/>
        <w:sz w:val="18"/>
      </w:rPr>
    </w:pPr>
    <w:proofErr w:type="spellStart"/>
    <w:r>
      <w:rPr>
        <w:color w:val="0000FF"/>
        <w:sz w:val="18"/>
      </w:rPr>
      <w:t>Smieliauskas</w:t>
    </w:r>
    <w:proofErr w:type="spellEnd"/>
    <w:r>
      <w:rPr>
        <w:color w:val="0000FF"/>
        <w:sz w:val="18"/>
      </w:rPr>
      <w:t>/</w:t>
    </w:r>
    <w:proofErr w:type="spellStart"/>
    <w:r>
      <w:rPr>
        <w:color w:val="0000FF"/>
        <w:sz w:val="18"/>
      </w:rPr>
      <w:t>Bewley</w:t>
    </w:r>
    <w:proofErr w:type="spellEnd"/>
    <w:r>
      <w:rPr>
        <w:color w:val="0000FF"/>
        <w:sz w:val="18"/>
      </w:rPr>
      <w:t>, 7e</w:t>
    </w:r>
    <w:r>
      <w:rPr>
        <w:color w:val="0000FF"/>
        <w:sz w:val="18"/>
      </w:rPr>
      <w:tab/>
    </w:r>
    <w:r>
      <w:rPr>
        <w:color w:val="0000FF"/>
        <w:sz w:val="18"/>
      </w:rPr>
      <w:tab/>
    </w:r>
    <w:r>
      <w:rPr>
        <w:i/>
        <w:color w:val="0000FF"/>
        <w:sz w:val="18"/>
      </w:rPr>
      <w:t>© McGraw-Hill Education, 2016</w:t>
    </w:r>
  </w:p>
  <w:p w:rsidR="006C0EC8" w:rsidRPr="006C0EC8" w:rsidRDefault="006C0EC8" w:rsidP="006C0EC8">
    <w:pPr>
      <w:pStyle w:val="Footer"/>
      <w:pBdr>
        <w:top w:val="single" w:sz="2" w:space="0" w:color="auto"/>
      </w:pBdr>
      <w:tabs>
        <w:tab w:val="clear" w:pos="4320"/>
        <w:tab w:val="clear" w:pos="8640"/>
        <w:tab w:val="left" w:pos="2160"/>
        <w:tab w:val="right" w:pos="8364"/>
      </w:tabs>
      <w:rPr>
        <w:i/>
        <w:color w:val="0000FF"/>
        <w:sz w:val="18"/>
      </w:rPr>
    </w:pPr>
    <w:r>
      <w:rPr>
        <w:i/>
        <w:color w:val="0000FF"/>
        <w:sz w:val="18"/>
      </w:rPr>
      <w:t xml:space="preserve">What You Really Need to Know  </w:t>
    </w:r>
    <w:r>
      <w:rPr>
        <w:i/>
        <w:color w:val="0000FF"/>
        <w:sz w:val="18"/>
      </w:rPr>
      <w:tab/>
      <w:t xml:space="preserve">   15-</w:t>
    </w:r>
    <w:r>
      <w:rPr>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EC8" w:rsidRDefault="006C0EC8" w:rsidP="006C0EC8">
    <w:pPr>
      <w:pStyle w:val="Footer"/>
      <w:tabs>
        <w:tab w:val="clear" w:pos="4320"/>
        <w:tab w:val="clear" w:pos="8640"/>
        <w:tab w:val="left" w:pos="3600"/>
        <w:tab w:val="right" w:pos="8364"/>
      </w:tabs>
      <w:rPr>
        <w:i/>
        <w:color w:val="0000FF"/>
        <w:sz w:val="18"/>
      </w:rPr>
    </w:pPr>
    <w:proofErr w:type="spellStart"/>
    <w:r>
      <w:rPr>
        <w:color w:val="0000FF"/>
        <w:sz w:val="18"/>
      </w:rPr>
      <w:t>Smieliauskas</w:t>
    </w:r>
    <w:proofErr w:type="spellEnd"/>
    <w:r>
      <w:rPr>
        <w:color w:val="0000FF"/>
        <w:sz w:val="18"/>
      </w:rPr>
      <w:t>/</w:t>
    </w:r>
    <w:proofErr w:type="spellStart"/>
    <w:r>
      <w:rPr>
        <w:color w:val="0000FF"/>
        <w:sz w:val="18"/>
      </w:rPr>
      <w:t>Bewley</w:t>
    </w:r>
    <w:proofErr w:type="spellEnd"/>
    <w:r>
      <w:rPr>
        <w:color w:val="0000FF"/>
        <w:sz w:val="18"/>
      </w:rPr>
      <w:t>, 7e</w:t>
    </w:r>
    <w:r>
      <w:rPr>
        <w:color w:val="0000FF"/>
        <w:sz w:val="18"/>
      </w:rPr>
      <w:tab/>
    </w:r>
    <w:r>
      <w:rPr>
        <w:color w:val="0000FF"/>
        <w:sz w:val="18"/>
      </w:rPr>
      <w:tab/>
    </w:r>
    <w:r>
      <w:rPr>
        <w:i/>
        <w:color w:val="0000FF"/>
        <w:sz w:val="18"/>
      </w:rPr>
      <w:t>© McGraw-Hill Education, 2016</w:t>
    </w:r>
  </w:p>
  <w:p w:rsidR="006C0EC8" w:rsidRPr="006C0EC8" w:rsidRDefault="006C0EC8" w:rsidP="006C0EC8">
    <w:pPr>
      <w:pStyle w:val="Footer"/>
      <w:pBdr>
        <w:top w:val="single" w:sz="2" w:space="0" w:color="auto"/>
      </w:pBdr>
      <w:tabs>
        <w:tab w:val="clear" w:pos="4320"/>
        <w:tab w:val="clear" w:pos="8640"/>
        <w:tab w:val="left" w:pos="2160"/>
        <w:tab w:val="right" w:pos="8364"/>
      </w:tabs>
      <w:rPr>
        <w:i/>
        <w:color w:val="0000FF"/>
        <w:sz w:val="18"/>
      </w:rPr>
    </w:pPr>
    <w:r>
      <w:rPr>
        <w:i/>
        <w:color w:val="0000FF"/>
        <w:sz w:val="18"/>
      </w:rPr>
      <w:t xml:space="preserve">What You Really Need to Know  </w:t>
    </w:r>
    <w:r>
      <w:rPr>
        <w:i/>
        <w:color w:val="0000FF"/>
        <w:sz w:val="18"/>
      </w:rPr>
      <w:tab/>
      <w:t xml:space="preserve">   15-</w:t>
    </w:r>
    <w:r>
      <w:rPr>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106" w:rsidRDefault="00F92106">
      <w:r>
        <w:separator/>
      </w:r>
    </w:p>
  </w:footnote>
  <w:footnote w:type="continuationSeparator" w:id="0">
    <w:p w:rsidR="00F92106" w:rsidRDefault="00F92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EC8" w:rsidRDefault="006C0EC8" w:rsidP="002B7B67">
    <w:pPr>
      <w:pStyle w:val="Header"/>
    </w:pPr>
    <w:r>
      <w:rPr>
        <w:b/>
        <w:color w:val="0000FF"/>
      </w:rPr>
      <w:t>Completing the Audit Work</w:t>
    </w:r>
  </w:p>
  <w:p w:rsidR="006C0EC8" w:rsidRDefault="006C0E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F60A7"/>
    <w:multiLevelType w:val="hybridMultilevel"/>
    <w:tmpl w:val="F6802F8C"/>
    <w:lvl w:ilvl="0" w:tplc="6E961370">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
    <w:nsid w:val="31222306"/>
    <w:multiLevelType w:val="hybridMultilevel"/>
    <w:tmpl w:val="CD8E45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3B986A5B"/>
    <w:multiLevelType w:val="hybridMultilevel"/>
    <w:tmpl w:val="F1AAB7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49FA519A"/>
    <w:multiLevelType w:val="hybridMultilevel"/>
    <w:tmpl w:val="832E04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4494214"/>
    <w:multiLevelType w:val="hybridMultilevel"/>
    <w:tmpl w:val="55DC46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615D6767"/>
    <w:multiLevelType w:val="hybridMultilevel"/>
    <w:tmpl w:val="6F2430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7446608D"/>
    <w:multiLevelType w:val="hybridMultilevel"/>
    <w:tmpl w:val="7E12DB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76C9495C"/>
    <w:multiLevelType w:val="hybridMultilevel"/>
    <w:tmpl w:val="0516942E"/>
    <w:lvl w:ilvl="0" w:tplc="D5F46C3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7"/>
  </w:num>
  <w:num w:numId="2">
    <w:abstractNumId w:val="0"/>
  </w:num>
  <w:num w:numId="3">
    <w:abstractNumId w:val="2"/>
  </w:num>
  <w:num w:numId="4">
    <w:abstractNumId w:val="6"/>
  </w:num>
  <w:num w:numId="5">
    <w:abstractNumId w:val="4"/>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822"/>
    <w:rsid w:val="0000463E"/>
    <w:rsid w:val="0005246B"/>
    <w:rsid w:val="00064144"/>
    <w:rsid w:val="00086C03"/>
    <w:rsid w:val="000907B1"/>
    <w:rsid w:val="000C3F26"/>
    <w:rsid w:val="000F597C"/>
    <w:rsid w:val="000F61C9"/>
    <w:rsid w:val="00234822"/>
    <w:rsid w:val="002B7B67"/>
    <w:rsid w:val="0031032B"/>
    <w:rsid w:val="003D17A4"/>
    <w:rsid w:val="00430A9B"/>
    <w:rsid w:val="004E1143"/>
    <w:rsid w:val="00674F80"/>
    <w:rsid w:val="006C0EC8"/>
    <w:rsid w:val="006C5C3A"/>
    <w:rsid w:val="00745091"/>
    <w:rsid w:val="007C5FC7"/>
    <w:rsid w:val="00823DD9"/>
    <w:rsid w:val="0083650C"/>
    <w:rsid w:val="00881BA9"/>
    <w:rsid w:val="008A4573"/>
    <w:rsid w:val="00941599"/>
    <w:rsid w:val="00961321"/>
    <w:rsid w:val="00A7148D"/>
    <w:rsid w:val="00AE1B21"/>
    <w:rsid w:val="00B04024"/>
    <w:rsid w:val="00D530A6"/>
    <w:rsid w:val="00E02863"/>
    <w:rsid w:val="00E235E1"/>
    <w:rsid w:val="00E42838"/>
    <w:rsid w:val="00E57295"/>
    <w:rsid w:val="00E719D7"/>
    <w:rsid w:val="00E73C0A"/>
    <w:rsid w:val="00EB33E9"/>
    <w:rsid w:val="00EC4443"/>
    <w:rsid w:val="00EE53DD"/>
    <w:rsid w:val="00F9210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C5C3A"/>
    <w:pPr>
      <w:tabs>
        <w:tab w:val="center" w:pos="4320"/>
        <w:tab w:val="right" w:pos="8640"/>
      </w:tabs>
    </w:pPr>
  </w:style>
  <w:style w:type="paragraph" w:styleId="Footer">
    <w:name w:val="footer"/>
    <w:basedOn w:val="Normal"/>
    <w:link w:val="FooterChar"/>
    <w:rsid w:val="006C5C3A"/>
    <w:pPr>
      <w:tabs>
        <w:tab w:val="center" w:pos="4320"/>
        <w:tab w:val="right" w:pos="8640"/>
      </w:tabs>
    </w:pPr>
  </w:style>
  <w:style w:type="character" w:styleId="PageNumber">
    <w:name w:val="page number"/>
    <w:basedOn w:val="DefaultParagraphFont"/>
    <w:rsid w:val="006C5C3A"/>
  </w:style>
  <w:style w:type="paragraph" w:customStyle="1" w:styleId="heading2">
    <w:name w:val="•heading 2"/>
    <w:basedOn w:val="Normal"/>
    <w:rsid w:val="002B7B67"/>
    <w:pPr>
      <w:framePr w:w="10080" w:hSpace="180" w:vSpace="180" w:wrap="auto" w:hAnchor="page"/>
      <w:tabs>
        <w:tab w:val="center" w:pos="8540"/>
        <w:tab w:val="center" w:pos="9540"/>
      </w:tabs>
      <w:spacing w:before="240"/>
      <w:ind w:left="720" w:right="2160"/>
    </w:pPr>
    <w:rPr>
      <w:rFonts w:ascii="Palatino" w:hAnsi="Palatino"/>
      <w:b/>
      <w:caps/>
      <w:color w:val="0000FF"/>
      <w:sz w:val="28"/>
      <w:szCs w:val="20"/>
    </w:rPr>
  </w:style>
  <w:style w:type="character" w:customStyle="1" w:styleId="FooterChar">
    <w:name w:val="Footer Char"/>
    <w:basedOn w:val="DefaultParagraphFont"/>
    <w:link w:val="Footer"/>
    <w:locked/>
    <w:rsid w:val="002B7B67"/>
    <w:rPr>
      <w:sz w:val="24"/>
      <w:szCs w:val="24"/>
      <w:lang w:val="en-US" w:eastAsia="en-US" w:bidi="ar-SA"/>
    </w:rPr>
  </w:style>
  <w:style w:type="character" w:customStyle="1" w:styleId="HeaderChar">
    <w:name w:val="Header Char"/>
    <w:basedOn w:val="DefaultParagraphFont"/>
    <w:link w:val="Header"/>
    <w:locked/>
    <w:rsid w:val="002B7B67"/>
    <w:rPr>
      <w:sz w:val="24"/>
      <w:szCs w:val="24"/>
      <w:lang w:val="en-US" w:eastAsia="en-US" w:bidi="ar-SA"/>
    </w:rPr>
  </w:style>
  <w:style w:type="paragraph" w:styleId="ListParagraph">
    <w:name w:val="List Paragraph"/>
    <w:basedOn w:val="Normal"/>
    <w:uiPriority w:val="34"/>
    <w:qFormat/>
    <w:rsid w:val="000907B1"/>
    <w:pPr>
      <w:ind w:left="720"/>
      <w:contextualSpacing/>
    </w:pPr>
  </w:style>
  <w:style w:type="paragraph" w:styleId="BalloonText">
    <w:name w:val="Balloon Text"/>
    <w:basedOn w:val="Normal"/>
    <w:link w:val="BalloonTextChar"/>
    <w:rsid w:val="006C0EC8"/>
    <w:rPr>
      <w:rFonts w:ascii="Tahoma" w:hAnsi="Tahoma" w:cs="Tahoma"/>
      <w:sz w:val="16"/>
      <w:szCs w:val="16"/>
    </w:rPr>
  </w:style>
  <w:style w:type="character" w:customStyle="1" w:styleId="BalloonTextChar">
    <w:name w:val="Balloon Text Char"/>
    <w:basedOn w:val="DefaultParagraphFont"/>
    <w:link w:val="BalloonText"/>
    <w:rsid w:val="006C0EC8"/>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C5C3A"/>
    <w:pPr>
      <w:tabs>
        <w:tab w:val="center" w:pos="4320"/>
        <w:tab w:val="right" w:pos="8640"/>
      </w:tabs>
    </w:pPr>
  </w:style>
  <w:style w:type="paragraph" w:styleId="Footer">
    <w:name w:val="footer"/>
    <w:basedOn w:val="Normal"/>
    <w:link w:val="FooterChar"/>
    <w:rsid w:val="006C5C3A"/>
    <w:pPr>
      <w:tabs>
        <w:tab w:val="center" w:pos="4320"/>
        <w:tab w:val="right" w:pos="8640"/>
      </w:tabs>
    </w:pPr>
  </w:style>
  <w:style w:type="character" w:styleId="PageNumber">
    <w:name w:val="page number"/>
    <w:basedOn w:val="DefaultParagraphFont"/>
    <w:rsid w:val="006C5C3A"/>
  </w:style>
  <w:style w:type="paragraph" w:customStyle="1" w:styleId="heading2">
    <w:name w:val="•heading 2"/>
    <w:basedOn w:val="Normal"/>
    <w:rsid w:val="002B7B67"/>
    <w:pPr>
      <w:framePr w:w="10080" w:hSpace="180" w:vSpace="180" w:wrap="auto" w:hAnchor="page"/>
      <w:tabs>
        <w:tab w:val="center" w:pos="8540"/>
        <w:tab w:val="center" w:pos="9540"/>
      </w:tabs>
      <w:spacing w:before="240"/>
      <w:ind w:left="720" w:right="2160"/>
    </w:pPr>
    <w:rPr>
      <w:rFonts w:ascii="Palatino" w:hAnsi="Palatino"/>
      <w:b/>
      <w:caps/>
      <w:color w:val="0000FF"/>
      <w:sz w:val="28"/>
      <w:szCs w:val="20"/>
    </w:rPr>
  </w:style>
  <w:style w:type="character" w:customStyle="1" w:styleId="FooterChar">
    <w:name w:val="Footer Char"/>
    <w:basedOn w:val="DefaultParagraphFont"/>
    <w:link w:val="Footer"/>
    <w:locked/>
    <w:rsid w:val="002B7B67"/>
    <w:rPr>
      <w:sz w:val="24"/>
      <w:szCs w:val="24"/>
      <w:lang w:val="en-US" w:eastAsia="en-US" w:bidi="ar-SA"/>
    </w:rPr>
  </w:style>
  <w:style w:type="character" w:customStyle="1" w:styleId="HeaderChar">
    <w:name w:val="Header Char"/>
    <w:basedOn w:val="DefaultParagraphFont"/>
    <w:link w:val="Header"/>
    <w:locked/>
    <w:rsid w:val="002B7B67"/>
    <w:rPr>
      <w:sz w:val="24"/>
      <w:szCs w:val="24"/>
      <w:lang w:val="en-US" w:eastAsia="en-US" w:bidi="ar-SA"/>
    </w:rPr>
  </w:style>
  <w:style w:type="paragraph" w:styleId="ListParagraph">
    <w:name w:val="List Paragraph"/>
    <w:basedOn w:val="Normal"/>
    <w:uiPriority w:val="34"/>
    <w:qFormat/>
    <w:rsid w:val="000907B1"/>
    <w:pPr>
      <w:ind w:left="720"/>
      <w:contextualSpacing/>
    </w:pPr>
  </w:style>
  <w:style w:type="paragraph" w:styleId="BalloonText">
    <w:name w:val="Balloon Text"/>
    <w:basedOn w:val="Normal"/>
    <w:link w:val="BalloonTextChar"/>
    <w:rsid w:val="006C0EC8"/>
    <w:rPr>
      <w:rFonts w:ascii="Tahoma" w:hAnsi="Tahoma" w:cs="Tahoma"/>
      <w:sz w:val="16"/>
      <w:szCs w:val="16"/>
    </w:rPr>
  </w:style>
  <w:style w:type="character" w:customStyle="1" w:styleId="BalloonTextChar">
    <w:name w:val="Balloon Text Char"/>
    <w:basedOn w:val="DefaultParagraphFont"/>
    <w:link w:val="BalloonText"/>
    <w:rsid w:val="006C0EC8"/>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3</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
  <LinksUpToDate>false</LinksUpToDate>
  <CharactersWithSpaces>7740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17</cp:revision>
  <dcterms:created xsi:type="dcterms:W3CDTF">2012-07-18T17:41:00Z</dcterms:created>
  <dcterms:modified xsi:type="dcterms:W3CDTF">2015-09-09T19:20:00Z</dcterms:modified>
</cp:coreProperties>
</file>