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27B0" w:rsidRPr="008E27E3" w:rsidRDefault="00D47349">
      <w:pPr>
        <w:rPr>
          <w:rFonts w:ascii="Times New Roman" w:hAnsi="Times New Roman"/>
          <w:sz w:val="20"/>
          <w:szCs w:val="20"/>
          <w:u w:val="single"/>
        </w:rPr>
      </w:pPr>
      <w:r w:rsidRPr="008E27E3">
        <w:rPr>
          <w:rFonts w:ascii="Times New Roman" w:hAnsi="Times New Roman"/>
          <w:sz w:val="20"/>
          <w:szCs w:val="20"/>
          <w:u w:val="single"/>
        </w:rPr>
        <w:t>Chapter 2 – The Machinery of Justice</w:t>
      </w:r>
    </w:p>
    <w:p w:rsidR="00A527B0" w:rsidRPr="008E27E3" w:rsidRDefault="00A527B0">
      <w:pPr>
        <w:rPr>
          <w:rFonts w:ascii="Times New Roman" w:hAnsi="Times New Roman"/>
          <w:sz w:val="20"/>
          <w:szCs w:val="20"/>
        </w:rPr>
      </w:pPr>
    </w:p>
    <w:p w:rsidR="00A527B0" w:rsidRPr="008E27E3" w:rsidRDefault="00A527B0">
      <w:pPr>
        <w:rPr>
          <w:rFonts w:ascii="Times New Roman" w:hAnsi="Times New Roman"/>
          <w:b/>
          <w:sz w:val="20"/>
          <w:szCs w:val="20"/>
        </w:rPr>
      </w:pPr>
      <w:r w:rsidRPr="008E27E3">
        <w:rPr>
          <w:rFonts w:ascii="Times New Roman" w:hAnsi="Times New Roman"/>
          <w:b/>
          <w:sz w:val="20"/>
          <w:szCs w:val="20"/>
        </w:rPr>
        <w:t>Classifying Law</w:t>
      </w:r>
    </w:p>
    <w:p w:rsidR="008E27E3" w:rsidRDefault="00FA7809">
      <w:pPr>
        <w:rPr>
          <w:rFonts w:ascii="Times New Roman" w:hAnsi="Times New Roman"/>
          <w:sz w:val="20"/>
          <w:szCs w:val="20"/>
        </w:rPr>
      </w:pPr>
      <w:r w:rsidRPr="008E27E3">
        <w:rPr>
          <w:rFonts w:ascii="Times New Roman" w:hAnsi="Times New Roman"/>
          <w:sz w:val="20"/>
          <w:szCs w:val="20"/>
        </w:rPr>
        <w:t>Dividing</w:t>
      </w:r>
      <w:r w:rsidR="00A527B0" w:rsidRPr="008E27E3">
        <w:rPr>
          <w:rFonts w:ascii="Times New Roman" w:hAnsi="Times New Roman"/>
          <w:sz w:val="20"/>
          <w:szCs w:val="20"/>
        </w:rPr>
        <w:t xml:space="preserve"> law into broad categories helps us to understand, organize, and explain the many laws that govern us. </w:t>
      </w:r>
      <w:r w:rsidR="00FA54D8" w:rsidRPr="008E27E3">
        <w:rPr>
          <w:rFonts w:ascii="Times New Roman" w:hAnsi="Times New Roman"/>
          <w:sz w:val="20"/>
          <w:szCs w:val="20"/>
        </w:rPr>
        <w:t xml:space="preserve">In Chapter 1 we explained that laws fall into two basic categories: public law (dealing with government) and private law (dealing with non-government relationships). Each of these </w:t>
      </w:r>
      <w:r w:rsidRPr="008E27E3">
        <w:rPr>
          <w:rFonts w:ascii="Times New Roman" w:hAnsi="Times New Roman"/>
          <w:sz w:val="20"/>
          <w:szCs w:val="20"/>
        </w:rPr>
        <w:t>categories</w:t>
      </w:r>
      <w:r w:rsidR="00FA54D8" w:rsidRPr="008E27E3">
        <w:rPr>
          <w:rFonts w:ascii="Times New Roman" w:hAnsi="Times New Roman"/>
          <w:sz w:val="20"/>
          <w:szCs w:val="20"/>
        </w:rPr>
        <w:t xml:space="preserve"> is subdivided into more specific topics. </w:t>
      </w:r>
      <w:r w:rsidRPr="008E27E3">
        <w:rPr>
          <w:rFonts w:ascii="Times New Roman" w:hAnsi="Times New Roman"/>
          <w:sz w:val="20"/>
          <w:szCs w:val="20"/>
        </w:rPr>
        <w:t>Subcategories</w:t>
      </w:r>
      <w:r w:rsidR="00FA54D8" w:rsidRPr="008E27E3">
        <w:rPr>
          <w:rFonts w:ascii="Times New Roman" w:hAnsi="Times New Roman"/>
          <w:sz w:val="20"/>
          <w:szCs w:val="20"/>
        </w:rPr>
        <w:t xml:space="preserve"> of public law include constitutional law, criminal law, and taxation. </w:t>
      </w:r>
    </w:p>
    <w:p w:rsidR="008E27E3" w:rsidRDefault="00FA54D8">
      <w:pPr>
        <w:rPr>
          <w:rFonts w:ascii="Times New Roman" w:hAnsi="Times New Roman"/>
          <w:sz w:val="20"/>
          <w:szCs w:val="20"/>
        </w:rPr>
      </w:pPr>
      <w:r w:rsidRPr="008E27E3">
        <w:rPr>
          <w:rFonts w:ascii="Times New Roman" w:hAnsi="Times New Roman"/>
          <w:sz w:val="20"/>
          <w:szCs w:val="20"/>
        </w:rPr>
        <w:t xml:space="preserve">Private law covers topics such as </w:t>
      </w:r>
      <w:r w:rsidR="00FA7809" w:rsidRPr="008E27E3">
        <w:rPr>
          <w:rFonts w:ascii="Times New Roman" w:hAnsi="Times New Roman"/>
          <w:sz w:val="20"/>
          <w:szCs w:val="20"/>
        </w:rPr>
        <w:t>contracts,</w:t>
      </w:r>
      <w:r w:rsidRPr="008E27E3">
        <w:rPr>
          <w:rFonts w:ascii="Times New Roman" w:hAnsi="Times New Roman"/>
          <w:sz w:val="20"/>
          <w:szCs w:val="20"/>
        </w:rPr>
        <w:t xml:space="preserve"> torts, and property law. </w:t>
      </w:r>
    </w:p>
    <w:p w:rsidR="00FA54D8" w:rsidRPr="008E27E3" w:rsidRDefault="00FA54D8">
      <w:pPr>
        <w:rPr>
          <w:rFonts w:ascii="Times New Roman" w:hAnsi="Times New Roman"/>
          <w:sz w:val="20"/>
          <w:szCs w:val="20"/>
        </w:rPr>
      </w:pPr>
      <w:r w:rsidRPr="008E27E3">
        <w:rPr>
          <w:rFonts w:ascii="Times New Roman" w:hAnsi="Times New Roman"/>
          <w:sz w:val="20"/>
          <w:szCs w:val="20"/>
        </w:rPr>
        <w:t>Business law draws on topics from both public and private law. This book emphasizes contract law, as it is the foundation of every business transaction. Laws are also divided into two other basic categories: substantive law and procedural law.</w:t>
      </w:r>
    </w:p>
    <w:p w:rsidR="00FA54D8" w:rsidRPr="008E27E3" w:rsidRDefault="00FA54D8">
      <w:pPr>
        <w:rPr>
          <w:rFonts w:ascii="Times New Roman" w:hAnsi="Times New Roman"/>
          <w:sz w:val="20"/>
          <w:szCs w:val="20"/>
        </w:rPr>
      </w:pPr>
    </w:p>
    <w:p w:rsidR="00FA54D8" w:rsidRPr="008E27E3" w:rsidRDefault="00FA54D8">
      <w:pPr>
        <w:rPr>
          <w:rFonts w:ascii="Times New Roman" w:hAnsi="Times New Roman"/>
          <w:sz w:val="20"/>
          <w:szCs w:val="20"/>
          <w:u w:val="single"/>
        </w:rPr>
      </w:pPr>
      <w:r w:rsidRPr="008E27E3">
        <w:rPr>
          <w:rFonts w:ascii="Times New Roman" w:hAnsi="Times New Roman"/>
          <w:sz w:val="20"/>
          <w:szCs w:val="20"/>
          <w:u w:val="single"/>
        </w:rPr>
        <w:t>Legal Systems: Civil Law and Common Law</w:t>
      </w:r>
    </w:p>
    <w:p w:rsidR="00FA54D8" w:rsidRPr="008E27E3" w:rsidRDefault="00FA54D8">
      <w:pPr>
        <w:rPr>
          <w:rFonts w:ascii="Times New Roman" w:hAnsi="Times New Roman"/>
          <w:b/>
          <w:sz w:val="20"/>
          <w:szCs w:val="20"/>
        </w:rPr>
      </w:pPr>
      <w:r w:rsidRPr="008E27E3">
        <w:rPr>
          <w:rFonts w:ascii="Times New Roman" w:hAnsi="Times New Roman"/>
          <w:b/>
          <w:sz w:val="20"/>
          <w:szCs w:val="20"/>
        </w:rPr>
        <w:t>Regions of the World Under Each System</w:t>
      </w:r>
    </w:p>
    <w:p w:rsidR="008E27E3" w:rsidRDefault="008E27E3">
      <w:pPr>
        <w:rPr>
          <w:rFonts w:ascii="Times New Roman" w:hAnsi="Times New Roman"/>
          <w:sz w:val="20"/>
          <w:szCs w:val="20"/>
        </w:rPr>
      </w:pPr>
    </w:p>
    <w:p w:rsidR="005F7D9B" w:rsidRPr="008E27E3" w:rsidRDefault="00CF5B68">
      <w:pPr>
        <w:rPr>
          <w:rFonts w:ascii="Times New Roman" w:hAnsi="Times New Roman"/>
          <w:sz w:val="20"/>
          <w:szCs w:val="20"/>
        </w:rPr>
      </w:pPr>
      <w:r w:rsidRPr="008E27E3">
        <w:rPr>
          <w:rFonts w:ascii="Times New Roman" w:hAnsi="Times New Roman"/>
          <w:sz w:val="20"/>
          <w:szCs w:val="20"/>
        </w:rPr>
        <w:tab/>
      </w:r>
      <w:r w:rsidR="00FA54D8" w:rsidRPr="008E27E3">
        <w:rPr>
          <w:rFonts w:ascii="Times New Roman" w:hAnsi="Times New Roman"/>
          <w:sz w:val="20"/>
          <w:szCs w:val="20"/>
        </w:rPr>
        <w:t>The other legal system is called the common law, and it originated in England at the</w:t>
      </w:r>
      <w:r w:rsidR="00FA7809" w:rsidRPr="008E27E3">
        <w:rPr>
          <w:rFonts w:ascii="Times New Roman" w:hAnsi="Times New Roman"/>
          <w:sz w:val="20"/>
          <w:szCs w:val="20"/>
        </w:rPr>
        <w:t xml:space="preserve"> time of the Norman Conquest. I</w:t>
      </w:r>
      <w:r w:rsidR="00FA54D8" w:rsidRPr="008E27E3">
        <w:rPr>
          <w:rFonts w:ascii="Times New Roman" w:hAnsi="Times New Roman"/>
          <w:sz w:val="20"/>
          <w:szCs w:val="20"/>
        </w:rPr>
        <w:t xml:space="preserve">t covers most of the English-speaking work including </w:t>
      </w:r>
      <w:r w:rsidR="00FA7809" w:rsidRPr="008E27E3">
        <w:rPr>
          <w:rFonts w:ascii="Times New Roman" w:hAnsi="Times New Roman"/>
          <w:sz w:val="20"/>
          <w:szCs w:val="20"/>
        </w:rPr>
        <w:t>Canada</w:t>
      </w:r>
      <w:r w:rsidR="00FA54D8" w:rsidRPr="008E27E3">
        <w:rPr>
          <w:rFonts w:ascii="Times New Roman" w:hAnsi="Times New Roman"/>
          <w:sz w:val="20"/>
          <w:szCs w:val="20"/>
        </w:rPr>
        <w:t xml:space="preserve">, the United States, and Australia, and it is a significant part of the law of many non-English –speaking countries that were part of the British Empire, notably India, Pakistan, </w:t>
      </w:r>
      <w:r w:rsidR="005F7D9B" w:rsidRPr="008E27E3">
        <w:rPr>
          <w:rFonts w:ascii="Times New Roman" w:hAnsi="Times New Roman"/>
          <w:sz w:val="20"/>
          <w:szCs w:val="20"/>
        </w:rPr>
        <w:t>Bangladesh</w:t>
      </w:r>
      <w:r w:rsidR="00FA54D8" w:rsidRPr="008E27E3">
        <w:rPr>
          <w:rFonts w:ascii="Times New Roman" w:hAnsi="Times New Roman"/>
          <w:sz w:val="20"/>
          <w:szCs w:val="20"/>
        </w:rPr>
        <w:t xml:space="preserve">, and the former colonies in Africa and the Caribbean. The common law is based on case law – the recorded reasons given by courts for their decisions and adapted by judges in later cases. This book focuses on common law, and we describe the theory of common law in the following sections </w:t>
      </w:r>
      <w:proofErr w:type="gramStart"/>
      <w:r w:rsidR="00FA54D8" w:rsidRPr="008E27E3">
        <w:rPr>
          <w:rFonts w:ascii="Times New Roman" w:hAnsi="Times New Roman"/>
          <w:sz w:val="20"/>
          <w:szCs w:val="20"/>
        </w:rPr>
        <w:t>“</w:t>
      </w:r>
      <w:r w:rsidR="005F7D9B" w:rsidRPr="008E27E3">
        <w:rPr>
          <w:rFonts w:ascii="Times New Roman" w:hAnsi="Times New Roman"/>
          <w:sz w:val="20"/>
          <w:szCs w:val="20"/>
        </w:rPr>
        <w:t xml:space="preserve"> The</w:t>
      </w:r>
      <w:proofErr w:type="gramEnd"/>
      <w:r w:rsidR="005F7D9B" w:rsidRPr="008E27E3">
        <w:rPr>
          <w:rFonts w:ascii="Times New Roman" w:hAnsi="Times New Roman"/>
          <w:sz w:val="20"/>
          <w:szCs w:val="20"/>
        </w:rPr>
        <w:t xml:space="preserve"> Theory of Precedent: and “T</w:t>
      </w:r>
      <w:r w:rsidR="00FA54D8" w:rsidRPr="008E27E3">
        <w:rPr>
          <w:rFonts w:ascii="Times New Roman" w:hAnsi="Times New Roman"/>
          <w:sz w:val="20"/>
          <w:szCs w:val="20"/>
        </w:rPr>
        <w:t>he Sources of Law”</w:t>
      </w:r>
    </w:p>
    <w:p w:rsidR="005F7D9B" w:rsidRPr="008E27E3" w:rsidRDefault="00CF5B68">
      <w:pPr>
        <w:rPr>
          <w:rFonts w:ascii="Times New Roman" w:hAnsi="Times New Roman"/>
          <w:sz w:val="20"/>
          <w:szCs w:val="20"/>
        </w:rPr>
      </w:pPr>
      <w:r w:rsidRPr="008E27E3">
        <w:rPr>
          <w:rFonts w:ascii="Times New Roman" w:hAnsi="Times New Roman"/>
          <w:sz w:val="20"/>
          <w:szCs w:val="20"/>
        </w:rPr>
        <w:tab/>
      </w:r>
      <w:r w:rsidR="005F7D9B" w:rsidRPr="008E27E3">
        <w:rPr>
          <w:rFonts w:ascii="Times New Roman" w:hAnsi="Times New Roman"/>
          <w:sz w:val="20"/>
          <w:szCs w:val="20"/>
        </w:rPr>
        <w:t>Civil law theory requires that all law be collected into a consolidated body of legislation known as the civil code, and this code is far more important than any case decision.</w:t>
      </w:r>
    </w:p>
    <w:p w:rsidR="005F7D9B" w:rsidRPr="008E27E3" w:rsidRDefault="005F7D9B">
      <w:pPr>
        <w:rPr>
          <w:rFonts w:ascii="Times New Roman" w:hAnsi="Times New Roman"/>
          <w:sz w:val="20"/>
          <w:szCs w:val="20"/>
        </w:rPr>
      </w:pPr>
    </w:p>
    <w:p w:rsidR="005F7D9B" w:rsidRPr="008E27E3" w:rsidRDefault="005F7D9B">
      <w:pPr>
        <w:rPr>
          <w:rFonts w:ascii="Times New Roman" w:hAnsi="Times New Roman"/>
          <w:b/>
          <w:sz w:val="20"/>
          <w:szCs w:val="20"/>
        </w:rPr>
      </w:pPr>
      <w:r w:rsidRPr="008E27E3">
        <w:rPr>
          <w:rFonts w:ascii="Times New Roman" w:hAnsi="Times New Roman"/>
          <w:b/>
          <w:sz w:val="20"/>
          <w:szCs w:val="20"/>
        </w:rPr>
        <w:t>The Need for Consistency and Predictability</w:t>
      </w:r>
    </w:p>
    <w:p w:rsidR="005F7D9B" w:rsidRPr="008E27E3" w:rsidRDefault="005F7D9B">
      <w:pPr>
        <w:rPr>
          <w:rFonts w:ascii="Times New Roman" w:hAnsi="Times New Roman"/>
          <w:sz w:val="20"/>
          <w:szCs w:val="20"/>
        </w:rPr>
      </w:pPr>
      <w:r w:rsidRPr="008E27E3">
        <w:rPr>
          <w:rFonts w:ascii="Times New Roman" w:hAnsi="Times New Roman"/>
          <w:sz w:val="20"/>
          <w:szCs w:val="20"/>
        </w:rPr>
        <w:t>For consistency and fairness, we need like cases to be tr</w:t>
      </w:r>
      <w:r w:rsidR="00FA7809" w:rsidRPr="008E27E3">
        <w:rPr>
          <w:rFonts w:ascii="Times New Roman" w:hAnsi="Times New Roman"/>
          <w:sz w:val="20"/>
          <w:szCs w:val="20"/>
        </w:rPr>
        <w:t>e</w:t>
      </w:r>
      <w:r w:rsidRPr="008E27E3">
        <w:rPr>
          <w:rFonts w:ascii="Times New Roman" w:hAnsi="Times New Roman"/>
          <w:sz w:val="20"/>
          <w:szCs w:val="20"/>
        </w:rPr>
        <w:t>ated alike. This also reduces the number of disputes that go to court because parties can anticipate how a case will turn out based on prior outcomes.</w:t>
      </w:r>
    </w:p>
    <w:p w:rsidR="005F7D9B" w:rsidRPr="008E27E3" w:rsidRDefault="00CF5B68">
      <w:pPr>
        <w:rPr>
          <w:rFonts w:ascii="Times New Roman" w:hAnsi="Times New Roman"/>
          <w:sz w:val="20"/>
          <w:szCs w:val="20"/>
        </w:rPr>
      </w:pPr>
      <w:r w:rsidRPr="008E27E3">
        <w:rPr>
          <w:rFonts w:ascii="Times New Roman" w:hAnsi="Times New Roman"/>
          <w:sz w:val="20"/>
          <w:szCs w:val="20"/>
        </w:rPr>
        <w:tab/>
      </w:r>
      <w:r w:rsidR="005F7D9B" w:rsidRPr="008E27E3">
        <w:rPr>
          <w:rFonts w:ascii="Times New Roman" w:hAnsi="Times New Roman"/>
          <w:sz w:val="20"/>
          <w:szCs w:val="20"/>
        </w:rPr>
        <w:t xml:space="preserve">Equal and consistent treatment in like situations is a central concern of justice and hence of law as well. Therefore, whether in civil law or in common law countries, judges must be interested in, and influenced by what other judges have decided in similar cases. </w:t>
      </w:r>
    </w:p>
    <w:p w:rsidR="005F7D9B" w:rsidRPr="008E27E3" w:rsidRDefault="005F7D9B">
      <w:pPr>
        <w:rPr>
          <w:rFonts w:ascii="Times New Roman" w:hAnsi="Times New Roman"/>
          <w:sz w:val="20"/>
          <w:szCs w:val="20"/>
        </w:rPr>
      </w:pPr>
    </w:p>
    <w:p w:rsidR="00640DF5" w:rsidRPr="008E27E3" w:rsidRDefault="00640DF5" w:rsidP="00640DF5">
      <w:pPr>
        <w:rPr>
          <w:rFonts w:ascii="Times New Roman" w:hAnsi="Times New Roman"/>
          <w:sz w:val="20"/>
          <w:szCs w:val="20"/>
        </w:rPr>
      </w:pPr>
      <w:r w:rsidRPr="008E27E3">
        <w:rPr>
          <w:rFonts w:ascii="Times New Roman" w:hAnsi="Times New Roman"/>
          <w:i/>
          <w:sz w:val="20"/>
          <w:szCs w:val="20"/>
        </w:rPr>
        <w:t>Illustration 2.1</w:t>
      </w:r>
    </w:p>
    <w:p w:rsidR="00987D60" w:rsidRDefault="00987D60">
      <w:pPr>
        <w:rPr>
          <w:rFonts w:ascii="Times New Roman" w:hAnsi="Times New Roman"/>
          <w:i/>
          <w:sz w:val="20"/>
          <w:szCs w:val="20"/>
        </w:rPr>
      </w:pPr>
    </w:p>
    <w:p w:rsidR="005F7D9B" w:rsidRPr="008E27E3" w:rsidRDefault="005F7D9B">
      <w:pPr>
        <w:rPr>
          <w:rFonts w:ascii="Times New Roman" w:hAnsi="Times New Roman"/>
          <w:sz w:val="20"/>
          <w:szCs w:val="20"/>
          <w:u w:val="single"/>
        </w:rPr>
      </w:pPr>
      <w:r w:rsidRPr="008E27E3">
        <w:rPr>
          <w:rFonts w:ascii="Times New Roman" w:hAnsi="Times New Roman"/>
          <w:sz w:val="20"/>
          <w:szCs w:val="20"/>
          <w:u w:val="single"/>
        </w:rPr>
        <w:t>Common Law:</w:t>
      </w:r>
      <w:r w:rsidR="00FA7809" w:rsidRPr="008E27E3">
        <w:rPr>
          <w:rFonts w:ascii="Times New Roman" w:hAnsi="Times New Roman"/>
          <w:sz w:val="20"/>
          <w:szCs w:val="20"/>
          <w:u w:val="single"/>
        </w:rPr>
        <w:t xml:space="preserve"> </w:t>
      </w:r>
      <w:r w:rsidRPr="008E27E3">
        <w:rPr>
          <w:rFonts w:ascii="Times New Roman" w:hAnsi="Times New Roman"/>
          <w:sz w:val="20"/>
          <w:szCs w:val="20"/>
          <w:u w:val="single"/>
        </w:rPr>
        <w:t>The Theory of Precedent</w:t>
      </w:r>
    </w:p>
    <w:p w:rsidR="005F7D9B" w:rsidRDefault="005F7D9B">
      <w:pPr>
        <w:rPr>
          <w:rFonts w:ascii="Times New Roman" w:hAnsi="Times New Roman"/>
          <w:b/>
          <w:sz w:val="20"/>
          <w:szCs w:val="20"/>
        </w:rPr>
      </w:pPr>
      <w:r w:rsidRPr="008E27E3">
        <w:rPr>
          <w:rFonts w:ascii="Times New Roman" w:hAnsi="Times New Roman"/>
          <w:b/>
          <w:sz w:val="20"/>
          <w:szCs w:val="20"/>
        </w:rPr>
        <w:t>Certainty Verses Flexibility</w:t>
      </w:r>
    </w:p>
    <w:p w:rsidR="00987D60" w:rsidRPr="00987D60" w:rsidRDefault="00987D60">
      <w:pPr>
        <w:rPr>
          <w:rFonts w:ascii="Times New Roman" w:hAnsi="Times New Roman"/>
          <w:bCs/>
          <w:sz w:val="20"/>
          <w:szCs w:val="20"/>
        </w:rPr>
      </w:pPr>
      <w:r w:rsidRPr="00987D60">
        <w:rPr>
          <w:rFonts w:ascii="Times New Roman" w:hAnsi="Times New Roman"/>
          <w:bCs/>
          <w:sz w:val="20"/>
          <w:szCs w:val="20"/>
        </w:rPr>
        <w:t xml:space="preserve">Stare Decisis: to stand by previous decisions </w:t>
      </w:r>
    </w:p>
    <w:p w:rsidR="00987D60" w:rsidRDefault="005F7D9B" w:rsidP="00987D60">
      <w:pPr>
        <w:rPr>
          <w:rFonts w:ascii="Times New Roman" w:hAnsi="Times New Roman"/>
          <w:sz w:val="20"/>
          <w:szCs w:val="20"/>
        </w:rPr>
      </w:pPr>
      <w:r w:rsidRPr="008E27E3">
        <w:rPr>
          <w:rFonts w:ascii="Times New Roman" w:hAnsi="Times New Roman"/>
          <w:sz w:val="20"/>
          <w:szCs w:val="20"/>
        </w:rPr>
        <w:t>Consistency and predictability became primary goals of the common law judges in England as early as the 13</w:t>
      </w:r>
      <w:r w:rsidRPr="008E27E3">
        <w:rPr>
          <w:rFonts w:ascii="Times New Roman" w:hAnsi="Times New Roman"/>
          <w:sz w:val="20"/>
          <w:szCs w:val="20"/>
          <w:vertAlign w:val="superscript"/>
        </w:rPr>
        <w:t>th</w:t>
      </w:r>
      <w:r w:rsidRPr="008E27E3">
        <w:rPr>
          <w:rFonts w:ascii="Times New Roman" w:hAnsi="Times New Roman"/>
          <w:sz w:val="20"/>
          <w:szCs w:val="20"/>
        </w:rPr>
        <w:t xml:space="preserve"> century. They adopted the custom of following already decided cases, which is called the theory of precedent. The Latin phras</w:t>
      </w:r>
      <w:r w:rsidR="007E0C0F" w:rsidRPr="008E27E3">
        <w:rPr>
          <w:rFonts w:ascii="Times New Roman" w:hAnsi="Times New Roman"/>
          <w:sz w:val="20"/>
          <w:szCs w:val="20"/>
        </w:rPr>
        <w:t xml:space="preserve">e for the rule is stare decisis – to stand by previous decisions. However, for many years the judges followed previous decisions quite slavishly, even when in changed circumstances the results were nonsensical or clearly unjust. Such a practice while it has the merits of certainty and </w:t>
      </w:r>
      <w:r w:rsidR="00FA7809" w:rsidRPr="008E27E3">
        <w:rPr>
          <w:rFonts w:ascii="Times New Roman" w:hAnsi="Times New Roman"/>
          <w:sz w:val="20"/>
          <w:szCs w:val="20"/>
        </w:rPr>
        <w:t>uniformity</w:t>
      </w:r>
      <w:r w:rsidR="007E0C0F" w:rsidRPr="008E27E3">
        <w:rPr>
          <w:rFonts w:ascii="Times New Roman" w:hAnsi="Times New Roman"/>
          <w:sz w:val="20"/>
          <w:szCs w:val="20"/>
        </w:rPr>
        <w:t xml:space="preserve"> can become inflexible and harsh. </w:t>
      </w:r>
    </w:p>
    <w:p w:rsidR="00987D60" w:rsidRPr="00987D60" w:rsidRDefault="00987D60" w:rsidP="00987D60">
      <w:pPr>
        <w:pStyle w:val="NormalWeb"/>
        <w:numPr>
          <w:ilvl w:val="0"/>
          <w:numId w:val="2"/>
        </w:numPr>
        <w:rPr>
          <w:rFonts w:ascii="ZapfDingbatsStd" w:hAnsi="ZapfDingbatsStd"/>
          <w:sz w:val="16"/>
          <w:szCs w:val="16"/>
        </w:rPr>
      </w:pPr>
      <w:r>
        <w:rPr>
          <w:rFonts w:ascii="GoudyStd" w:hAnsi="GoudyStd"/>
          <w:sz w:val="20"/>
          <w:szCs w:val="20"/>
        </w:rPr>
        <w:t xml:space="preserve">First, although judges may be influenced by all prior decisions, they are only bound (required) to follow decisions of a </w:t>
      </w:r>
      <w:r>
        <w:rPr>
          <w:rFonts w:ascii="GoudyStd" w:hAnsi="GoudyStd"/>
          <w:sz w:val="20"/>
          <w:szCs w:val="20"/>
        </w:rPr>
        <w:t>higher-level</w:t>
      </w:r>
      <w:r>
        <w:rPr>
          <w:rFonts w:ascii="GoudyStd" w:hAnsi="GoudyStd"/>
          <w:sz w:val="20"/>
          <w:szCs w:val="20"/>
        </w:rPr>
        <w:t xml:space="preserve"> court. Decisions of lower courts have influential value only. </w:t>
      </w:r>
    </w:p>
    <w:p w:rsidR="00987D60" w:rsidRPr="00987D60" w:rsidRDefault="00987D60" w:rsidP="00987D60">
      <w:pPr>
        <w:pStyle w:val="NormalWeb"/>
        <w:numPr>
          <w:ilvl w:val="0"/>
          <w:numId w:val="2"/>
        </w:numPr>
        <w:rPr>
          <w:rFonts w:ascii="ZapfDingbatsStd" w:hAnsi="ZapfDingbatsStd"/>
          <w:sz w:val="16"/>
          <w:szCs w:val="16"/>
        </w:rPr>
      </w:pPr>
      <w:r>
        <w:rPr>
          <w:rFonts w:ascii="GoudyStd" w:hAnsi="GoudyStd"/>
          <w:sz w:val="20"/>
          <w:szCs w:val="20"/>
        </w:rPr>
        <w:t xml:space="preserve">Second, precedents bind only the exact same circumstances. No two sets of facts are identical in every respect—even when the same parties are involved, the time must be different. Judges can </w:t>
      </w:r>
      <w:r>
        <w:rPr>
          <w:rFonts w:ascii="GoudyStd" w:hAnsi="GoudyStd"/>
          <w:b/>
          <w:bCs/>
          <w:sz w:val="20"/>
          <w:szCs w:val="20"/>
        </w:rPr>
        <w:t xml:space="preserve">distinguish </w:t>
      </w:r>
      <w:r>
        <w:rPr>
          <w:rFonts w:ascii="GoudyStd" w:hAnsi="GoudyStd"/>
          <w:sz w:val="20"/>
          <w:szCs w:val="20"/>
        </w:rPr>
        <w:t xml:space="preserve">the current case from an earlier precedent by dwelling upon factual differences. In this way, they are able to adjust the law rather slowly to changing circumstances and values. </w:t>
      </w:r>
    </w:p>
    <w:p w:rsidR="007E0C0F" w:rsidRPr="00987D60" w:rsidRDefault="007E0C0F" w:rsidP="00987D60">
      <w:pPr>
        <w:pStyle w:val="NormalWeb"/>
        <w:rPr>
          <w:rFonts w:ascii="ZapfDingbatsStd" w:hAnsi="ZapfDingbatsStd"/>
          <w:sz w:val="16"/>
          <w:szCs w:val="16"/>
        </w:rPr>
      </w:pPr>
      <w:r w:rsidRPr="00987D60">
        <w:rPr>
          <w:sz w:val="20"/>
          <w:szCs w:val="20"/>
        </w:rPr>
        <w:t xml:space="preserve">Even so, the spirit of the common law system is bound to the theory of </w:t>
      </w:r>
      <w:r w:rsidR="00FA7809" w:rsidRPr="00987D60">
        <w:rPr>
          <w:sz w:val="20"/>
          <w:szCs w:val="20"/>
        </w:rPr>
        <w:t>precedent</w:t>
      </w:r>
      <w:r w:rsidRPr="00987D60">
        <w:rPr>
          <w:sz w:val="20"/>
          <w:szCs w:val="20"/>
        </w:rPr>
        <w:t xml:space="preserve">: we look to past decisions to find principles and to apply them to new situations. Accordingly, a large part of the study of law is the study of decided cases. </w:t>
      </w:r>
    </w:p>
    <w:p w:rsidR="007E0C0F" w:rsidRPr="008E27E3" w:rsidRDefault="007E0C0F">
      <w:pPr>
        <w:rPr>
          <w:rFonts w:ascii="Times New Roman" w:hAnsi="Times New Roman"/>
          <w:sz w:val="20"/>
          <w:szCs w:val="20"/>
          <w:u w:val="single"/>
        </w:rPr>
      </w:pPr>
      <w:r w:rsidRPr="008E27E3">
        <w:rPr>
          <w:rFonts w:ascii="Times New Roman" w:hAnsi="Times New Roman"/>
          <w:sz w:val="20"/>
          <w:szCs w:val="20"/>
          <w:u w:val="single"/>
        </w:rPr>
        <w:t>The Sources of Law</w:t>
      </w:r>
    </w:p>
    <w:p w:rsidR="00987D60" w:rsidRPr="008E27E3" w:rsidRDefault="007E0C0F" w:rsidP="00987D60">
      <w:pPr>
        <w:rPr>
          <w:rFonts w:ascii="Times New Roman" w:hAnsi="Times New Roman"/>
          <w:b/>
          <w:sz w:val="20"/>
          <w:szCs w:val="20"/>
        </w:rPr>
      </w:pPr>
      <w:r w:rsidRPr="008E27E3">
        <w:rPr>
          <w:rFonts w:ascii="Times New Roman" w:hAnsi="Times New Roman"/>
          <w:b/>
          <w:sz w:val="20"/>
          <w:szCs w:val="20"/>
        </w:rPr>
        <w:t>The Variety of Sources</w:t>
      </w:r>
    </w:p>
    <w:p w:rsidR="007E0C0F" w:rsidRPr="00987D60" w:rsidRDefault="007E0C0F">
      <w:pPr>
        <w:rPr>
          <w:rFonts w:ascii="Times New Roman" w:hAnsi="Times New Roman"/>
          <w:b/>
          <w:bCs/>
          <w:sz w:val="20"/>
          <w:szCs w:val="20"/>
        </w:rPr>
      </w:pPr>
      <w:r w:rsidRPr="008E27E3">
        <w:rPr>
          <w:rFonts w:ascii="Times New Roman" w:hAnsi="Times New Roman"/>
          <w:sz w:val="20"/>
          <w:szCs w:val="20"/>
        </w:rPr>
        <w:t xml:space="preserve">Judge-made law is the oldest form of law, but it is important to remember that even in a common law legal system the government also makes the law. The government source of law is </w:t>
      </w:r>
      <w:r w:rsidR="00812BD0" w:rsidRPr="008E27E3">
        <w:rPr>
          <w:rFonts w:ascii="Times New Roman" w:hAnsi="Times New Roman"/>
          <w:sz w:val="20"/>
          <w:szCs w:val="20"/>
        </w:rPr>
        <w:t>referred</w:t>
      </w:r>
      <w:r w:rsidRPr="008E27E3">
        <w:rPr>
          <w:rFonts w:ascii="Times New Roman" w:hAnsi="Times New Roman"/>
          <w:sz w:val="20"/>
          <w:szCs w:val="20"/>
        </w:rPr>
        <w:t xml:space="preserve"> to as </w:t>
      </w:r>
      <w:r w:rsidRPr="00987D60">
        <w:rPr>
          <w:rFonts w:ascii="Times New Roman" w:hAnsi="Times New Roman"/>
          <w:b/>
          <w:bCs/>
          <w:sz w:val="20"/>
          <w:szCs w:val="20"/>
        </w:rPr>
        <w:t>legislation, statutes, or acts.</w:t>
      </w:r>
    </w:p>
    <w:p w:rsidR="007E0C0F" w:rsidRPr="008E27E3" w:rsidRDefault="007E0C0F">
      <w:pPr>
        <w:rPr>
          <w:rFonts w:ascii="Times New Roman" w:hAnsi="Times New Roman"/>
          <w:sz w:val="20"/>
          <w:szCs w:val="20"/>
        </w:rPr>
      </w:pPr>
    </w:p>
    <w:p w:rsidR="00B51E95" w:rsidRPr="008E27E3" w:rsidRDefault="007E0C0F">
      <w:pPr>
        <w:rPr>
          <w:rFonts w:ascii="Times New Roman" w:hAnsi="Times New Roman"/>
          <w:b/>
          <w:sz w:val="20"/>
          <w:szCs w:val="20"/>
        </w:rPr>
      </w:pPr>
      <w:r w:rsidRPr="008E27E3">
        <w:rPr>
          <w:rFonts w:ascii="Times New Roman" w:hAnsi="Times New Roman"/>
          <w:b/>
          <w:sz w:val="20"/>
          <w:szCs w:val="20"/>
        </w:rPr>
        <w:t>Statutes</w:t>
      </w:r>
    </w:p>
    <w:p w:rsidR="007E0C0F" w:rsidRPr="008E27E3" w:rsidRDefault="00E22571">
      <w:pPr>
        <w:rPr>
          <w:rFonts w:ascii="Times New Roman" w:hAnsi="Times New Roman"/>
          <w:sz w:val="20"/>
          <w:szCs w:val="20"/>
        </w:rPr>
      </w:pPr>
      <w:r w:rsidRPr="008E27E3">
        <w:rPr>
          <w:rFonts w:ascii="Times New Roman" w:hAnsi="Times New Roman"/>
          <w:sz w:val="20"/>
          <w:szCs w:val="20"/>
        </w:rPr>
        <w:softHyphen/>
      </w:r>
      <w:r w:rsidR="004B5867" w:rsidRPr="008E27E3">
        <w:rPr>
          <w:rFonts w:ascii="Times New Roman" w:hAnsi="Times New Roman"/>
          <w:sz w:val="20"/>
          <w:szCs w:val="20"/>
        </w:rPr>
        <w:t>-</w:t>
      </w:r>
      <w:r w:rsidRPr="008E27E3">
        <w:rPr>
          <w:rFonts w:ascii="Times New Roman" w:hAnsi="Times New Roman"/>
          <w:i/>
          <w:sz w:val="20"/>
          <w:szCs w:val="20"/>
        </w:rPr>
        <w:t>Civil Wrong – OJ Simpson</w:t>
      </w:r>
    </w:p>
    <w:p w:rsidR="00812BD0" w:rsidRPr="008E27E3" w:rsidRDefault="00CF5B68">
      <w:pPr>
        <w:rPr>
          <w:rFonts w:ascii="Times New Roman" w:hAnsi="Times New Roman"/>
          <w:sz w:val="20"/>
          <w:szCs w:val="20"/>
        </w:rPr>
      </w:pPr>
      <w:r w:rsidRPr="008E27E3">
        <w:rPr>
          <w:rFonts w:ascii="Times New Roman" w:hAnsi="Times New Roman"/>
          <w:sz w:val="20"/>
          <w:szCs w:val="20"/>
        </w:rPr>
        <w:tab/>
      </w:r>
      <w:r w:rsidR="007E0C0F" w:rsidRPr="008E27E3">
        <w:rPr>
          <w:rFonts w:ascii="Times New Roman" w:hAnsi="Times New Roman"/>
          <w:sz w:val="20"/>
          <w:szCs w:val="20"/>
        </w:rPr>
        <w:t>As already discussed in Chapter 1, sometimes legislatures enact statutes to codify existing case law precedents in an area</w:t>
      </w:r>
      <w:r w:rsidR="00812BD0" w:rsidRPr="008E27E3">
        <w:rPr>
          <w:rFonts w:ascii="Times New Roman" w:hAnsi="Times New Roman"/>
          <w:sz w:val="20"/>
          <w:szCs w:val="20"/>
        </w:rPr>
        <w:t xml:space="preserve"> rather than to change the laws, as, for example, in the passing of the Bills of Exchange Act, the Sale of Goods Act, and the Partnership Act. Before these acts were passed, the </w:t>
      </w:r>
      <w:r w:rsidRPr="008E27E3">
        <w:rPr>
          <w:rFonts w:ascii="Times New Roman" w:hAnsi="Times New Roman"/>
          <w:sz w:val="20"/>
          <w:szCs w:val="20"/>
        </w:rPr>
        <w:t>related</w:t>
      </w:r>
      <w:r w:rsidR="00812BD0" w:rsidRPr="008E27E3">
        <w:rPr>
          <w:rFonts w:ascii="Times New Roman" w:hAnsi="Times New Roman"/>
          <w:sz w:val="20"/>
          <w:szCs w:val="20"/>
        </w:rPr>
        <w:t xml:space="preserve"> law was to</w:t>
      </w:r>
      <w:r w:rsidR="00B51E95" w:rsidRPr="008E27E3">
        <w:rPr>
          <w:rFonts w:ascii="Times New Roman" w:hAnsi="Times New Roman"/>
          <w:sz w:val="20"/>
          <w:szCs w:val="20"/>
        </w:rPr>
        <w:t xml:space="preserve"> be found in a staggering numbe</w:t>
      </w:r>
      <w:r w:rsidR="00812BD0" w:rsidRPr="008E27E3">
        <w:rPr>
          <w:rFonts w:ascii="Times New Roman" w:hAnsi="Times New Roman"/>
          <w:sz w:val="20"/>
          <w:szCs w:val="20"/>
        </w:rPr>
        <w:t>r of individual cases. The acts did away with the labour and certainty of searching through so many cases.</w:t>
      </w:r>
    </w:p>
    <w:p w:rsidR="00812BD0" w:rsidRPr="008E27E3" w:rsidRDefault="00CF5B68">
      <w:pPr>
        <w:rPr>
          <w:rFonts w:ascii="Times New Roman" w:hAnsi="Times New Roman"/>
          <w:sz w:val="20"/>
          <w:szCs w:val="20"/>
        </w:rPr>
      </w:pPr>
      <w:r w:rsidRPr="008E27E3">
        <w:rPr>
          <w:rFonts w:ascii="Times New Roman" w:hAnsi="Times New Roman"/>
          <w:sz w:val="20"/>
          <w:szCs w:val="20"/>
        </w:rPr>
        <w:lastRenderedPageBreak/>
        <w:tab/>
      </w:r>
      <w:r w:rsidR="00812BD0" w:rsidRPr="008E27E3">
        <w:rPr>
          <w:rFonts w:ascii="Times New Roman" w:hAnsi="Times New Roman"/>
          <w:sz w:val="20"/>
          <w:szCs w:val="20"/>
        </w:rPr>
        <w:t xml:space="preserve">The courts are much less </w:t>
      </w:r>
      <w:r w:rsidRPr="008E27E3">
        <w:rPr>
          <w:rFonts w:ascii="Times New Roman" w:hAnsi="Times New Roman"/>
          <w:sz w:val="20"/>
          <w:szCs w:val="20"/>
        </w:rPr>
        <w:t>likely</w:t>
      </w:r>
      <w:r w:rsidR="00812BD0" w:rsidRPr="008E27E3">
        <w:rPr>
          <w:rFonts w:ascii="Times New Roman" w:hAnsi="Times New Roman"/>
          <w:sz w:val="20"/>
          <w:szCs w:val="20"/>
        </w:rPr>
        <w:t xml:space="preserve"> to apply the provisions of a statute unless the facts of the</w:t>
      </w:r>
      <w:r w:rsidRPr="008E27E3">
        <w:rPr>
          <w:rFonts w:ascii="Times New Roman" w:hAnsi="Times New Roman"/>
          <w:sz w:val="20"/>
          <w:szCs w:val="20"/>
        </w:rPr>
        <w:t xml:space="preserve"> case are covered specifically </w:t>
      </w:r>
      <w:r w:rsidR="00812BD0" w:rsidRPr="008E27E3">
        <w:rPr>
          <w:rFonts w:ascii="Times New Roman" w:hAnsi="Times New Roman"/>
          <w:sz w:val="20"/>
          <w:szCs w:val="20"/>
        </w:rPr>
        <w:t>by the statute; they respect the legislature’s intention when passing the statute. This attitude of the courts is called the strict interpretation of statutes.</w:t>
      </w:r>
    </w:p>
    <w:p w:rsidR="00812BD0" w:rsidRPr="008E27E3" w:rsidRDefault="00CF5B68">
      <w:pPr>
        <w:rPr>
          <w:rFonts w:ascii="Times New Roman" w:hAnsi="Times New Roman"/>
          <w:sz w:val="20"/>
          <w:szCs w:val="20"/>
        </w:rPr>
      </w:pPr>
      <w:r w:rsidRPr="008E27E3">
        <w:rPr>
          <w:rFonts w:ascii="Times New Roman" w:hAnsi="Times New Roman"/>
          <w:sz w:val="20"/>
          <w:szCs w:val="20"/>
        </w:rPr>
        <w:tab/>
      </w:r>
      <w:r w:rsidR="00812BD0" w:rsidRPr="008E27E3">
        <w:rPr>
          <w:rFonts w:ascii="Times New Roman" w:hAnsi="Times New Roman"/>
          <w:sz w:val="20"/>
          <w:szCs w:val="20"/>
        </w:rPr>
        <w:t>A liberal approach involves consideration of the context, the custom and trade usage of the language, as well as the intent or purpose of the government when it passed the law.</w:t>
      </w:r>
    </w:p>
    <w:p w:rsidR="00812BD0" w:rsidRPr="008E27E3" w:rsidRDefault="00CF5B68">
      <w:pPr>
        <w:rPr>
          <w:rFonts w:ascii="Times New Roman" w:hAnsi="Times New Roman"/>
          <w:sz w:val="20"/>
          <w:szCs w:val="20"/>
        </w:rPr>
      </w:pPr>
      <w:r w:rsidRPr="008E27E3">
        <w:rPr>
          <w:rFonts w:ascii="Times New Roman" w:hAnsi="Times New Roman"/>
          <w:sz w:val="20"/>
          <w:szCs w:val="20"/>
        </w:rPr>
        <w:tab/>
      </w:r>
      <w:r w:rsidR="00812BD0" w:rsidRPr="008E27E3">
        <w:rPr>
          <w:rFonts w:ascii="Times New Roman" w:hAnsi="Times New Roman"/>
          <w:sz w:val="20"/>
          <w:szCs w:val="20"/>
        </w:rPr>
        <w:t>Canadian courts are encouraged to take a liberal approach to statutory interpretation. The federal Interpretation Act directs the court to take a “fair, liberal and large interpretation of statutes.</w:t>
      </w:r>
    </w:p>
    <w:p w:rsidR="00812BD0" w:rsidRPr="008E27E3" w:rsidRDefault="00812BD0">
      <w:pPr>
        <w:rPr>
          <w:rFonts w:ascii="Times New Roman" w:hAnsi="Times New Roman"/>
          <w:sz w:val="20"/>
          <w:szCs w:val="20"/>
        </w:rPr>
      </w:pPr>
    </w:p>
    <w:p w:rsidR="00EC2A4A" w:rsidRDefault="00812BD0" w:rsidP="00EC2A4A">
      <w:pPr>
        <w:rPr>
          <w:rFonts w:ascii="Times New Roman" w:hAnsi="Times New Roman"/>
          <w:b/>
          <w:sz w:val="20"/>
          <w:szCs w:val="20"/>
        </w:rPr>
      </w:pPr>
      <w:r w:rsidRPr="008E27E3">
        <w:rPr>
          <w:rFonts w:ascii="Times New Roman" w:hAnsi="Times New Roman"/>
          <w:b/>
          <w:sz w:val="20"/>
          <w:szCs w:val="20"/>
        </w:rPr>
        <w:t>Legislation Framework</w:t>
      </w:r>
    </w:p>
    <w:p w:rsidR="00EC2A4A" w:rsidRPr="00EC2A4A" w:rsidRDefault="00EC2A4A" w:rsidP="00EC2A4A">
      <w:pPr>
        <w:rPr>
          <w:rFonts w:ascii="Times New Roman" w:hAnsi="Times New Roman"/>
          <w:b/>
          <w:sz w:val="20"/>
          <w:szCs w:val="20"/>
        </w:rPr>
      </w:pPr>
    </w:p>
    <w:p w:rsidR="00812BD0" w:rsidRPr="008E27E3" w:rsidRDefault="004B5867">
      <w:pPr>
        <w:rPr>
          <w:rFonts w:ascii="Times New Roman" w:hAnsi="Times New Roman"/>
          <w:i/>
          <w:sz w:val="20"/>
          <w:szCs w:val="20"/>
        </w:rPr>
      </w:pPr>
      <w:r w:rsidRPr="008E27E3">
        <w:rPr>
          <w:rFonts w:ascii="Times New Roman" w:hAnsi="Times New Roman"/>
          <w:sz w:val="20"/>
          <w:szCs w:val="20"/>
        </w:rPr>
        <w:t>-</w:t>
      </w:r>
      <w:r w:rsidRPr="008E27E3">
        <w:rPr>
          <w:rFonts w:ascii="Times New Roman" w:hAnsi="Times New Roman"/>
          <w:i/>
          <w:sz w:val="20"/>
          <w:szCs w:val="20"/>
        </w:rPr>
        <w:t>A</w:t>
      </w:r>
      <w:r w:rsidRPr="008E27E3">
        <w:rPr>
          <w:rFonts w:ascii="Times New Roman" w:hAnsi="Times New Roman"/>
          <w:i/>
          <w:sz w:val="20"/>
          <w:szCs w:val="20"/>
        </w:rPr>
        <w:sym w:font="Wingdings" w:char="F0DF"/>
      </w:r>
      <w:r w:rsidRPr="008E27E3">
        <w:rPr>
          <w:rFonts w:ascii="Times New Roman" w:hAnsi="Times New Roman"/>
          <w:i/>
          <w:sz w:val="20"/>
          <w:szCs w:val="20"/>
        </w:rPr>
        <w:sym w:font="Wingdings" w:char="F0E0"/>
      </w:r>
      <w:r w:rsidRPr="008E27E3">
        <w:rPr>
          <w:rFonts w:ascii="Times New Roman" w:hAnsi="Times New Roman"/>
          <w:i/>
          <w:sz w:val="20"/>
          <w:szCs w:val="20"/>
        </w:rPr>
        <w:t>B – Represents contracts between A and B</w:t>
      </w:r>
    </w:p>
    <w:p w:rsidR="00B51E95" w:rsidRPr="008E27E3" w:rsidRDefault="00812BD0">
      <w:pPr>
        <w:rPr>
          <w:rFonts w:ascii="Times New Roman" w:hAnsi="Times New Roman"/>
          <w:sz w:val="20"/>
          <w:szCs w:val="20"/>
        </w:rPr>
      </w:pPr>
      <w:r w:rsidRPr="008E27E3">
        <w:rPr>
          <w:rFonts w:ascii="Times New Roman" w:hAnsi="Times New Roman"/>
          <w:sz w:val="20"/>
          <w:szCs w:val="20"/>
        </w:rPr>
        <w:t xml:space="preserve">There are two main classes of legislation: passive and active. The first and simplest consists of those statutes that change the law: they </w:t>
      </w:r>
      <w:r w:rsidR="00CF5B68" w:rsidRPr="008E27E3">
        <w:rPr>
          <w:rFonts w:ascii="Times New Roman" w:hAnsi="Times New Roman"/>
          <w:sz w:val="20"/>
          <w:szCs w:val="20"/>
        </w:rPr>
        <w:t>prohibit</w:t>
      </w:r>
      <w:r w:rsidRPr="008E27E3">
        <w:rPr>
          <w:rFonts w:ascii="Times New Roman" w:hAnsi="Times New Roman"/>
          <w:sz w:val="20"/>
          <w:szCs w:val="20"/>
        </w:rPr>
        <w:t xml:space="preserve"> an activity formerly permitted or else remove a prohibition, so enabling people to carry on a formerly illegal activity. This type of legislation is essentially passive because although it provides a legal framework for people to go about their business, it does not presume to supervise and regulate their activities. Passive legislation leaves it to an </w:t>
      </w:r>
      <w:r w:rsidR="00B51E95" w:rsidRPr="008E27E3">
        <w:rPr>
          <w:rFonts w:ascii="Times New Roman" w:hAnsi="Times New Roman"/>
          <w:sz w:val="20"/>
          <w:szCs w:val="20"/>
        </w:rPr>
        <w:t>injured party or a law-enforcement official to complain about any activity that has violated a statute of this kind and too begin court proceedings.</w:t>
      </w:r>
    </w:p>
    <w:p w:rsidR="00B51E95" w:rsidRPr="008E27E3" w:rsidRDefault="00B51E95">
      <w:pPr>
        <w:rPr>
          <w:rFonts w:ascii="Times New Roman" w:hAnsi="Times New Roman"/>
          <w:sz w:val="20"/>
          <w:szCs w:val="20"/>
        </w:rPr>
      </w:pPr>
    </w:p>
    <w:p w:rsidR="00B51E95" w:rsidRPr="008E27E3" w:rsidRDefault="00B51E95">
      <w:pPr>
        <w:rPr>
          <w:rFonts w:ascii="Times New Roman" w:hAnsi="Times New Roman"/>
          <w:sz w:val="20"/>
          <w:szCs w:val="20"/>
        </w:rPr>
      </w:pPr>
      <w:r w:rsidRPr="008E27E3">
        <w:rPr>
          <w:rFonts w:ascii="Times New Roman" w:hAnsi="Times New Roman"/>
          <w:b/>
          <w:sz w:val="20"/>
          <w:szCs w:val="20"/>
        </w:rPr>
        <w:t>“Active Legislation: Administrative Law and Government Programs</w:t>
      </w:r>
      <w:r w:rsidR="00CF5B68" w:rsidRPr="008E27E3">
        <w:rPr>
          <w:rFonts w:ascii="Times New Roman" w:hAnsi="Times New Roman"/>
          <w:b/>
          <w:sz w:val="20"/>
          <w:szCs w:val="20"/>
        </w:rPr>
        <w:t>”</w:t>
      </w:r>
    </w:p>
    <w:p w:rsidR="004B5867" w:rsidRPr="008E27E3" w:rsidRDefault="004B5867">
      <w:pPr>
        <w:rPr>
          <w:rFonts w:ascii="Times New Roman" w:hAnsi="Times New Roman"/>
          <w:i/>
          <w:sz w:val="20"/>
          <w:szCs w:val="20"/>
        </w:rPr>
      </w:pPr>
      <w:r w:rsidRPr="008E27E3">
        <w:rPr>
          <w:rFonts w:ascii="Times New Roman" w:hAnsi="Times New Roman"/>
          <w:i/>
          <w:sz w:val="20"/>
          <w:szCs w:val="20"/>
        </w:rPr>
        <w:t>-Neighbour Principle</w:t>
      </w:r>
    </w:p>
    <w:p w:rsidR="00B51E95" w:rsidRPr="008E27E3" w:rsidRDefault="00B51E95">
      <w:pPr>
        <w:rPr>
          <w:rFonts w:ascii="Times New Roman" w:hAnsi="Times New Roman"/>
          <w:sz w:val="20"/>
          <w:szCs w:val="20"/>
        </w:rPr>
      </w:pPr>
      <w:r w:rsidRPr="008E27E3">
        <w:rPr>
          <w:rFonts w:ascii="Times New Roman" w:hAnsi="Times New Roman"/>
          <w:sz w:val="20"/>
          <w:szCs w:val="20"/>
        </w:rPr>
        <w:t xml:space="preserve">The second, class, “active” legislation, gives the government itself power to carry on a program – to levy taxes and to provide revenue for the purpose stated in the statute, such as building a hospital and paying pensions to the elderly. </w:t>
      </w:r>
    </w:p>
    <w:p w:rsidR="00EC2A4A" w:rsidRDefault="00EC2A4A" w:rsidP="00EC2A4A">
      <w:pPr>
        <w:rPr>
          <w:rFonts w:ascii="Times New Roman" w:hAnsi="Times New Roman"/>
          <w:b/>
          <w:bCs/>
          <w:sz w:val="20"/>
          <w:szCs w:val="20"/>
        </w:rPr>
      </w:pPr>
      <w:r w:rsidRPr="00EC2A4A">
        <w:rPr>
          <w:rFonts w:ascii="Times New Roman" w:hAnsi="Times New Roman"/>
          <w:b/>
          <w:bCs/>
          <w:sz w:val="20"/>
          <w:szCs w:val="20"/>
        </w:rPr>
        <w:t xml:space="preserve">The common law </w:t>
      </w:r>
    </w:p>
    <w:p w:rsidR="00EC2A4A" w:rsidRDefault="00EC2A4A" w:rsidP="00EC2A4A">
      <w:pPr>
        <w:rPr>
          <w:rFonts w:ascii="GoudyStd" w:eastAsia="Times New Roman" w:hAnsi="GoudyStd" w:cs="Times New Roman"/>
          <w:sz w:val="20"/>
          <w:szCs w:val="20"/>
          <w:lang w:val="en-CA"/>
        </w:rPr>
      </w:pPr>
    </w:p>
    <w:p w:rsidR="00EC2A4A" w:rsidRPr="00EC2A4A" w:rsidRDefault="00EC2A4A" w:rsidP="00EC2A4A">
      <w:pPr>
        <w:rPr>
          <w:rFonts w:ascii="Times New Roman" w:hAnsi="Times New Roman"/>
          <w:b/>
          <w:bCs/>
          <w:sz w:val="20"/>
          <w:szCs w:val="20"/>
        </w:rPr>
      </w:pPr>
      <w:r w:rsidRPr="00EC2A4A">
        <w:rPr>
          <w:rFonts w:ascii="GoudyStd" w:eastAsia="Times New Roman" w:hAnsi="GoudyStd" w:cs="Times New Roman"/>
          <w:sz w:val="20"/>
          <w:szCs w:val="20"/>
          <w:lang w:val="en-CA"/>
        </w:rPr>
        <w:t xml:space="preserve">Case law precedents, not statutes, form the bulk of Canadian private law. A flow of reported cases from an organized national </w:t>
      </w:r>
      <w:r w:rsidRPr="00EC2A4A">
        <w:rPr>
          <w:rFonts w:ascii="GoudyStd" w:eastAsia="Times New Roman" w:hAnsi="GoudyStd" w:cs="Times New Roman"/>
          <w:b/>
          <w:bCs/>
          <w:sz w:val="20"/>
          <w:szCs w:val="20"/>
          <w:lang w:val="en-CA"/>
        </w:rPr>
        <w:t xml:space="preserve">system of courts </w:t>
      </w:r>
      <w:r w:rsidRPr="00EC2A4A">
        <w:rPr>
          <w:rFonts w:ascii="GoudyStd" w:eastAsia="Times New Roman" w:hAnsi="GoudyStd" w:cs="Times New Roman"/>
          <w:sz w:val="20"/>
          <w:szCs w:val="20"/>
          <w:lang w:val="en-CA"/>
        </w:rPr>
        <w:t xml:space="preserve">is needed to build precedents. This collection of case law precedents is also referred to as common law. Lawyers arguing a case may say to a judge, “At common law, the rule is </w:t>
      </w:r>
      <w:proofErr w:type="gramStart"/>
      <w:r w:rsidRPr="00EC2A4A">
        <w:rPr>
          <w:rFonts w:ascii="GoudyStd" w:eastAsia="Times New Roman" w:hAnsi="GoudyStd" w:cs="Times New Roman"/>
          <w:sz w:val="20"/>
          <w:szCs w:val="20"/>
          <w:lang w:val="en-CA"/>
        </w:rPr>
        <w:t>. . . ,</w:t>
      </w:r>
      <w:proofErr w:type="gramEnd"/>
      <w:r w:rsidRPr="00EC2A4A">
        <w:rPr>
          <w:rFonts w:ascii="GoudyStd" w:eastAsia="Times New Roman" w:hAnsi="GoudyStd" w:cs="Times New Roman"/>
          <w:sz w:val="20"/>
          <w:szCs w:val="20"/>
          <w:lang w:val="en-CA"/>
        </w:rPr>
        <w:t xml:space="preserve">” meaning that the existing precedents, taken together, give us this rule. Each court must have a recognized position within the system of courts in order to “rank” the importance of their decision in influencing judges in subsequent cases. </w:t>
      </w:r>
    </w:p>
    <w:p w:rsidR="00EC2A4A" w:rsidRPr="00EC2A4A" w:rsidRDefault="00EC2A4A">
      <w:pPr>
        <w:rPr>
          <w:rFonts w:ascii="Times New Roman" w:hAnsi="Times New Roman"/>
          <w:b/>
          <w:bCs/>
          <w:sz w:val="20"/>
          <w:szCs w:val="20"/>
        </w:rPr>
      </w:pPr>
    </w:p>
    <w:p w:rsidR="00B51E95" w:rsidRPr="008E27E3" w:rsidRDefault="00B51E95">
      <w:pPr>
        <w:rPr>
          <w:rFonts w:ascii="Times New Roman" w:hAnsi="Times New Roman"/>
          <w:b/>
          <w:sz w:val="20"/>
          <w:szCs w:val="20"/>
        </w:rPr>
      </w:pPr>
      <w:r w:rsidRPr="008E27E3">
        <w:rPr>
          <w:rFonts w:ascii="Times New Roman" w:hAnsi="Times New Roman"/>
          <w:b/>
          <w:sz w:val="20"/>
          <w:szCs w:val="20"/>
        </w:rPr>
        <w:t>Equity</w:t>
      </w:r>
    </w:p>
    <w:p w:rsidR="00956C18" w:rsidRPr="008E27E3" w:rsidRDefault="00B51E95">
      <w:pPr>
        <w:rPr>
          <w:rFonts w:ascii="Times New Roman" w:hAnsi="Times New Roman"/>
          <w:sz w:val="20"/>
          <w:szCs w:val="20"/>
        </w:rPr>
      </w:pPr>
      <w:r w:rsidRPr="008E27E3">
        <w:rPr>
          <w:rFonts w:ascii="Times New Roman" w:hAnsi="Times New Roman"/>
          <w:sz w:val="20"/>
          <w:szCs w:val="20"/>
        </w:rPr>
        <w:t>As the body of reported decisions grew, the common law rules became more precise and increasingly strict. Judges applied these precedents rigidly. Eventually the common law became very formal, with much of its cumbersome procedure rooted in ancient customs and superstitions. An aggrieved party had to find one of the ancient forms, called a wri</w:t>
      </w:r>
      <w:r w:rsidR="00956C18" w:rsidRPr="008E27E3">
        <w:rPr>
          <w:rFonts w:ascii="Times New Roman" w:hAnsi="Times New Roman"/>
          <w:sz w:val="20"/>
          <w:szCs w:val="20"/>
        </w:rPr>
        <w:t xml:space="preserve">t, to suit his particular </w:t>
      </w:r>
      <w:r w:rsidR="00CF5B68" w:rsidRPr="008E27E3">
        <w:rPr>
          <w:rFonts w:ascii="Times New Roman" w:hAnsi="Times New Roman"/>
          <w:sz w:val="20"/>
          <w:szCs w:val="20"/>
        </w:rPr>
        <w:t>grievance</w:t>
      </w:r>
      <w:r w:rsidR="00956C18" w:rsidRPr="008E27E3">
        <w:rPr>
          <w:rFonts w:ascii="Times New Roman" w:hAnsi="Times New Roman"/>
          <w:sz w:val="20"/>
          <w:szCs w:val="20"/>
        </w:rPr>
        <w:t>. As England developed commercially, the old writs did not provide relief for many wrongs suffered by innocent parties, often resulting in great hardship. Soon, another whole system of courts was growing: the courts of the chancellor, or the courts of chancery as they became known. These courts created exceptions to the common law rules when they felt the</w:t>
      </w:r>
      <w:r w:rsidR="00CF5B68" w:rsidRPr="008E27E3">
        <w:rPr>
          <w:rFonts w:ascii="Times New Roman" w:hAnsi="Times New Roman"/>
          <w:sz w:val="20"/>
          <w:szCs w:val="20"/>
        </w:rPr>
        <w:t xml:space="preserve"> prece</w:t>
      </w:r>
      <w:r w:rsidR="00956C18" w:rsidRPr="008E27E3">
        <w:rPr>
          <w:rFonts w:ascii="Times New Roman" w:hAnsi="Times New Roman"/>
          <w:sz w:val="20"/>
          <w:szCs w:val="20"/>
        </w:rPr>
        <w:t>d</w:t>
      </w:r>
      <w:r w:rsidR="00CF5B68" w:rsidRPr="008E27E3">
        <w:rPr>
          <w:rFonts w:ascii="Times New Roman" w:hAnsi="Times New Roman"/>
          <w:sz w:val="20"/>
          <w:szCs w:val="20"/>
        </w:rPr>
        <w:t>en</w:t>
      </w:r>
      <w:r w:rsidR="00956C18" w:rsidRPr="008E27E3">
        <w:rPr>
          <w:rFonts w:ascii="Times New Roman" w:hAnsi="Times New Roman"/>
          <w:sz w:val="20"/>
          <w:szCs w:val="20"/>
        </w:rPr>
        <w:t xml:space="preserve">t was too harsh. They became known as courts of equity, and the rules that they developed created new </w:t>
      </w:r>
      <w:r w:rsidR="00CF5B68" w:rsidRPr="008E27E3">
        <w:rPr>
          <w:rFonts w:ascii="Times New Roman" w:hAnsi="Times New Roman"/>
          <w:sz w:val="20"/>
          <w:szCs w:val="20"/>
        </w:rPr>
        <w:t>precedents</w:t>
      </w:r>
      <w:r w:rsidR="00956C18" w:rsidRPr="008E27E3">
        <w:rPr>
          <w:rFonts w:ascii="Times New Roman" w:hAnsi="Times New Roman"/>
          <w:sz w:val="20"/>
          <w:szCs w:val="20"/>
        </w:rPr>
        <w:t xml:space="preserve"> called the </w:t>
      </w:r>
      <w:r w:rsidR="00CF5B68" w:rsidRPr="008E27E3">
        <w:rPr>
          <w:rFonts w:ascii="Times New Roman" w:hAnsi="Times New Roman"/>
          <w:sz w:val="20"/>
          <w:szCs w:val="20"/>
        </w:rPr>
        <w:t>principles</w:t>
      </w:r>
      <w:r w:rsidR="00956C18" w:rsidRPr="008E27E3">
        <w:rPr>
          <w:rFonts w:ascii="Times New Roman" w:hAnsi="Times New Roman"/>
          <w:sz w:val="20"/>
          <w:szCs w:val="20"/>
        </w:rPr>
        <w:t xml:space="preserve"> of equity or simply, equity.</w:t>
      </w:r>
    </w:p>
    <w:p w:rsidR="00956C18" w:rsidRPr="008E27E3" w:rsidRDefault="00956C18">
      <w:pPr>
        <w:rPr>
          <w:rFonts w:ascii="Times New Roman" w:hAnsi="Times New Roman"/>
          <w:sz w:val="20"/>
          <w:szCs w:val="20"/>
        </w:rPr>
      </w:pPr>
    </w:p>
    <w:p w:rsidR="00956C18" w:rsidRPr="008E27E3" w:rsidRDefault="00956C18">
      <w:pPr>
        <w:rPr>
          <w:rFonts w:ascii="Times New Roman" w:hAnsi="Times New Roman"/>
          <w:b/>
          <w:sz w:val="20"/>
          <w:szCs w:val="20"/>
        </w:rPr>
      </w:pPr>
      <w:r w:rsidRPr="008E27E3">
        <w:rPr>
          <w:rFonts w:ascii="Times New Roman" w:hAnsi="Times New Roman"/>
          <w:b/>
          <w:sz w:val="20"/>
          <w:szCs w:val="20"/>
        </w:rPr>
        <w:t>Merger of the Courts</w:t>
      </w:r>
    </w:p>
    <w:p w:rsidR="007E2A57" w:rsidRDefault="00956C18">
      <w:pPr>
        <w:rPr>
          <w:rFonts w:ascii="Times New Roman" w:hAnsi="Times New Roman"/>
          <w:sz w:val="20"/>
          <w:szCs w:val="20"/>
        </w:rPr>
      </w:pPr>
      <w:r w:rsidRPr="008E27E3">
        <w:rPr>
          <w:rFonts w:ascii="Times New Roman" w:hAnsi="Times New Roman"/>
          <w:sz w:val="20"/>
          <w:szCs w:val="20"/>
        </w:rPr>
        <w:t xml:space="preserve">In 1865, the British </w:t>
      </w:r>
      <w:r w:rsidR="00CF5B68" w:rsidRPr="008E27E3">
        <w:rPr>
          <w:rFonts w:ascii="Times New Roman" w:hAnsi="Times New Roman"/>
          <w:sz w:val="20"/>
          <w:szCs w:val="20"/>
        </w:rPr>
        <w:t>Parliament</w:t>
      </w:r>
      <w:r w:rsidRPr="008E27E3">
        <w:rPr>
          <w:rFonts w:ascii="Times New Roman" w:hAnsi="Times New Roman"/>
          <w:sz w:val="20"/>
          <w:szCs w:val="20"/>
        </w:rPr>
        <w:t xml:space="preserve"> passed an act merging the courts of common law and equity into the single system we know today where one set of courts applies principles from both the common law and equity. The Canadian provinces passed similar acts shortly afterwards.</w:t>
      </w:r>
    </w:p>
    <w:p w:rsidR="00CA3DAC" w:rsidRDefault="00CA3DAC" w:rsidP="00CA3DAC">
      <w:pPr>
        <w:rPr>
          <w:rFonts w:ascii="Times New Roman" w:hAnsi="Times New Roman"/>
          <w:sz w:val="20"/>
          <w:szCs w:val="20"/>
        </w:rPr>
      </w:pPr>
      <w:bookmarkStart w:id="0" w:name="_GoBack"/>
      <w:bookmarkEnd w:id="0"/>
      <w:r>
        <w:rPr>
          <w:rFonts w:ascii="Times New Roman" w:hAnsi="Times New Roman"/>
          <w:noProof/>
          <w:sz w:val="20"/>
          <w:szCs w:val="20"/>
        </w:rPr>
        <w:drawing>
          <wp:anchor distT="0" distB="0" distL="114300" distR="114300" simplePos="0" relativeHeight="251658240" behindDoc="1" locked="0" layoutInCell="1" allowOverlap="1">
            <wp:simplePos x="0" y="0"/>
            <wp:positionH relativeFrom="column">
              <wp:posOffset>4486910</wp:posOffset>
            </wp:positionH>
            <wp:positionV relativeFrom="paragraph">
              <wp:posOffset>20955</wp:posOffset>
            </wp:positionV>
            <wp:extent cx="2461260" cy="1052195"/>
            <wp:effectExtent l="0" t="0" r="0" b="0"/>
            <wp:wrapTight wrapText="bothSides">
              <wp:wrapPolygon edited="0">
                <wp:start x="0" y="0"/>
                <wp:lineTo x="0" y="21378"/>
                <wp:lineTo x="21511" y="21378"/>
                <wp:lineTo x="215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18 at 7.52.14 PM.png"/>
                    <pic:cNvPicPr/>
                  </pic:nvPicPr>
                  <pic:blipFill>
                    <a:blip r:embed="rId5">
                      <a:extLst>
                        <a:ext uri="{28A0092B-C50C-407E-A947-70E740481C1C}">
                          <a14:useLocalDpi xmlns:a14="http://schemas.microsoft.com/office/drawing/2010/main" val="0"/>
                        </a:ext>
                      </a:extLst>
                    </a:blip>
                    <a:stretch>
                      <a:fillRect/>
                    </a:stretch>
                  </pic:blipFill>
                  <pic:spPr>
                    <a:xfrm>
                      <a:off x="0" y="0"/>
                      <a:ext cx="2461260" cy="1052195"/>
                    </a:xfrm>
                    <a:prstGeom prst="rect">
                      <a:avLst/>
                    </a:prstGeom>
                  </pic:spPr>
                </pic:pic>
              </a:graphicData>
            </a:graphic>
            <wp14:sizeRelH relativeFrom="page">
              <wp14:pctWidth>0</wp14:pctWidth>
            </wp14:sizeRelH>
            <wp14:sizeRelV relativeFrom="page">
              <wp14:pctHeight>0</wp14:pctHeight>
            </wp14:sizeRelV>
          </wp:anchor>
        </w:drawing>
      </w:r>
    </w:p>
    <w:p w:rsidR="00CA3DAC" w:rsidRDefault="00CA3DAC">
      <w:pPr>
        <w:rPr>
          <w:rFonts w:ascii="Times New Roman" w:hAnsi="Times New Roman"/>
          <w:sz w:val="20"/>
          <w:szCs w:val="20"/>
        </w:rPr>
      </w:pPr>
    </w:p>
    <w:p w:rsidR="00CA3DAC" w:rsidRDefault="00CA3DAC">
      <w:pPr>
        <w:rPr>
          <w:rFonts w:ascii="Times New Roman" w:hAnsi="Times New Roman"/>
          <w:sz w:val="20"/>
          <w:szCs w:val="20"/>
        </w:rPr>
      </w:pPr>
    </w:p>
    <w:p w:rsidR="00B51E95" w:rsidRPr="008E27E3" w:rsidRDefault="007E2A57">
      <w:pPr>
        <w:rPr>
          <w:rFonts w:ascii="Times New Roman" w:hAnsi="Times New Roman"/>
          <w:sz w:val="20"/>
          <w:szCs w:val="20"/>
          <w:u w:val="single"/>
        </w:rPr>
      </w:pPr>
      <w:r w:rsidRPr="008E27E3">
        <w:rPr>
          <w:rFonts w:ascii="Times New Roman" w:hAnsi="Times New Roman"/>
          <w:sz w:val="20"/>
          <w:szCs w:val="20"/>
          <w:u w:val="single"/>
        </w:rPr>
        <w:t>Procedural Law: Using the Courts</w:t>
      </w:r>
    </w:p>
    <w:p w:rsidR="007E2A57" w:rsidRPr="008E27E3" w:rsidRDefault="007E2A57">
      <w:pPr>
        <w:rPr>
          <w:rFonts w:ascii="Times New Roman" w:hAnsi="Times New Roman"/>
          <w:b/>
          <w:sz w:val="20"/>
          <w:szCs w:val="20"/>
        </w:rPr>
      </w:pPr>
      <w:r w:rsidRPr="008E27E3">
        <w:rPr>
          <w:rFonts w:ascii="Times New Roman" w:hAnsi="Times New Roman"/>
          <w:b/>
          <w:sz w:val="20"/>
          <w:szCs w:val="20"/>
        </w:rPr>
        <w:t>Who May Sue?</w:t>
      </w:r>
    </w:p>
    <w:p w:rsidR="007E2A57" w:rsidRPr="008E27E3" w:rsidRDefault="007E2A57">
      <w:pPr>
        <w:rPr>
          <w:rFonts w:ascii="Times New Roman" w:hAnsi="Times New Roman"/>
          <w:sz w:val="20"/>
          <w:szCs w:val="20"/>
        </w:rPr>
      </w:pPr>
      <w:r w:rsidRPr="008E27E3">
        <w:rPr>
          <w:rFonts w:ascii="Times New Roman" w:hAnsi="Times New Roman"/>
          <w:sz w:val="20"/>
          <w:szCs w:val="20"/>
        </w:rPr>
        <w:t>Three main parties may sue or be sued by other parties. These are:</w:t>
      </w:r>
    </w:p>
    <w:p w:rsidR="007E2A57" w:rsidRPr="008E27E3" w:rsidRDefault="007E2A57" w:rsidP="007E2A57">
      <w:pPr>
        <w:pStyle w:val="ListParagraph"/>
        <w:numPr>
          <w:ilvl w:val="0"/>
          <w:numId w:val="1"/>
        </w:numPr>
        <w:rPr>
          <w:rFonts w:ascii="Times New Roman" w:hAnsi="Times New Roman"/>
          <w:sz w:val="20"/>
          <w:szCs w:val="20"/>
        </w:rPr>
      </w:pPr>
      <w:r w:rsidRPr="008E27E3">
        <w:rPr>
          <w:rFonts w:ascii="Times New Roman" w:hAnsi="Times New Roman"/>
          <w:sz w:val="20"/>
          <w:szCs w:val="20"/>
        </w:rPr>
        <w:t>An adult citizen of Canada</w:t>
      </w:r>
    </w:p>
    <w:p w:rsidR="007E2A57" w:rsidRPr="008E27E3" w:rsidRDefault="007E2A57" w:rsidP="007E2A57">
      <w:pPr>
        <w:pStyle w:val="ListParagraph"/>
        <w:numPr>
          <w:ilvl w:val="0"/>
          <w:numId w:val="1"/>
        </w:numPr>
        <w:rPr>
          <w:rFonts w:ascii="Times New Roman" w:hAnsi="Times New Roman"/>
          <w:sz w:val="20"/>
          <w:szCs w:val="20"/>
        </w:rPr>
      </w:pPr>
      <w:r w:rsidRPr="008E27E3">
        <w:rPr>
          <w:rFonts w:ascii="Times New Roman" w:hAnsi="Times New Roman"/>
          <w:sz w:val="20"/>
          <w:szCs w:val="20"/>
        </w:rPr>
        <w:t>Non-Canadians</w:t>
      </w:r>
    </w:p>
    <w:p w:rsidR="007E2A57" w:rsidRPr="008E27E3" w:rsidRDefault="007E2A57" w:rsidP="007E2A57">
      <w:pPr>
        <w:pStyle w:val="ListParagraph"/>
        <w:numPr>
          <w:ilvl w:val="0"/>
          <w:numId w:val="1"/>
        </w:numPr>
        <w:rPr>
          <w:rFonts w:ascii="Times New Roman" w:hAnsi="Times New Roman"/>
          <w:sz w:val="20"/>
          <w:szCs w:val="20"/>
        </w:rPr>
      </w:pPr>
      <w:r w:rsidRPr="008E27E3">
        <w:rPr>
          <w:rFonts w:ascii="Times New Roman" w:hAnsi="Times New Roman"/>
          <w:sz w:val="20"/>
          <w:szCs w:val="20"/>
        </w:rPr>
        <w:t>Corporations (bodies incorporated by using procedures under a statute)</w:t>
      </w:r>
    </w:p>
    <w:p w:rsidR="007E2A57" w:rsidRPr="008E27E3" w:rsidRDefault="007E2A57" w:rsidP="007E2A57">
      <w:pPr>
        <w:rPr>
          <w:rFonts w:ascii="Times New Roman" w:hAnsi="Times New Roman"/>
          <w:b/>
          <w:sz w:val="20"/>
          <w:szCs w:val="20"/>
        </w:rPr>
      </w:pPr>
      <w:r w:rsidRPr="008E27E3">
        <w:rPr>
          <w:rFonts w:ascii="Times New Roman" w:hAnsi="Times New Roman"/>
          <w:b/>
          <w:sz w:val="20"/>
          <w:szCs w:val="20"/>
        </w:rPr>
        <w:t>Standing to Sue</w:t>
      </w:r>
    </w:p>
    <w:p w:rsidR="00851EDD" w:rsidRPr="008E27E3" w:rsidRDefault="007E2A57" w:rsidP="007E2A57">
      <w:pPr>
        <w:rPr>
          <w:rFonts w:ascii="Times New Roman" w:hAnsi="Times New Roman"/>
          <w:sz w:val="20"/>
          <w:szCs w:val="20"/>
        </w:rPr>
      </w:pPr>
      <w:r w:rsidRPr="008E27E3">
        <w:rPr>
          <w:rFonts w:ascii="Times New Roman" w:hAnsi="Times New Roman"/>
          <w:sz w:val="20"/>
          <w:szCs w:val="20"/>
        </w:rPr>
        <w:t>Generally speaking, only individuals whose rights are specifically affected have “standing” before the courts. The courts are concerned that especially litigious members of the public might clog the courts with matters in which they have no direct interest.</w:t>
      </w:r>
    </w:p>
    <w:p w:rsidR="00851EDD" w:rsidRPr="008E27E3" w:rsidRDefault="00851EDD" w:rsidP="007E2A57">
      <w:pPr>
        <w:rPr>
          <w:rFonts w:ascii="Times New Roman" w:hAnsi="Times New Roman"/>
          <w:sz w:val="20"/>
          <w:szCs w:val="20"/>
        </w:rPr>
      </w:pPr>
    </w:p>
    <w:p w:rsidR="00CA3DAC" w:rsidRDefault="00CA3DAC" w:rsidP="007E2A57">
      <w:pPr>
        <w:rPr>
          <w:rFonts w:ascii="Times New Roman" w:hAnsi="Times New Roman"/>
          <w:b/>
          <w:sz w:val="20"/>
          <w:szCs w:val="20"/>
        </w:rPr>
      </w:pPr>
    </w:p>
    <w:p w:rsidR="00851EDD" w:rsidRPr="008E27E3" w:rsidRDefault="00851EDD" w:rsidP="007E2A57">
      <w:pPr>
        <w:rPr>
          <w:rFonts w:ascii="Times New Roman" w:hAnsi="Times New Roman"/>
          <w:b/>
          <w:sz w:val="20"/>
          <w:szCs w:val="20"/>
        </w:rPr>
      </w:pPr>
      <w:r w:rsidRPr="008E27E3">
        <w:rPr>
          <w:rFonts w:ascii="Times New Roman" w:hAnsi="Times New Roman"/>
          <w:b/>
          <w:sz w:val="20"/>
          <w:szCs w:val="20"/>
        </w:rPr>
        <w:t>Class Actions</w:t>
      </w:r>
    </w:p>
    <w:p w:rsidR="00851EDD" w:rsidRPr="008E27E3" w:rsidRDefault="00851EDD" w:rsidP="007E2A57">
      <w:pPr>
        <w:rPr>
          <w:rFonts w:ascii="Times New Roman" w:hAnsi="Times New Roman"/>
          <w:sz w:val="20"/>
          <w:szCs w:val="20"/>
        </w:rPr>
      </w:pPr>
      <w:r w:rsidRPr="008E27E3">
        <w:rPr>
          <w:rFonts w:ascii="Times New Roman" w:hAnsi="Times New Roman"/>
          <w:sz w:val="20"/>
          <w:szCs w:val="20"/>
        </w:rPr>
        <w:t xml:space="preserve">Should the owner sue not only on his own behalf, but also as a </w:t>
      </w:r>
      <w:r w:rsidR="00CF5B68" w:rsidRPr="008E27E3">
        <w:rPr>
          <w:rFonts w:ascii="Times New Roman" w:hAnsi="Times New Roman"/>
          <w:sz w:val="20"/>
          <w:szCs w:val="20"/>
        </w:rPr>
        <w:t>representative</w:t>
      </w:r>
      <w:r w:rsidRPr="008E27E3">
        <w:rPr>
          <w:rFonts w:ascii="Times New Roman" w:hAnsi="Times New Roman"/>
          <w:sz w:val="20"/>
          <w:szCs w:val="20"/>
        </w:rPr>
        <w:t xml:space="preserve"> of a class – that is, on behalf of all the other owners – or must each owner bring his own lawsuit? If he fails in his action, will all other owners necessarily fail, or vice versa? Courts are reluctant to take away an individual’s right to litigate his own claim. On the other hand, it would be unfortunate to clog the courts with hundreds, perhaps thousands, of repetitive claims in which all the essential facts and applicable laws had already been clearly established. Sometimes the amount in dispute is individually minor and not worth the cost of a lawsuit unless multiple plaintiffs can pool their resources. </w:t>
      </w:r>
      <w:r w:rsidR="00CF5B68" w:rsidRPr="008E27E3">
        <w:rPr>
          <w:rFonts w:ascii="Times New Roman" w:hAnsi="Times New Roman"/>
          <w:sz w:val="20"/>
          <w:szCs w:val="20"/>
        </w:rPr>
        <w:t>Grouping</w:t>
      </w:r>
      <w:r w:rsidRPr="008E27E3">
        <w:rPr>
          <w:rFonts w:ascii="Times New Roman" w:hAnsi="Times New Roman"/>
          <w:sz w:val="20"/>
          <w:szCs w:val="20"/>
        </w:rPr>
        <w:t xml:space="preserve"> parties with similar claims into one action is known as a class action and the benefits include </w:t>
      </w:r>
      <w:r w:rsidR="00CF5B68" w:rsidRPr="008E27E3">
        <w:rPr>
          <w:rFonts w:ascii="Times New Roman" w:hAnsi="Times New Roman"/>
          <w:sz w:val="20"/>
          <w:szCs w:val="20"/>
        </w:rPr>
        <w:t>avoiding</w:t>
      </w:r>
      <w:r w:rsidRPr="008E27E3">
        <w:rPr>
          <w:rFonts w:ascii="Times New Roman" w:hAnsi="Times New Roman"/>
          <w:sz w:val="20"/>
          <w:szCs w:val="20"/>
        </w:rPr>
        <w:t xml:space="preserve"> multiple actions and inconsistent results, allowing economic access to justice, and deterring </w:t>
      </w:r>
      <w:r w:rsidR="00CF5B68" w:rsidRPr="008E27E3">
        <w:rPr>
          <w:rFonts w:ascii="Times New Roman" w:hAnsi="Times New Roman"/>
          <w:sz w:val="20"/>
          <w:szCs w:val="20"/>
        </w:rPr>
        <w:t>wrongful</w:t>
      </w:r>
      <w:r w:rsidRPr="008E27E3">
        <w:rPr>
          <w:rFonts w:ascii="Times New Roman" w:hAnsi="Times New Roman"/>
          <w:sz w:val="20"/>
          <w:szCs w:val="20"/>
        </w:rPr>
        <w:t xml:space="preserve"> behaviour of defendants.</w:t>
      </w:r>
    </w:p>
    <w:p w:rsidR="00851EDD" w:rsidRPr="008E27E3" w:rsidRDefault="00851EDD" w:rsidP="007E2A57">
      <w:pPr>
        <w:rPr>
          <w:rFonts w:ascii="Times New Roman" w:hAnsi="Times New Roman"/>
          <w:sz w:val="20"/>
          <w:szCs w:val="20"/>
        </w:rPr>
      </w:pPr>
      <w:r w:rsidRPr="008E27E3">
        <w:rPr>
          <w:rFonts w:ascii="Times New Roman" w:hAnsi="Times New Roman"/>
          <w:sz w:val="20"/>
          <w:szCs w:val="20"/>
        </w:rPr>
        <w:lastRenderedPageBreak/>
        <w:tab/>
        <w:t xml:space="preserve">The court must find an identifiable class or group and common </w:t>
      </w:r>
      <w:r w:rsidR="00CA3DAC" w:rsidRPr="008E27E3">
        <w:rPr>
          <w:rFonts w:ascii="Times New Roman" w:hAnsi="Times New Roman"/>
          <w:sz w:val="20"/>
          <w:szCs w:val="20"/>
        </w:rPr>
        <w:t>issues and</w:t>
      </w:r>
      <w:r w:rsidRPr="008E27E3">
        <w:rPr>
          <w:rFonts w:ascii="Times New Roman" w:hAnsi="Times New Roman"/>
          <w:sz w:val="20"/>
          <w:szCs w:val="20"/>
        </w:rPr>
        <w:t xml:space="preserve"> must determine that a class action is the preferable procedure. The resulting judgment binds all members of the class; it makes the matter res judicata and the case cannot be brought before the court again to contest legal liability.</w:t>
      </w:r>
    </w:p>
    <w:p w:rsidR="00851EDD" w:rsidRPr="008E27E3" w:rsidRDefault="00851EDD" w:rsidP="007E2A57">
      <w:pPr>
        <w:rPr>
          <w:rFonts w:ascii="Times New Roman" w:hAnsi="Times New Roman"/>
          <w:sz w:val="20"/>
          <w:szCs w:val="20"/>
        </w:rPr>
      </w:pPr>
    </w:p>
    <w:p w:rsidR="00851EDD" w:rsidRPr="008E27E3" w:rsidRDefault="00851EDD" w:rsidP="007E2A57">
      <w:pPr>
        <w:rPr>
          <w:rFonts w:ascii="Times New Roman" w:hAnsi="Times New Roman"/>
          <w:b/>
          <w:sz w:val="20"/>
          <w:szCs w:val="20"/>
        </w:rPr>
      </w:pPr>
      <w:r w:rsidRPr="008E27E3">
        <w:rPr>
          <w:rFonts w:ascii="Times New Roman" w:hAnsi="Times New Roman"/>
          <w:b/>
          <w:sz w:val="20"/>
          <w:szCs w:val="20"/>
        </w:rPr>
        <w:t>Settlement Out of Court – Advantages</w:t>
      </w:r>
    </w:p>
    <w:p w:rsidR="00851EDD" w:rsidRPr="008E27E3" w:rsidRDefault="00851EDD" w:rsidP="007E2A57">
      <w:pPr>
        <w:rPr>
          <w:rFonts w:ascii="Times New Roman" w:hAnsi="Times New Roman"/>
          <w:sz w:val="20"/>
          <w:szCs w:val="20"/>
        </w:rPr>
      </w:pPr>
      <w:r w:rsidRPr="008E27E3">
        <w:rPr>
          <w:rFonts w:ascii="Times New Roman" w:hAnsi="Times New Roman"/>
          <w:sz w:val="20"/>
          <w:szCs w:val="20"/>
        </w:rPr>
        <w:t xml:space="preserve">Settlement is an out-of-court procedure where one party agrees to pay a sum of money or do certain things in return for a waiver from the other party of all rights arising from the grievance. Settlement provides quick compensation and avoids the expense of litigation. Each party to a settlement also avoids the risk that the court will find against him. Since there are two sides to a story, there is some uncertainty in predicting which side will win. </w:t>
      </w:r>
    </w:p>
    <w:p w:rsidR="00B03E70" w:rsidRPr="008E27E3" w:rsidRDefault="00851EDD" w:rsidP="007E2A57">
      <w:pPr>
        <w:rPr>
          <w:rFonts w:ascii="Times New Roman" w:hAnsi="Times New Roman"/>
          <w:sz w:val="20"/>
          <w:szCs w:val="20"/>
        </w:rPr>
      </w:pPr>
      <w:r w:rsidRPr="008E27E3">
        <w:rPr>
          <w:rFonts w:ascii="Times New Roman" w:hAnsi="Times New Roman"/>
          <w:sz w:val="20"/>
          <w:szCs w:val="20"/>
        </w:rPr>
        <w:tab/>
        <w:t xml:space="preserve">There are two main reasons why the relatively small body of decisions resulting from an enormous number of disputes is so important: </w:t>
      </w:r>
      <w:r w:rsidR="00B03E70" w:rsidRPr="008E27E3">
        <w:rPr>
          <w:rFonts w:ascii="Times New Roman" w:hAnsi="Times New Roman"/>
          <w:sz w:val="20"/>
          <w:szCs w:val="20"/>
        </w:rPr>
        <w:t xml:space="preserve"> first, the decided cases create the law and supply the principles by which parties may gauge the relative merits of their claims, predict the outcome of a possible court action, and strike a value for their claims; second, the court is the last resort, the decisive tribunal when all compromise fails.</w:t>
      </w:r>
    </w:p>
    <w:p w:rsidR="00B03E70" w:rsidRPr="008E27E3" w:rsidRDefault="00B03E70" w:rsidP="007E2A57">
      <w:pPr>
        <w:rPr>
          <w:rFonts w:ascii="Times New Roman" w:hAnsi="Times New Roman"/>
          <w:sz w:val="20"/>
          <w:szCs w:val="20"/>
        </w:rPr>
      </w:pPr>
      <w:r w:rsidRPr="008E27E3">
        <w:rPr>
          <w:rFonts w:ascii="Times New Roman" w:hAnsi="Times New Roman"/>
          <w:sz w:val="20"/>
          <w:szCs w:val="20"/>
        </w:rPr>
        <w:tab/>
        <w:t>New rules have been enacted to encourage settlement. These rules penalize parties who do not accept a reasonable offer of settlement. So, if a party rejects a reasonable offer to settle from the other party and the court’s subsequent judgement shows that the offer was a good one – that is, it orders substantially the same remedy as the offer made – the first party will be ordered to pay the costs incurred by the other party.</w:t>
      </w:r>
    </w:p>
    <w:p w:rsidR="00B03E70" w:rsidRPr="008E27E3" w:rsidRDefault="00B03E70" w:rsidP="007E2A57">
      <w:pPr>
        <w:rPr>
          <w:rFonts w:ascii="Times New Roman" w:hAnsi="Times New Roman"/>
          <w:sz w:val="20"/>
          <w:szCs w:val="20"/>
        </w:rPr>
      </w:pPr>
    </w:p>
    <w:p w:rsidR="00B03E70" w:rsidRPr="008E27E3" w:rsidRDefault="00B03E70" w:rsidP="007E2A57">
      <w:pPr>
        <w:rPr>
          <w:rFonts w:ascii="Times New Roman" w:hAnsi="Times New Roman"/>
          <w:b/>
          <w:sz w:val="20"/>
          <w:szCs w:val="20"/>
        </w:rPr>
      </w:pPr>
      <w:r w:rsidRPr="008E27E3">
        <w:rPr>
          <w:rFonts w:ascii="Times New Roman" w:hAnsi="Times New Roman"/>
          <w:b/>
          <w:sz w:val="20"/>
          <w:szCs w:val="20"/>
        </w:rPr>
        <w:t>Procedure Before Trial</w:t>
      </w:r>
    </w:p>
    <w:p w:rsidR="000F685E" w:rsidRPr="008E27E3" w:rsidRDefault="00B03E70" w:rsidP="007E2A57">
      <w:pPr>
        <w:rPr>
          <w:rFonts w:ascii="Times New Roman" w:hAnsi="Times New Roman"/>
          <w:sz w:val="20"/>
          <w:szCs w:val="20"/>
        </w:rPr>
      </w:pPr>
      <w:r w:rsidRPr="008E27E3">
        <w:rPr>
          <w:rFonts w:ascii="Times New Roman" w:hAnsi="Times New Roman"/>
          <w:sz w:val="20"/>
          <w:szCs w:val="20"/>
        </w:rPr>
        <w:t>The statement of claim must describe both the facts and the legal principles that impose liability.</w:t>
      </w:r>
    </w:p>
    <w:p w:rsidR="000F685E" w:rsidRPr="008E27E3" w:rsidRDefault="00CF5B68" w:rsidP="007E2A57">
      <w:pPr>
        <w:rPr>
          <w:rFonts w:ascii="Times New Roman" w:hAnsi="Times New Roman"/>
          <w:sz w:val="20"/>
          <w:szCs w:val="20"/>
        </w:rPr>
      </w:pPr>
      <w:r w:rsidRPr="008E27E3">
        <w:rPr>
          <w:rFonts w:ascii="Times New Roman" w:hAnsi="Times New Roman"/>
          <w:sz w:val="20"/>
          <w:szCs w:val="20"/>
        </w:rPr>
        <w:tab/>
      </w:r>
      <w:r w:rsidR="00BE76A8" w:rsidRPr="008E27E3">
        <w:rPr>
          <w:rFonts w:ascii="Times New Roman" w:hAnsi="Times New Roman"/>
          <w:sz w:val="20"/>
          <w:szCs w:val="20"/>
        </w:rPr>
        <w:t>In the statement of claim, the plaintiff sets out in detail the facts that she alleges have given rise to her cause of action and the damages suffered by her. The defendant who intends to contest the action enters (files) an appearance and replies with a statement of defence, admitting those facts not in dispute in the statement of claim and denying all others, and in addition setting out any other facts that the defendant intends to prove in court in support of his defence.</w:t>
      </w:r>
      <w:r w:rsidR="000F685E" w:rsidRPr="008E27E3">
        <w:rPr>
          <w:rFonts w:ascii="Times New Roman" w:hAnsi="Times New Roman"/>
          <w:sz w:val="20"/>
          <w:szCs w:val="20"/>
        </w:rPr>
        <w:t xml:space="preserve"> </w:t>
      </w:r>
    </w:p>
    <w:p w:rsidR="000F685E" w:rsidRPr="008E27E3" w:rsidRDefault="000F685E" w:rsidP="007E2A57">
      <w:pPr>
        <w:rPr>
          <w:rFonts w:ascii="Times New Roman" w:hAnsi="Times New Roman"/>
          <w:sz w:val="20"/>
          <w:szCs w:val="20"/>
        </w:rPr>
      </w:pPr>
    </w:p>
    <w:p w:rsidR="000F685E" w:rsidRPr="008E27E3" w:rsidRDefault="000F685E" w:rsidP="007E2A57">
      <w:pPr>
        <w:rPr>
          <w:rFonts w:ascii="Times New Roman" w:hAnsi="Times New Roman"/>
          <w:sz w:val="20"/>
          <w:szCs w:val="20"/>
          <w:u w:val="single"/>
        </w:rPr>
      </w:pPr>
      <w:r w:rsidRPr="008E27E3">
        <w:rPr>
          <w:rFonts w:ascii="Times New Roman" w:hAnsi="Times New Roman"/>
          <w:sz w:val="20"/>
          <w:szCs w:val="20"/>
          <w:u w:val="single"/>
        </w:rPr>
        <w:t>Costs</w:t>
      </w:r>
    </w:p>
    <w:p w:rsidR="000F685E" w:rsidRPr="008E27E3" w:rsidRDefault="000F685E" w:rsidP="007E2A57">
      <w:pPr>
        <w:rPr>
          <w:rFonts w:ascii="Times New Roman" w:hAnsi="Times New Roman"/>
          <w:sz w:val="20"/>
          <w:szCs w:val="20"/>
        </w:rPr>
      </w:pPr>
      <w:r w:rsidRPr="008E27E3">
        <w:rPr>
          <w:rFonts w:ascii="Times New Roman" w:hAnsi="Times New Roman"/>
          <w:b/>
          <w:sz w:val="20"/>
          <w:szCs w:val="20"/>
        </w:rPr>
        <w:t>Solicitor-Client Fees</w:t>
      </w:r>
      <w:r w:rsidRPr="008E27E3">
        <w:rPr>
          <w:rFonts w:ascii="Times New Roman" w:hAnsi="Times New Roman"/>
          <w:sz w:val="20"/>
          <w:szCs w:val="20"/>
        </w:rPr>
        <w:t xml:space="preserve"> – Payment for time the lawyer spends discussing the case with the client, helping the client decide whether to pursue or defend the action, and agreeing to be retained.</w:t>
      </w:r>
    </w:p>
    <w:p w:rsidR="000F685E" w:rsidRPr="008E27E3" w:rsidRDefault="000F685E" w:rsidP="007E2A57">
      <w:pPr>
        <w:rPr>
          <w:rFonts w:ascii="Times New Roman" w:hAnsi="Times New Roman"/>
          <w:sz w:val="20"/>
          <w:szCs w:val="20"/>
        </w:rPr>
      </w:pPr>
    </w:p>
    <w:p w:rsidR="000F685E" w:rsidRPr="008E27E3" w:rsidRDefault="000F685E" w:rsidP="007E2A57">
      <w:pPr>
        <w:rPr>
          <w:rFonts w:ascii="Times New Roman" w:hAnsi="Times New Roman"/>
          <w:b/>
          <w:sz w:val="20"/>
          <w:szCs w:val="20"/>
        </w:rPr>
      </w:pPr>
      <w:r w:rsidRPr="008E27E3">
        <w:rPr>
          <w:rFonts w:ascii="Times New Roman" w:hAnsi="Times New Roman"/>
          <w:b/>
          <w:sz w:val="20"/>
          <w:szCs w:val="20"/>
        </w:rPr>
        <w:t>Party and Party Costs</w:t>
      </w:r>
    </w:p>
    <w:p w:rsidR="000F685E" w:rsidRPr="008E27E3" w:rsidRDefault="000F685E" w:rsidP="007E2A57">
      <w:pPr>
        <w:rPr>
          <w:rFonts w:ascii="Times New Roman" w:hAnsi="Times New Roman"/>
          <w:sz w:val="20"/>
          <w:szCs w:val="20"/>
        </w:rPr>
      </w:pPr>
      <w:r w:rsidRPr="008E27E3">
        <w:rPr>
          <w:rFonts w:ascii="Times New Roman" w:hAnsi="Times New Roman"/>
          <w:sz w:val="20"/>
          <w:szCs w:val="20"/>
        </w:rPr>
        <w:t>Canada applies the “loser pays” rule. This means that the losing side should pay at least part of the winning party’s legal costs by an award known as party and party costs.</w:t>
      </w:r>
    </w:p>
    <w:p w:rsidR="000F685E" w:rsidRPr="008E27E3" w:rsidRDefault="000F685E" w:rsidP="007E2A57">
      <w:pPr>
        <w:rPr>
          <w:rFonts w:ascii="Times New Roman" w:hAnsi="Times New Roman"/>
          <w:sz w:val="20"/>
          <w:szCs w:val="20"/>
        </w:rPr>
      </w:pPr>
    </w:p>
    <w:p w:rsidR="000F685E" w:rsidRPr="008E27E3" w:rsidRDefault="000F685E" w:rsidP="007E2A57">
      <w:pPr>
        <w:rPr>
          <w:rFonts w:ascii="Times New Roman" w:hAnsi="Times New Roman"/>
          <w:b/>
          <w:sz w:val="20"/>
          <w:szCs w:val="20"/>
        </w:rPr>
      </w:pPr>
      <w:r w:rsidRPr="008E27E3">
        <w:rPr>
          <w:rFonts w:ascii="Times New Roman" w:hAnsi="Times New Roman"/>
          <w:b/>
          <w:sz w:val="20"/>
          <w:szCs w:val="20"/>
        </w:rPr>
        <w:t>Total Costs of Litigation</w:t>
      </w:r>
    </w:p>
    <w:p w:rsidR="008D31EF" w:rsidRPr="008E27E3" w:rsidRDefault="008D31EF" w:rsidP="007E2A57">
      <w:pPr>
        <w:rPr>
          <w:rFonts w:ascii="Times New Roman" w:hAnsi="Times New Roman"/>
          <w:sz w:val="20"/>
          <w:szCs w:val="20"/>
        </w:rPr>
      </w:pPr>
      <w:r w:rsidRPr="008E27E3">
        <w:rPr>
          <w:rFonts w:ascii="Times New Roman" w:hAnsi="Times New Roman"/>
          <w:sz w:val="20"/>
          <w:szCs w:val="20"/>
        </w:rPr>
        <w:t xml:space="preserve">A solicitor-client fee (the actual lawyer’s bill is almost always greater than an award of party and party costs. Therefore, even when a client winds a case with an award of costs in her favour, these costs will ordinarily cover only a portion of the fee charged by her lawyer; she will have to pay an amount over and above the costs recovered from the losing side. But she is considerably better off than the losing side with respect to the costs of the litigation; the loser must pay both </w:t>
      </w:r>
      <w:r w:rsidR="00CF5B68" w:rsidRPr="008E27E3">
        <w:rPr>
          <w:rFonts w:ascii="Times New Roman" w:hAnsi="Times New Roman"/>
          <w:sz w:val="20"/>
          <w:szCs w:val="20"/>
        </w:rPr>
        <w:t>party</w:t>
      </w:r>
      <w:r w:rsidRPr="008E27E3">
        <w:rPr>
          <w:rFonts w:ascii="Times New Roman" w:hAnsi="Times New Roman"/>
          <w:sz w:val="20"/>
          <w:szCs w:val="20"/>
        </w:rPr>
        <w:t xml:space="preserve"> and party costs to the other side and a solicitor-client fee to his own lawyer as well as, of course, the amount of the judgement.</w:t>
      </w:r>
    </w:p>
    <w:p w:rsidR="008D31EF" w:rsidRPr="008E27E3" w:rsidRDefault="008D31EF" w:rsidP="007E2A57">
      <w:pPr>
        <w:rPr>
          <w:rFonts w:ascii="Times New Roman" w:hAnsi="Times New Roman"/>
          <w:sz w:val="20"/>
          <w:szCs w:val="20"/>
        </w:rPr>
      </w:pPr>
    </w:p>
    <w:p w:rsidR="008D31EF" w:rsidRPr="008E27E3" w:rsidRDefault="008D31EF" w:rsidP="007E2A57">
      <w:pPr>
        <w:rPr>
          <w:rFonts w:ascii="Times New Roman" w:hAnsi="Times New Roman"/>
          <w:b/>
          <w:sz w:val="20"/>
          <w:szCs w:val="20"/>
        </w:rPr>
      </w:pPr>
      <w:r w:rsidRPr="008E27E3">
        <w:rPr>
          <w:rFonts w:ascii="Times New Roman" w:hAnsi="Times New Roman"/>
          <w:b/>
          <w:sz w:val="20"/>
          <w:szCs w:val="20"/>
        </w:rPr>
        <w:t>The Economics of Civil Litigation</w:t>
      </w:r>
    </w:p>
    <w:p w:rsidR="00792E60" w:rsidRPr="008E27E3" w:rsidRDefault="00792E60" w:rsidP="007E2A57">
      <w:pPr>
        <w:rPr>
          <w:rFonts w:ascii="Times New Roman" w:hAnsi="Times New Roman"/>
          <w:sz w:val="20"/>
          <w:szCs w:val="20"/>
        </w:rPr>
      </w:pPr>
      <w:r w:rsidRPr="008E27E3">
        <w:rPr>
          <w:rFonts w:ascii="Times New Roman" w:hAnsi="Times New Roman"/>
          <w:sz w:val="20"/>
          <w:szCs w:val="20"/>
        </w:rPr>
        <w:t xml:space="preserve">The subject of costs raises the question of the economics of litigation: is it worthwhile to start an action? This is a key business law risk management </w:t>
      </w:r>
      <w:proofErr w:type="gramStart"/>
      <w:r w:rsidRPr="008E27E3">
        <w:rPr>
          <w:rFonts w:ascii="Times New Roman" w:hAnsi="Times New Roman"/>
          <w:sz w:val="20"/>
          <w:szCs w:val="20"/>
        </w:rPr>
        <w:t>questions</w:t>
      </w:r>
      <w:proofErr w:type="gramEnd"/>
      <w:r w:rsidRPr="008E27E3">
        <w:rPr>
          <w:rFonts w:ascii="Times New Roman" w:hAnsi="Times New Roman"/>
          <w:sz w:val="20"/>
          <w:szCs w:val="20"/>
        </w:rPr>
        <w:t xml:space="preserve">. First, there is always a risk of losing: a plaintiff who loses is not only denied the remedy sought, but also must pay costs of the defendant. Even if the party seems certain of winning, it would generally be unwise to proceed with a claim that would occupy the time of the courts and incur heavy expenses in retaining a lawyer in order to collect a minor sum, pursue an impecunious defendant, or, conversely, to defend an insignificant claim. </w:t>
      </w:r>
    </w:p>
    <w:p w:rsidR="00792E60" w:rsidRPr="008E27E3" w:rsidRDefault="00792E60" w:rsidP="007E2A57">
      <w:pPr>
        <w:rPr>
          <w:rFonts w:ascii="Times New Roman" w:hAnsi="Times New Roman"/>
          <w:sz w:val="20"/>
          <w:szCs w:val="20"/>
        </w:rPr>
      </w:pPr>
      <w:r w:rsidRPr="008E27E3">
        <w:rPr>
          <w:rFonts w:ascii="Times New Roman" w:hAnsi="Times New Roman"/>
          <w:sz w:val="20"/>
          <w:szCs w:val="20"/>
        </w:rPr>
        <w:tab/>
        <w:t>Second, even apart from legal costs, businesses must examine the business costs of litigation. Often it may not be worth a business’s time and effort to fight.</w:t>
      </w:r>
    </w:p>
    <w:p w:rsidR="00792E60" w:rsidRPr="008E27E3" w:rsidRDefault="00792E60" w:rsidP="007E2A57">
      <w:pPr>
        <w:rPr>
          <w:rFonts w:ascii="Times New Roman" w:hAnsi="Times New Roman"/>
          <w:sz w:val="20"/>
          <w:szCs w:val="20"/>
        </w:rPr>
      </w:pPr>
    </w:p>
    <w:p w:rsidR="00792E60" w:rsidRPr="008E27E3" w:rsidRDefault="00792E60" w:rsidP="007E2A57">
      <w:pPr>
        <w:rPr>
          <w:rFonts w:ascii="Times New Roman" w:hAnsi="Times New Roman"/>
          <w:b/>
          <w:sz w:val="20"/>
          <w:szCs w:val="20"/>
        </w:rPr>
      </w:pPr>
      <w:r w:rsidRPr="008E27E3">
        <w:rPr>
          <w:rFonts w:ascii="Times New Roman" w:hAnsi="Times New Roman"/>
          <w:b/>
          <w:sz w:val="20"/>
          <w:szCs w:val="20"/>
        </w:rPr>
        <w:t>Alternative Dispute Resolution</w:t>
      </w:r>
    </w:p>
    <w:p w:rsidR="00792E60" w:rsidRPr="008E27E3" w:rsidRDefault="00792E60" w:rsidP="007E2A57">
      <w:pPr>
        <w:rPr>
          <w:rFonts w:ascii="Times New Roman" w:hAnsi="Times New Roman"/>
          <w:sz w:val="20"/>
          <w:szCs w:val="20"/>
        </w:rPr>
      </w:pPr>
      <w:r w:rsidRPr="008E27E3">
        <w:rPr>
          <w:rFonts w:ascii="Times New Roman" w:hAnsi="Times New Roman"/>
          <w:sz w:val="20"/>
          <w:szCs w:val="20"/>
        </w:rPr>
        <w:t xml:space="preserve">The oldest form of ADR is arbitration – referring a dispute to an arbitrator who will adjudicate the matter; the arbitrator will hear the parties and their witnesses in private with less formality and more promptly than a </w:t>
      </w:r>
      <w:proofErr w:type="gramStart"/>
      <w:r w:rsidRPr="008E27E3">
        <w:rPr>
          <w:rFonts w:ascii="Times New Roman" w:hAnsi="Times New Roman"/>
          <w:sz w:val="20"/>
          <w:szCs w:val="20"/>
        </w:rPr>
        <w:t>court, and</w:t>
      </w:r>
      <w:proofErr w:type="gramEnd"/>
      <w:r w:rsidRPr="008E27E3">
        <w:rPr>
          <w:rFonts w:ascii="Times New Roman" w:hAnsi="Times New Roman"/>
          <w:sz w:val="20"/>
          <w:szCs w:val="20"/>
        </w:rPr>
        <w:t xml:space="preserve"> will deliver a decision with reasons. The decisions bind only the parties involved and are confidential.</w:t>
      </w:r>
    </w:p>
    <w:p w:rsidR="00792E60" w:rsidRPr="008E27E3" w:rsidRDefault="00792E60" w:rsidP="007E2A57">
      <w:pPr>
        <w:rPr>
          <w:rFonts w:ascii="Times New Roman" w:hAnsi="Times New Roman"/>
          <w:sz w:val="20"/>
          <w:szCs w:val="20"/>
        </w:rPr>
      </w:pPr>
      <w:r w:rsidRPr="008E27E3">
        <w:rPr>
          <w:rFonts w:ascii="Times New Roman" w:hAnsi="Times New Roman"/>
          <w:sz w:val="20"/>
          <w:szCs w:val="20"/>
        </w:rPr>
        <w:tab/>
        <w:t>Another important form of ADR is mediation. In mediation, a neutral third party acceptable to both sides acts as a mediator during settlement negotiations. The mediator has no power to make a binding decision but assists the parties in reaching a settlement.</w:t>
      </w:r>
    </w:p>
    <w:p w:rsidR="00792E60" w:rsidRPr="008E27E3" w:rsidRDefault="00792E60" w:rsidP="007E2A57">
      <w:pPr>
        <w:rPr>
          <w:rFonts w:ascii="Times New Roman" w:hAnsi="Times New Roman"/>
          <w:sz w:val="20"/>
          <w:szCs w:val="20"/>
        </w:rPr>
      </w:pPr>
      <w:r w:rsidRPr="008E27E3">
        <w:rPr>
          <w:rFonts w:ascii="Times New Roman" w:hAnsi="Times New Roman"/>
          <w:sz w:val="20"/>
          <w:szCs w:val="20"/>
        </w:rPr>
        <w:tab/>
        <w:t xml:space="preserve">The advantages of both arbitration and </w:t>
      </w:r>
      <w:r w:rsidR="00CF5B68" w:rsidRPr="008E27E3">
        <w:rPr>
          <w:rFonts w:ascii="Times New Roman" w:hAnsi="Times New Roman"/>
          <w:sz w:val="20"/>
          <w:szCs w:val="20"/>
        </w:rPr>
        <w:t>mediation</w:t>
      </w:r>
      <w:r w:rsidRPr="008E27E3">
        <w:rPr>
          <w:rFonts w:ascii="Times New Roman" w:hAnsi="Times New Roman"/>
          <w:sz w:val="20"/>
          <w:szCs w:val="20"/>
        </w:rPr>
        <w:t xml:space="preserve"> are:</w:t>
      </w:r>
    </w:p>
    <w:p w:rsidR="00792E60" w:rsidRPr="008E27E3" w:rsidRDefault="00792E60" w:rsidP="00792E60">
      <w:pPr>
        <w:pStyle w:val="ListParagraph"/>
        <w:numPr>
          <w:ilvl w:val="0"/>
          <w:numId w:val="1"/>
        </w:numPr>
        <w:rPr>
          <w:rFonts w:ascii="Times New Roman" w:hAnsi="Times New Roman"/>
          <w:sz w:val="20"/>
          <w:szCs w:val="20"/>
        </w:rPr>
      </w:pPr>
      <w:r w:rsidRPr="008E27E3">
        <w:rPr>
          <w:rFonts w:ascii="Times New Roman" w:hAnsi="Times New Roman"/>
          <w:i/>
          <w:sz w:val="20"/>
          <w:szCs w:val="20"/>
        </w:rPr>
        <w:t>Speed</w:t>
      </w:r>
      <w:r w:rsidRPr="008E27E3">
        <w:rPr>
          <w:rFonts w:ascii="Times New Roman" w:hAnsi="Times New Roman"/>
          <w:sz w:val="20"/>
          <w:szCs w:val="20"/>
        </w:rPr>
        <w:t xml:space="preserve"> – cases are resolved by mediation or arbitration much more promptly than through the courts</w:t>
      </w:r>
    </w:p>
    <w:p w:rsidR="006E7F83" w:rsidRPr="008E27E3" w:rsidRDefault="00792E60" w:rsidP="00792E60">
      <w:pPr>
        <w:pStyle w:val="ListParagraph"/>
        <w:numPr>
          <w:ilvl w:val="0"/>
          <w:numId w:val="1"/>
        </w:numPr>
        <w:rPr>
          <w:rFonts w:ascii="Times New Roman" w:hAnsi="Times New Roman"/>
          <w:sz w:val="20"/>
          <w:szCs w:val="20"/>
        </w:rPr>
      </w:pPr>
      <w:r w:rsidRPr="008E27E3">
        <w:rPr>
          <w:rFonts w:ascii="Times New Roman" w:hAnsi="Times New Roman"/>
          <w:i/>
          <w:sz w:val="20"/>
          <w:szCs w:val="20"/>
        </w:rPr>
        <w:t>Cost</w:t>
      </w:r>
      <w:r w:rsidRPr="008E27E3">
        <w:rPr>
          <w:rFonts w:ascii="Times New Roman" w:hAnsi="Times New Roman"/>
          <w:sz w:val="20"/>
          <w:szCs w:val="20"/>
        </w:rPr>
        <w:t xml:space="preserve"> – Promptness in itself saves money; in addition, since the parties themselves have chosen this method they usually cooperate to avoid delays and keep the hearing as short as they can; parties do have to pay the arbitrator fees themselves</w:t>
      </w:r>
    </w:p>
    <w:p w:rsidR="006E7F83" w:rsidRPr="008E27E3" w:rsidRDefault="006E7F83" w:rsidP="00792E60">
      <w:pPr>
        <w:pStyle w:val="ListParagraph"/>
        <w:numPr>
          <w:ilvl w:val="0"/>
          <w:numId w:val="1"/>
        </w:numPr>
        <w:rPr>
          <w:rFonts w:ascii="Times New Roman" w:hAnsi="Times New Roman"/>
          <w:sz w:val="20"/>
          <w:szCs w:val="20"/>
        </w:rPr>
      </w:pPr>
      <w:r w:rsidRPr="008E27E3">
        <w:rPr>
          <w:rFonts w:ascii="Times New Roman" w:hAnsi="Times New Roman"/>
          <w:i/>
          <w:sz w:val="20"/>
          <w:szCs w:val="20"/>
        </w:rPr>
        <w:t>Choice of Adjudicator or Mediator</w:t>
      </w:r>
      <w:r w:rsidRPr="008E27E3">
        <w:rPr>
          <w:rFonts w:ascii="Times New Roman" w:hAnsi="Times New Roman"/>
          <w:sz w:val="20"/>
          <w:szCs w:val="20"/>
        </w:rPr>
        <w:t xml:space="preserve"> – Unlike the courts, the parties can choose a person who they believe is especially suited to resolve the issue because of her experience and expertise in the area of the dispute</w:t>
      </w:r>
    </w:p>
    <w:p w:rsidR="006E7F83" w:rsidRPr="008E27E3" w:rsidRDefault="006E7F83" w:rsidP="00792E60">
      <w:pPr>
        <w:pStyle w:val="ListParagraph"/>
        <w:numPr>
          <w:ilvl w:val="0"/>
          <w:numId w:val="1"/>
        </w:numPr>
        <w:rPr>
          <w:rFonts w:ascii="Times New Roman" w:hAnsi="Times New Roman"/>
          <w:sz w:val="20"/>
          <w:szCs w:val="20"/>
        </w:rPr>
      </w:pPr>
      <w:r w:rsidRPr="008E27E3">
        <w:rPr>
          <w:rFonts w:ascii="Times New Roman" w:hAnsi="Times New Roman"/>
          <w:i/>
          <w:sz w:val="20"/>
          <w:szCs w:val="20"/>
        </w:rPr>
        <w:t>Confidentiality</w:t>
      </w:r>
      <w:r w:rsidRPr="008E27E3">
        <w:rPr>
          <w:rFonts w:ascii="Times New Roman" w:hAnsi="Times New Roman"/>
          <w:sz w:val="20"/>
          <w:szCs w:val="20"/>
        </w:rPr>
        <w:t xml:space="preserve"> – The parties can </w:t>
      </w:r>
      <w:r w:rsidR="00CF5B68" w:rsidRPr="008E27E3">
        <w:rPr>
          <w:rFonts w:ascii="Times New Roman" w:hAnsi="Times New Roman"/>
          <w:sz w:val="20"/>
          <w:szCs w:val="20"/>
        </w:rPr>
        <w:t>agree</w:t>
      </w:r>
      <w:r w:rsidRPr="008E27E3">
        <w:rPr>
          <w:rFonts w:ascii="Times New Roman" w:hAnsi="Times New Roman"/>
          <w:sz w:val="20"/>
          <w:szCs w:val="20"/>
        </w:rPr>
        <w:t xml:space="preserve"> to keep the dispute private to minimize harm to their business through disclosure of confidential information or encouraging others to bring similar complaints</w:t>
      </w:r>
    </w:p>
    <w:p w:rsidR="00EC2A4A" w:rsidRPr="00CA3DAC" w:rsidRDefault="006E7F83" w:rsidP="00CA3DAC">
      <w:pPr>
        <w:pStyle w:val="ListParagraph"/>
        <w:numPr>
          <w:ilvl w:val="0"/>
          <w:numId w:val="1"/>
        </w:numPr>
        <w:rPr>
          <w:rFonts w:ascii="Times New Roman" w:hAnsi="Times New Roman"/>
          <w:sz w:val="20"/>
          <w:szCs w:val="20"/>
        </w:rPr>
      </w:pPr>
      <w:r w:rsidRPr="008E27E3">
        <w:rPr>
          <w:rFonts w:ascii="Times New Roman" w:hAnsi="Times New Roman"/>
          <w:i/>
          <w:sz w:val="20"/>
          <w:szCs w:val="20"/>
        </w:rPr>
        <w:lastRenderedPageBreak/>
        <w:t>Preserving Ongoing Relations</w:t>
      </w:r>
      <w:r w:rsidRPr="008E27E3">
        <w:rPr>
          <w:rFonts w:ascii="Times New Roman" w:hAnsi="Times New Roman"/>
          <w:sz w:val="20"/>
          <w:szCs w:val="20"/>
        </w:rPr>
        <w:t xml:space="preserve"> – Since ADR is usually less adversarial than litigation, it is less likely to foster antagonism between the </w:t>
      </w:r>
      <w:proofErr w:type="gramStart"/>
      <w:r w:rsidRPr="008E27E3">
        <w:rPr>
          <w:rFonts w:ascii="Times New Roman" w:hAnsi="Times New Roman"/>
          <w:sz w:val="20"/>
          <w:szCs w:val="20"/>
        </w:rPr>
        <w:t>parties, and</w:t>
      </w:r>
      <w:proofErr w:type="gramEnd"/>
      <w:r w:rsidRPr="008E27E3">
        <w:rPr>
          <w:rFonts w:ascii="Times New Roman" w:hAnsi="Times New Roman"/>
          <w:sz w:val="20"/>
          <w:szCs w:val="20"/>
        </w:rPr>
        <w:t xml:space="preserve"> will allow them to continue to work together afterwards.</w:t>
      </w:r>
    </w:p>
    <w:p w:rsidR="006E7F83" w:rsidRPr="008E27E3" w:rsidRDefault="006E7F83" w:rsidP="006E7F83">
      <w:pPr>
        <w:rPr>
          <w:rFonts w:ascii="Times New Roman" w:hAnsi="Times New Roman"/>
          <w:sz w:val="20"/>
          <w:szCs w:val="20"/>
          <w:u w:val="single"/>
        </w:rPr>
      </w:pPr>
      <w:r w:rsidRPr="008E27E3">
        <w:rPr>
          <w:rFonts w:ascii="Times New Roman" w:hAnsi="Times New Roman"/>
          <w:sz w:val="20"/>
          <w:szCs w:val="20"/>
          <w:u w:val="single"/>
        </w:rPr>
        <w:t>Definitions</w:t>
      </w:r>
    </w:p>
    <w:p w:rsidR="006E7F83" w:rsidRPr="008E27E3" w:rsidRDefault="006E7F83" w:rsidP="006E7F83">
      <w:pPr>
        <w:rPr>
          <w:rFonts w:ascii="Times New Roman" w:hAnsi="Times New Roman"/>
          <w:sz w:val="20"/>
          <w:szCs w:val="20"/>
        </w:rPr>
      </w:pPr>
    </w:p>
    <w:p w:rsidR="002F15A7" w:rsidRPr="008E27E3" w:rsidRDefault="002F15A7" w:rsidP="006E7F83">
      <w:pPr>
        <w:rPr>
          <w:rFonts w:ascii="Times New Roman" w:hAnsi="Times New Roman"/>
          <w:sz w:val="20"/>
          <w:szCs w:val="20"/>
        </w:rPr>
      </w:pPr>
      <w:r w:rsidRPr="008E27E3">
        <w:rPr>
          <w:rFonts w:ascii="Times New Roman" w:hAnsi="Times New Roman"/>
          <w:b/>
          <w:sz w:val="20"/>
          <w:szCs w:val="20"/>
        </w:rPr>
        <w:t>Substantive Law</w:t>
      </w:r>
      <w:r w:rsidRPr="008E27E3">
        <w:rPr>
          <w:rFonts w:ascii="Times New Roman" w:hAnsi="Times New Roman"/>
          <w:sz w:val="20"/>
          <w:szCs w:val="20"/>
        </w:rPr>
        <w:t xml:space="preserve"> – The rights and duties that each person has in society.</w:t>
      </w:r>
    </w:p>
    <w:p w:rsidR="002F15A7" w:rsidRPr="008E27E3" w:rsidRDefault="002F15A7" w:rsidP="006E7F83">
      <w:pPr>
        <w:rPr>
          <w:rFonts w:ascii="Times New Roman" w:hAnsi="Times New Roman"/>
          <w:sz w:val="20"/>
          <w:szCs w:val="20"/>
        </w:rPr>
      </w:pPr>
      <w:r w:rsidRPr="008E27E3">
        <w:rPr>
          <w:rFonts w:ascii="Times New Roman" w:hAnsi="Times New Roman"/>
          <w:sz w:val="20"/>
          <w:szCs w:val="20"/>
        </w:rPr>
        <w:t>Procedural Law – Rules that deal with how substantive rights and duties may be enforced.</w:t>
      </w:r>
    </w:p>
    <w:p w:rsidR="00B627A2" w:rsidRPr="008E27E3" w:rsidRDefault="00B627A2" w:rsidP="006E7F83">
      <w:pPr>
        <w:rPr>
          <w:rFonts w:ascii="Times New Roman" w:hAnsi="Times New Roman"/>
          <w:b/>
          <w:sz w:val="20"/>
          <w:szCs w:val="20"/>
        </w:rPr>
      </w:pPr>
    </w:p>
    <w:p w:rsidR="002F15A7" w:rsidRPr="008E27E3" w:rsidRDefault="002F15A7" w:rsidP="006E7F83">
      <w:pPr>
        <w:rPr>
          <w:rFonts w:ascii="Times New Roman" w:hAnsi="Times New Roman"/>
          <w:sz w:val="20"/>
          <w:szCs w:val="20"/>
        </w:rPr>
      </w:pPr>
      <w:r w:rsidRPr="008E27E3">
        <w:rPr>
          <w:rFonts w:ascii="Times New Roman" w:hAnsi="Times New Roman"/>
          <w:b/>
          <w:sz w:val="20"/>
          <w:szCs w:val="20"/>
        </w:rPr>
        <w:t>Common Law</w:t>
      </w:r>
      <w:r w:rsidRPr="008E27E3">
        <w:rPr>
          <w:rFonts w:ascii="Times New Roman" w:hAnsi="Times New Roman"/>
          <w:sz w:val="20"/>
          <w:szCs w:val="20"/>
        </w:rPr>
        <w:t xml:space="preserve"> – The case-based system of law originating in England and covering most of the English-speaking world – based on the recorded reasons given by courts for their decisions.</w:t>
      </w:r>
    </w:p>
    <w:p w:rsidR="00B627A2" w:rsidRPr="008E27E3" w:rsidRDefault="00B627A2" w:rsidP="006E7F83">
      <w:pPr>
        <w:rPr>
          <w:rFonts w:ascii="Times New Roman" w:hAnsi="Times New Roman"/>
          <w:b/>
          <w:sz w:val="20"/>
          <w:szCs w:val="20"/>
        </w:rPr>
      </w:pPr>
    </w:p>
    <w:p w:rsidR="002F15A7" w:rsidRPr="008E27E3" w:rsidRDefault="002F15A7" w:rsidP="006E7F83">
      <w:pPr>
        <w:rPr>
          <w:rFonts w:ascii="Times New Roman" w:hAnsi="Times New Roman"/>
          <w:sz w:val="20"/>
          <w:szCs w:val="20"/>
        </w:rPr>
      </w:pPr>
      <w:r w:rsidRPr="008E27E3">
        <w:rPr>
          <w:rFonts w:ascii="Times New Roman" w:hAnsi="Times New Roman"/>
          <w:b/>
          <w:sz w:val="20"/>
          <w:szCs w:val="20"/>
        </w:rPr>
        <w:t>Stare Decisis</w:t>
      </w:r>
      <w:r w:rsidRPr="008E27E3">
        <w:rPr>
          <w:rFonts w:ascii="Times New Roman" w:hAnsi="Times New Roman"/>
          <w:sz w:val="20"/>
          <w:szCs w:val="20"/>
        </w:rPr>
        <w:t xml:space="preserve"> – To stand by a previous decision.</w:t>
      </w:r>
    </w:p>
    <w:p w:rsidR="00B627A2" w:rsidRPr="008E27E3" w:rsidRDefault="00B627A2" w:rsidP="006E7F83">
      <w:pPr>
        <w:rPr>
          <w:rFonts w:ascii="Times New Roman" w:hAnsi="Times New Roman"/>
          <w:b/>
          <w:sz w:val="20"/>
          <w:szCs w:val="20"/>
        </w:rPr>
      </w:pPr>
    </w:p>
    <w:p w:rsidR="002F15A7" w:rsidRPr="008E27E3" w:rsidRDefault="002F15A7" w:rsidP="006E7F83">
      <w:pPr>
        <w:rPr>
          <w:rFonts w:ascii="Times New Roman" w:hAnsi="Times New Roman"/>
          <w:sz w:val="20"/>
          <w:szCs w:val="20"/>
        </w:rPr>
      </w:pPr>
      <w:r w:rsidRPr="008E27E3">
        <w:rPr>
          <w:rFonts w:ascii="Times New Roman" w:hAnsi="Times New Roman"/>
          <w:b/>
          <w:sz w:val="20"/>
          <w:szCs w:val="20"/>
        </w:rPr>
        <w:t xml:space="preserve">Distinguish </w:t>
      </w:r>
      <w:r w:rsidRPr="008E27E3">
        <w:rPr>
          <w:rFonts w:ascii="Times New Roman" w:hAnsi="Times New Roman"/>
          <w:sz w:val="20"/>
          <w:szCs w:val="20"/>
        </w:rPr>
        <w:t>– Identify a factual difference that renders a precedent inapplicable to the case before the court.</w:t>
      </w:r>
    </w:p>
    <w:p w:rsidR="00B627A2" w:rsidRPr="008E27E3" w:rsidRDefault="00B627A2" w:rsidP="006E7F83">
      <w:pPr>
        <w:rPr>
          <w:rFonts w:ascii="Times New Roman" w:hAnsi="Times New Roman"/>
          <w:b/>
          <w:bCs/>
          <w:sz w:val="20"/>
          <w:szCs w:val="20"/>
        </w:rPr>
      </w:pPr>
    </w:p>
    <w:p w:rsidR="004B5867" w:rsidRPr="008E27E3" w:rsidRDefault="002F15A7" w:rsidP="006E7F83">
      <w:pPr>
        <w:rPr>
          <w:rFonts w:ascii="Times New Roman" w:hAnsi="Times New Roman"/>
          <w:i/>
          <w:sz w:val="20"/>
          <w:szCs w:val="20"/>
        </w:rPr>
      </w:pPr>
      <w:r w:rsidRPr="008E27E3">
        <w:rPr>
          <w:rFonts w:ascii="Times New Roman" w:hAnsi="Times New Roman"/>
          <w:b/>
          <w:sz w:val="20"/>
          <w:szCs w:val="20"/>
        </w:rPr>
        <w:t>Codify</w:t>
      </w:r>
      <w:r w:rsidRPr="008E27E3">
        <w:rPr>
          <w:rFonts w:ascii="Times New Roman" w:hAnsi="Times New Roman"/>
          <w:sz w:val="20"/>
          <w:szCs w:val="20"/>
        </w:rPr>
        <w:t xml:space="preserve"> – Set down</w:t>
      </w:r>
      <w:r w:rsidR="00CF5B68" w:rsidRPr="008E27E3">
        <w:rPr>
          <w:rFonts w:ascii="Times New Roman" w:hAnsi="Times New Roman"/>
          <w:sz w:val="20"/>
          <w:szCs w:val="20"/>
        </w:rPr>
        <w:t xml:space="preserve"> </w:t>
      </w:r>
      <w:r w:rsidRPr="008E27E3">
        <w:rPr>
          <w:rFonts w:ascii="Times New Roman" w:hAnsi="Times New Roman"/>
          <w:sz w:val="20"/>
          <w:szCs w:val="20"/>
        </w:rPr>
        <w:t xml:space="preserve">and summarize in a </w:t>
      </w:r>
      <w:r w:rsidR="00CF5B68" w:rsidRPr="008E27E3">
        <w:rPr>
          <w:rFonts w:ascii="Times New Roman" w:hAnsi="Times New Roman"/>
          <w:sz w:val="20"/>
          <w:szCs w:val="20"/>
        </w:rPr>
        <w:t>statute</w:t>
      </w:r>
      <w:r w:rsidRPr="008E27E3">
        <w:rPr>
          <w:rFonts w:ascii="Times New Roman" w:hAnsi="Times New Roman"/>
          <w:sz w:val="20"/>
          <w:szCs w:val="20"/>
        </w:rPr>
        <w:t xml:space="preserve"> the existing common law rules governing a particular area of activity.</w:t>
      </w:r>
      <w:r w:rsidR="004B5867" w:rsidRPr="008E27E3">
        <w:rPr>
          <w:rFonts w:ascii="Times New Roman" w:hAnsi="Times New Roman"/>
          <w:sz w:val="20"/>
          <w:szCs w:val="20"/>
        </w:rPr>
        <w:t xml:space="preserve"> </w:t>
      </w:r>
      <w:r w:rsidR="004B5867" w:rsidRPr="008E27E3">
        <w:rPr>
          <w:rFonts w:ascii="Times New Roman" w:hAnsi="Times New Roman"/>
          <w:i/>
          <w:sz w:val="20"/>
          <w:szCs w:val="20"/>
        </w:rPr>
        <w:t>– Sometimes modify or perform. Authorize government papers.</w:t>
      </w:r>
    </w:p>
    <w:p w:rsidR="002F15A7" w:rsidRPr="008E27E3" w:rsidRDefault="002F15A7" w:rsidP="006E7F83">
      <w:pPr>
        <w:rPr>
          <w:rFonts w:ascii="Times New Roman" w:hAnsi="Times New Roman"/>
          <w:i/>
          <w:sz w:val="20"/>
          <w:szCs w:val="20"/>
        </w:rPr>
      </w:pPr>
    </w:p>
    <w:p w:rsidR="002F15A7" w:rsidRPr="008E27E3" w:rsidRDefault="002F15A7" w:rsidP="006E7F83">
      <w:pPr>
        <w:rPr>
          <w:rFonts w:ascii="Times New Roman" w:hAnsi="Times New Roman"/>
          <w:sz w:val="20"/>
          <w:szCs w:val="20"/>
        </w:rPr>
      </w:pPr>
      <w:r w:rsidRPr="008E27E3">
        <w:rPr>
          <w:rFonts w:ascii="Times New Roman" w:hAnsi="Times New Roman"/>
          <w:b/>
          <w:sz w:val="20"/>
          <w:szCs w:val="20"/>
        </w:rPr>
        <w:t>Strict Interpretation</w:t>
      </w:r>
      <w:r w:rsidRPr="008E27E3">
        <w:rPr>
          <w:rFonts w:ascii="Times New Roman" w:hAnsi="Times New Roman"/>
          <w:sz w:val="20"/>
          <w:szCs w:val="20"/>
        </w:rPr>
        <w:t xml:space="preserve"> – Courts apply the provisions of a statute only where the facts of the case are covered </w:t>
      </w:r>
      <w:r w:rsidR="00CF5B68" w:rsidRPr="008E27E3">
        <w:rPr>
          <w:rFonts w:ascii="Times New Roman" w:hAnsi="Times New Roman"/>
          <w:sz w:val="20"/>
          <w:szCs w:val="20"/>
        </w:rPr>
        <w:t>specifically</w:t>
      </w:r>
      <w:r w:rsidRPr="008E27E3">
        <w:rPr>
          <w:rFonts w:ascii="Times New Roman" w:hAnsi="Times New Roman"/>
          <w:sz w:val="20"/>
          <w:szCs w:val="20"/>
        </w:rPr>
        <w:t xml:space="preserve"> by the statute.</w:t>
      </w:r>
    </w:p>
    <w:p w:rsidR="00B627A2" w:rsidRPr="008E27E3" w:rsidRDefault="00B627A2" w:rsidP="006E7F83">
      <w:pPr>
        <w:rPr>
          <w:rFonts w:ascii="Times New Roman" w:hAnsi="Times New Roman"/>
          <w:b/>
          <w:sz w:val="20"/>
          <w:szCs w:val="20"/>
        </w:rPr>
      </w:pPr>
    </w:p>
    <w:p w:rsidR="00EB7726" w:rsidRPr="008E27E3" w:rsidRDefault="002F15A7" w:rsidP="006E7F83">
      <w:pPr>
        <w:rPr>
          <w:rFonts w:ascii="Times New Roman" w:hAnsi="Times New Roman"/>
          <w:sz w:val="20"/>
          <w:szCs w:val="20"/>
        </w:rPr>
      </w:pPr>
      <w:r w:rsidRPr="008E27E3">
        <w:rPr>
          <w:rFonts w:ascii="Times New Roman" w:hAnsi="Times New Roman"/>
          <w:b/>
          <w:sz w:val="20"/>
          <w:szCs w:val="20"/>
        </w:rPr>
        <w:t>Liberal Approach</w:t>
      </w:r>
      <w:r w:rsidRPr="008E27E3">
        <w:rPr>
          <w:rFonts w:ascii="Times New Roman" w:hAnsi="Times New Roman"/>
          <w:sz w:val="20"/>
          <w:szCs w:val="20"/>
        </w:rPr>
        <w:t xml:space="preserve"> – Statutory interpretation that considers the legislative intent, purpose, and history of the statute, as well as the context of the language.</w:t>
      </w:r>
    </w:p>
    <w:p w:rsidR="00B627A2" w:rsidRPr="008E27E3" w:rsidRDefault="00B627A2" w:rsidP="006E7F83">
      <w:pPr>
        <w:rPr>
          <w:rFonts w:ascii="Times New Roman" w:hAnsi="Times New Roman"/>
          <w:b/>
          <w:sz w:val="20"/>
          <w:szCs w:val="20"/>
        </w:rPr>
      </w:pPr>
    </w:p>
    <w:p w:rsidR="00EB7726" w:rsidRPr="008E27E3" w:rsidRDefault="00EB7726" w:rsidP="006E7F83">
      <w:pPr>
        <w:rPr>
          <w:rFonts w:ascii="Times New Roman" w:hAnsi="Times New Roman"/>
          <w:sz w:val="20"/>
          <w:szCs w:val="20"/>
        </w:rPr>
      </w:pPr>
      <w:r w:rsidRPr="008E27E3">
        <w:rPr>
          <w:rFonts w:ascii="Times New Roman" w:hAnsi="Times New Roman"/>
          <w:b/>
          <w:sz w:val="20"/>
          <w:szCs w:val="20"/>
        </w:rPr>
        <w:t xml:space="preserve">System of Courts </w:t>
      </w:r>
      <w:r w:rsidRPr="008E27E3">
        <w:rPr>
          <w:rFonts w:ascii="Times New Roman" w:hAnsi="Times New Roman"/>
          <w:sz w:val="20"/>
          <w:szCs w:val="20"/>
        </w:rPr>
        <w:t xml:space="preserve">– The organization of courts into a hierarchy that designates the responsibilities of the court and determines the importance of the </w:t>
      </w:r>
      <w:r w:rsidR="00CF5B68" w:rsidRPr="008E27E3">
        <w:rPr>
          <w:rFonts w:ascii="Times New Roman" w:hAnsi="Times New Roman"/>
          <w:sz w:val="20"/>
          <w:szCs w:val="20"/>
        </w:rPr>
        <w:t>precedent</w:t>
      </w:r>
      <w:r w:rsidRPr="008E27E3">
        <w:rPr>
          <w:rFonts w:ascii="Times New Roman" w:hAnsi="Times New Roman"/>
          <w:sz w:val="20"/>
          <w:szCs w:val="20"/>
        </w:rPr>
        <w:t>; the standard system has three levels:</w:t>
      </w:r>
      <w:r w:rsidR="00CF5B68" w:rsidRPr="008E27E3">
        <w:rPr>
          <w:rFonts w:ascii="Times New Roman" w:hAnsi="Times New Roman"/>
          <w:sz w:val="20"/>
          <w:szCs w:val="20"/>
        </w:rPr>
        <w:t xml:space="preserve"> </w:t>
      </w:r>
      <w:r w:rsidRPr="008E27E3">
        <w:rPr>
          <w:rFonts w:ascii="Times New Roman" w:hAnsi="Times New Roman"/>
          <w:sz w:val="20"/>
          <w:szCs w:val="20"/>
        </w:rPr>
        <w:t>trial, appeal, and final appeal.</w:t>
      </w:r>
    </w:p>
    <w:p w:rsidR="00B627A2" w:rsidRPr="008E27E3" w:rsidRDefault="00B627A2" w:rsidP="006E7F83">
      <w:pPr>
        <w:rPr>
          <w:rFonts w:ascii="Times New Roman" w:hAnsi="Times New Roman"/>
          <w:b/>
          <w:sz w:val="20"/>
          <w:szCs w:val="20"/>
        </w:rPr>
      </w:pPr>
    </w:p>
    <w:p w:rsidR="00EB7726" w:rsidRPr="008E27E3" w:rsidRDefault="00EB7726" w:rsidP="006E7F83">
      <w:pPr>
        <w:rPr>
          <w:rFonts w:ascii="Times New Roman" w:hAnsi="Times New Roman"/>
          <w:sz w:val="20"/>
          <w:szCs w:val="20"/>
        </w:rPr>
      </w:pPr>
      <w:r w:rsidRPr="008E27E3">
        <w:rPr>
          <w:rFonts w:ascii="Times New Roman" w:hAnsi="Times New Roman"/>
          <w:b/>
          <w:sz w:val="20"/>
          <w:szCs w:val="20"/>
        </w:rPr>
        <w:t>Equity</w:t>
      </w:r>
      <w:r w:rsidRPr="008E27E3">
        <w:rPr>
          <w:rFonts w:ascii="Times New Roman" w:hAnsi="Times New Roman"/>
          <w:sz w:val="20"/>
          <w:szCs w:val="20"/>
        </w:rPr>
        <w:t xml:space="preserve"> – Rules developed by the courts of equity as exceptions to existing rules of common law.</w:t>
      </w:r>
    </w:p>
    <w:p w:rsidR="00B627A2" w:rsidRPr="008E27E3" w:rsidRDefault="00B627A2" w:rsidP="006E7F83">
      <w:pPr>
        <w:rPr>
          <w:rFonts w:ascii="Times New Roman" w:hAnsi="Times New Roman"/>
          <w:b/>
          <w:sz w:val="20"/>
          <w:szCs w:val="20"/>
        </w:rPr>
      </w:pPr>
    </w:p>
    <w:p w:rsidR="00EB7726" w:rsidRPr="008E27E3" w:rsidRDefault="00EB7726" w:rsidP="006E7F83">
      <w:pPr>
        <w:rPr>
          <w:rFonts w:ascii="Times New Roman" w:hAnsi="Times New Roman"/>
          <w:sz w:val="20"/>
          <w:szCs w:val="20"/>
        </w:rPr>
      </w:pPr>
      <w:r w:rsidRPr="008E27E3">
        <w:rPr>
          <w:rFonts w:ascii="Times New Roman" w:hAnsi="Times New Roman"/>
          <w:b/>
          <w:sz w:val="20"/>
          <w:szCs w:val="20"/>
        </w:rPr>
        <w:t>Equitable remedies</w:t>
      </w:r>
      <w:r w:rsidRPr="008E27E3">
        <w:rPr>
          <w:rFonts w:ascii="Times New Roman" w:hAnsi="Times New Roman"/>
          <w:sz w:val="20"/>
          <w:szCs w:val="20"/>
        </w:rPr>
        <w:t xml:space="preserve"> – New remedies created by the courts of equity to address situations where money damages did not solve the problem. </w:t>
      </w:r>
    </w:p>
    <w:p w:rsidR="00B627A2" w:rsidRPr="008E27E3" w:rsidRDefault="00B627A2" w:rsidP="006E7F83">
      <w:pPr>
        <w:rPr>
          <w:rFonts w:ascii="Times New Roman" w:hAnsi="Times New Roman"/>
          <w:b/>
          <w:sz w:val="20"/>
          <w:szCs w:val="20"/>
        </w:rPr>
      </w:pPr>
    </w:p>
    <w:p w:rsidR="00EB7726" w:rsidRPr="008E27E3" w:rsidRDefault="00EB7726" w:rsidP="006E7F83">
      <w:pPr>
        <w:rPr>
          <w:rFonts w:ascii="Times New Roman" w:hAnsi="Times New Roman"/>
          <w:sz w:val="20"/>
          <w:szCs w:val="20"/>
        </w:rPr>
      </w:pPr>
      <w:r w:rsidRPr="008E27E3">
        <w:rPr>
          <w:rFonts w:ascii="Times New Roman" w:hAnsi="Times New Roman"/>
          <w:b/>
          <w:sz w:val="20"/>
          <w:szCs w:val="20"/>
        </w:rPr>
        <w:t>Specific Performance</w:t>
      </w:r>
      <w:r w:rsidRPr="008E27E3">
        <w:rPr>
          <w:rFonts w:ascii="Times New Roman" w:hAnsi="Times New Roman"/>
          <w:sz w:val="20"/>
          <w:szCs w:val="20"/>
        </w:rPr>
        <w:t xml:space="preserve"> – An order by a court of equity to carry out a binding obligation.</w:t>
      </w:r>
    </w:p>
    <w:p w:rsidR="00B627A2" w:rsidRPr="008E27E3" w:rsidRDefault="00B627A2" w:rsidP="006E7F83">
      <w:pPr>
        <w:rPr>
          <w:rFonts w:ascii="Times New Roman" w:hAnsi="Times New Roman"/>
          <w:b/>
          <w:sz w:val="20"/>
          <w:szCs w:val="20"/>
        </w:rPr>
      </w:pPr>
    </w:p>
    <w:p w:rsidR="00EB7726" w:rsidRPr="008E27E3" w:rsidRDefault="00EB7726" w:rsidP="006E7F83">
      <w:pPr>
        <w:rPr>
          <w:rFonts w:ascii="Times New Roman" w:hAnsi="Times New Roman"/>
          <w:sz w:val="20"/>
          <w:szCs w:val="20"/>
        </w:rPr>
      </w:pPr>
      <w:r w:rsidRPr="008E27E3">
        <w:rPr>
          <w:rFonts w:ascii="Times New Roman" w:hAnsi="Times New Roman"/>
          <w:b/>
          <w:sz w:val="20"/>
          <w:szCs w:val="20"/>
        </w:rPr>
        <w:t>Unincorporated Collectivity</w:t>
      </w:r>
      <w:r w:rsidRPr="008E27E3">
        <w:rPr>
          <w:rFonts w:ascii="Times New Roman" w:hAnsi="Times New Roman"/>
          <w:sz w:val="20"/>
          <w:szCs w:val="20"/>
        </w:rPr>
        <w:t xml:space="preserve"> – A group of persons that in most cases is not recognized by the courts and that may not sue or be sued.</w:t>
      </w:r>
    </w:p>
    <w:p w:rsidR="00B627A2" w:rsidRPr="008E27E3" w:rsidRDefault="00B627A2" w:rsidP="006E7F83">
      <w:pPr>
        <w:rPr>
          <w:rFonts w:ascii="Times New Roman" w:hAnsi="Times New Roman"/>
          <w:b/>
          <w:sz w:val="20"/>
          <w:szCs w:val="20"/>
        </w:rPr>
      </w:pPr>
    </w:p>
    <w:p w:rsidR="00EB7726" w:rsidRPr="008E27E3" w:rsidRDefault="00EB7726" w:rsidP="006E7F83">
      <w:pPr>
        <w:rPr>
          <w:rFonts w:ascii="Times New Roman" w:hAnsi="Times New Roman"/>
          <w:sz w:val="20"/>
          <w:szCs w:val="20"/>
        </w:rPr>
      </w:pPr>
      <w:r w:rsidRPr="008E27E3">
        <w:rPr>
          <w:rFonts w:ascii="Times New Roman" w:hAnsi="Times New Roman"/>
          <w:b/>
          <w:sz w:val="20"/>
          <w:szCs w:val="20"/>
        </w:rPr>
        <w:t>Class Action</w:t>
      </w:r>
      <w:r w:rsidRPr="008E27E3">
        <w:rPr>
          <w:rFonts w:ascii="Times New Roman" w:hAnsi="Times New Roman"/>
          <w:sz w:val="20"/>
          <w:szCs w:val="20"/>
        </w:rPr>
        <w:t xml:space="preserve"> – An action in which an individual represents a group of possible plaintiffs and the judgement decides the matter for all members of the class at once.</w:t>
      </w:r>
    </w:p>
    <w:p w:rsidR="00B627A2" w:rsidRPr="008E27E3" w:rsidRDefault="00B627A2" w:rsidP="006E7F83">
      <w:pPr>
        <w:rPr>
          <w:rFonts w:ascii="Times New Roman" w:hAnsi="Times New Roman"/>
          <w:b/>
          <w:sz w:val="20"/>
          <w:szCs w:val="20"/>
        </w:rPr>
      </w:pPr>
    </w:p>
    <w:p w:rsidR="002C4BCA" w:rsidRPr="008E27E3" w:rsidRDefault="00EB7726" w:rsidP="006E7F83">
      <w:pPr>
        <w:rPr>
          <w:rFonts w:ascii="Times New Roman" w:hAnsi="Times New Roman"/>
          <w:sz w:val="20"/>
          <w:szCs w:val="20"/>
        </w:rPr>
      </w:pPr>
      <w:r w:rsidRPr="008E27E3">
        <w:rPr>
          <w:rFonts w:ascii="Times New Roman" w:hAnsi="Times New Roman"/>
          <w:b/>
          <w:sz w:val="20"/>
          <w:szCs w:val="20"/>
        </w:rPr>
        <w:t>Res Judicata</w:t>
      </w:r>
      <w:r w:rsidRPr="008E27E3">
        <w:rPr>
          <w:rFonts w:ascii="Times New Roman" w:hAnsi="Times New Roman"/>
          <w:sz w:val="20"/>
          <w:szCs w:val="20"/>
        </w:rPr>
        <w:t xml:space="preserve"> – A case that has already been decided by a court and cannot be brought before a court again.</w:t>
      </w:r>
    </w:p>
    <w:p w:rsidR="00B627A2" w:rsidRPr="008E27E3" w:rsidRDefault="00B627A2" w:rsidP="006E7F83">
      <w:pPr>
        <w:rPr>
          <w:rFonts w:ascii="Times New Roman" w:hAnsi="Times New Roman"/>
          <w:b/>
          <w:sz w:val="20"/>
          <w:szCs w:val="20"/>
        </w:rPr>
      </w:pPr>
    </w:p>
    <w:p w:rsidR="002C4BCA" w:rsidRPr="008E27E3" w:rsidRDefault="002C4BCA" w:rsidP="006E7F83">
      <w:pPr>
        <w:rPr>
          <w:rFonts w:ascii="Times New Roman" w:hAnsi="Times New Roman"/>
          <w:sz w:val="20"/>
          <w:szCs w:val="20"/>
        </w:rPr>
      </w:pPr>
      <w:r w:rsidRPr="008E27E3">
        <w:rPr>
          <w:rFonts w:ascii="Times New Roman" w:hAnsi="Times New Roman"/>
          <w:b/>
          <w:sz w:val="20"/>
          <w:szCs w:val="20"/>
        </w:rPr>
        <w:t xml:space="preserve">Settlement </w:t>
      </w:r>
      <w:r w:rsidRPr="008E27E3">
        <w:rPr>
          <w:rFonts w:ascii="Times New Roman" w:hAnsi="Times New Roman"/>
          <w:sz w:val="20"/>
          <w:szCs w:val="20"/>
        </w:rPr>
        <w:t xml:space="preserve">– An out-of0court procedure by which one of the parties agrees to pay a sum of money or perform an act in </w:t>
      </w:r>
      <w:r w:rsidR="00CF5B68" w:rsidRPr="008E27E3">
        <w:rPr>
          <w:rFonts w:ascii="Times New Roman" w:hAnsi="Times New Roman"/>
          <w:sz w:val="20"/>
          <w:szCs w:val="20"/>
        </w:rPr>
        <w:t>return</w:t>
      </w:r>
      <w:r w:rsidRPr="008E27E3">
        <w:rPr>
          <w:rFonts w:ascii="Times New Roman" w:hAnsi="Times New Roman"/>
          <w:sz w:val="20"/>
          <w:szCs w:val="20"/>
        </w:rPr>
        <w:t xml:space="preserve"> for a waiver by the other party of all rights arising from the grievance. </w:t>
      </w:r>
    </w:p>
    <w:p w:rsidR="00B627A2" w:rsidRPr="008E27E3" w:rsidRDefault="00B627A2" w:rsidP="006E7F83">
      <w:pPr>
        <w:rPr>
          <w:rFonts w:ascii="Times New Roman" w:hAnsi="Times New Roman"/>
          <w:b/>
          <w:sz w:val="20"/>
          <w:szCs w:val="20"/>
        </w:rPr>
      </w:pPr>
    </w:p>
    <w:p w:rsidR="002C4BCA" w:rsidRPr="008E27E3" w:rsidRDefault="002C4BCA" w:rsidP="006E7F83">
      <w:pPr>
        <w:rPr>
          <w:rFonts w:ascii="Times New Roman" w:hAnsi="Times New Roman"/>
          <w:sz w:val="20"/>
          <w:szCs w:val="20"/>
        </w:rPr>
      </w:pPr>
      <w:r w:rsidRPr="008E27E3">
        <w:rPr>
          <w:rFonts w:ascii="Times New Roman" w:hAnsi="Times New Roman"/>
          <w:b/>
          <w:sz w:val="20"/>
          <w:szCs w:val="20"/>
        </w:rPr>
        <w:t>Statement of Defence</w:t>
      </w:r>
      <w:r w:rsidRPr="008E27E3">
        <w:rPr>
          <w:rFonts w:ascii="Times New Roman" w:hAnsi="Times New Roman"/>
          <w:sz w:val="20"/>
          <w:szCs w:val="20"/>
        </w:rPr>
        <w:t xml:space="preserve"> – A reply to a statement of claim, admitting facts not in dispute, denying other facts, and setting out facts in support of the defence.</w:t>
      </w:r>
    </w:p>
    <w:p w:rsidR="00B627A2" w:rsidRPr="008E27E3" w:rsidRDefault="00B627A2" w:rsidP="006E7F83">
      <w:pPr>
        <w:rPr>
          <w:rFonts w:ascii="Times New Roman" w:hAnsi="Times New Roman"/>
          <w:b/>
          <w:sz w:val="20"/>
          <w:szCs w:val="20"/>
        </w:rPr>
      </w:pPr>
    </w:p>
    <w:p w:rsidR="002C4BCA" w:rsidRPr="008E27E3" w:rsidRDefault="002C4BCA" w:rsidP="006E7F83">
      <w:pPr>
        <w:rPr>
          <w:rFonts w:ascii="Times New Roman" w:hAnsi="Times New Roman"/>
          <w:sz w:val="20"/>
          <w:szCs w:val="20"/>
        </w:rPr>
      </w:pPr>
      <w:r w:rsidRPr="008E27E3">
        <w:rPr>
          <w:rFonts w:ascii="Times New Roman" w:hAnsi="Times New Roman"/>
          <w:b/>
          <w:sz w:val="20"/>
          <w:szCs w:val="20"/>
        </w:rPr>
        <w:t>Pleadings</w:t>
      </w:r>
      <w:r w:rsidRPr="008E27E3">
        <w:rPr>
          <w:rFonts w:ascii="Times New Roman" w:hAnsi="Times New Roman"/>
          <w:sz w:val="20"/>
          <w:szCs w:val="20"/>
        </w:rPr>
        <w:t xml:space="preserve"> – Documents filed by each party to an action providing information it intends to prove in court.</w:t>
      </w:r>
    </w:p>
    <w:p w:rsidR="00B627A2" w:rsidRPr="008E27E3" w:rsidRDefault="00B627A2" w:rsidP="006E7F83">
      <w:pPr>
        <w:rPr>
          <w:rFonts w:ascii="Times New Roman" w:hAnsi="Times New Roman"/>
          <w:b/>
          <w:sz w:val="20"/>
          <w:szCs w:val="20"/>
        </w:rPr>
      </w:pPr>
    </w:p>
    <w:p w:rsidR="00B627A2" w:rsidRPr="008E27E3" w:rsidRDefault="002C4BCA" w:rsidP="006E7F83">
      <w:pPr>
        <w:rPr>
          <w:rFonts w:ascii="Times New Roman" w:hAnsi="Times New Roman"/>
          <w:sz w:val="20"/>
          <w:szCs w:val="20"/>
        </w:rPr>
      </w:pPr>
      <w:r w:rsidRPr="008E27E3">
        <w:rPr>
          <w:rFonts w:ascii="Times New Roman" w:hAnsi="Times New Roman"/>
          <w:b/>
          <w:sz w:val="20"/>
          <w:szCs w:val="20"/>
        </w:rPr>
        <w:t>Examination for Discovery</w:t>
      </w:r>
      <w:r w:rsidRPr="008E27E3">
        <w:rPr>
          <w:rFonts w:ascii="Times New Roman" w:hAnsi="Times New Roman"/>
          <w:sz w:val="20"/>
          <w:szCs w:val="20"/>
        </w:rPr>
        <w:t xml:space="preserve"> – Process allowing either party to examine the other in order </w:t>
      </w:r>
    </w:p>
    <w:p w:rsidR="002C4BCA" w:rsidRPr="008E27E3" w:rsidRDefault="002C4BCA" w:rsidP="006E7F83">
      <w:pPr>
        <w:rPr>
          <w:rFonts w:ascii="Times New Roman" w:hAnsi="Times New Roman"/>
          <w:sz w:val="20"/>
          <w:szCs w:val="20"/>
        </w:rPr>
      </w:pPr>
      <w:r w:rsidRPr="008E27E3">
        <w:rPr>
          <w:rFonts w:ascii="Times New Roman" w:hAnsi="Times New Roman"/>
          <w:sz w:val="20"/>
          <w:szCs w:val="20"/>
        </w:rPr>
        <w:t>to narrow the issues.</w:t>
      </w:r>
    </w:p>
    <w:p w:rsidR="00B627A2" w:rsidRPr="008E27E3" w:rsidRDefault="00B627A2" w:rsidP="006E7F83">
      <w:pPr>
        <w:rPr>
          <w:rFonts w:ascii="Times New Roman" w:hAnsi="Times New Roman"/>
          <w:b/>
          <w:sz w:val="20"/>
          <w:szCs w:val="20"/>
        </w:rPr>
      </w:pPr>
    </w:p>
    <w:p w:rsidR="002C4BCA" w:rsidRPr="008E27E3" w:rsidRDefault="002C4BCA" w:rsidP="006E7F83">
      <w:pPr>
        <w:rPr>
          <w:rFonts w:ascii="Times New Roman" w:hAnsi="Times New Roman"/>
          <w:sz w:val="20"/>
          <w:szCs w:val="20"/>
        </w:rPr>
      </w:pPr>
      <w:r w:rsidRPr="008E27E3">
        <w:rPr>
          <w:rFonts w:ascii="Times New Roman" w:hAnsi="Times New Roman"/>
          <w:b/>
          <w:sz w:val="20"/>
          <w:szCs w:val="20"/>
        </w:rPr>
        <w:t>Solicitor-Client Fee</w:t>
      </w:r>
      <w:r w:rsidRPr="008E27E3">
        <w:rPr>
          <w:rFonts w:ascii="Times New Roman" w:hAnsi="Times New Roman"/>
          <w:sz w:val="20"/>
          <w:szCs w:val="20"/>
        </w:rPr>
        <w:t xml:space="preserve"> – Payment for the time and expenses of a lawyer in preparing a case and representing the client in negotiations to settle or in court.</w:t>
      </w:r>
    </w:p>
    <w:p w:rsidR="00B627A2" w:rsidRPr="008E27E3" w:rsidRDefault="00B627A2" w:rsidP="006E7F83">
      <w:pPr>
        <w:rPr>
          <w:rFonts w:ascii="Times New Roman" w:hAnsi="Times New Roman"/>
          <w:b/>
          <w:sz w:val="20"/>
          <w:szCs w:val="20"/>
        </w:rPr>
      </w:pPr>
    </w:p>
    <w:p w:rsidR="002C4BCA" w:rsidRPr="008E27E3" w:rsidRDefault="002C4BCA" w:rsidP="006E7F83">
      <w:pPr>
        <w:rPr>
          <w:rFonts w:ascii="Times New Roman" w:hAnsi="Times New Roman"/>
          <w:sz w:val="20"/>
          <w:szCs w:val="20"/>
        </w:rPr>
      </w:pPr>
      <w:r w:rsidRPr="008E27E3">
        <w:rPr>
          <w:rFonts w:ascii="Times New Roman" w:hAnsi="Times New Roman"/>
          <w:b/>
          <w:sz w:val="20"/>
          <w:szCs w:val="20"/>
        </w:rPr>
        <w:t>Party and Party Costs</w:t>
      </w:r>
      <w:r w:rsidRPr="008E27E3">
        <w:rPr>
          <w:rFonts w:ascii="Times New Roman" w:hAnsi="Times New Roman"/>
          <w:sz w:val="20"/>
          <w:szCs w:val="20"/>
        </w:rPr>
        <w:t xml:space="preserve"> – An award that shifts some of the costs of litigation to the losing side according to a published scale of fees.</w:t>
      </w:r>
    </w:p>
    <w:p w:rsidR="00B627A2" w:rsidRPr="008E27E3" w:rsidRDefault="00B627A2" w:rsidP="006E7F83">
      <w:pPr>
        <w:rPr>
          <w:rFonts w:ascii="Times New Roman" w:hAnsi="Times New Roman"/>
          <w:b/>
          <w:sz w:val="20"/>
          <w:szCs w:val="20"/>
        </w:rPr>
      </w:pPr>
    </w:p>
    <w:p w:rsidR="002C4BCA" w:rsidRPr="008E27E3" w:rsidRDefault="002C4BCA" w:rsidP="006E7F83">
      <w:pPr>
        <w:rPr>
          <w:rFonts w:ascii="Times New Roman" w:hAnsi="Times New Roman"/>
          <w:sz w:val="20"/>
          <w:szCs w:val="20"/>
        </w:rPr>
      </w:pPr>
      <w:r w:rsidRPr="008E27E3">
        <w:rPr>
          <w:rFonts w:ascii="Times New Roman" w:hAnsi="Times New Roman"/>
          <w:b/>
          <w:sz w:val="20"/>
          <w:szCs w:val="20"/>
        </w:rPr>
        <w:t>Contingent or Contingency Fee</w:t>
      </w:r>
      <w:r w:rsidRPr="008E27E3">
        <w:rPr>
          <w:rFonts w:ascii="Times New Roman" w:hAnsi="Times New Roman"/>
          <w:sz w:val="20"/>
          <w:szCs w:val="20"/>
        </w:rPr>
        <w:t xml:space="preserve"> – A fee paid for a lawyer’s services only if the client is successful; there is no charge if the client is unsuccessful.</w:t>
      </w:r>
    </w:p>
    <w:p w:rsidR="00B627A2" w:rsidRPr="008E27E3" w:rsidRDefault="00B627A2" w:rsidP="006E7F83">
      <w:pPr>
        <w:rPr>
          <w:rFonts w:ascii="Times New Roman" w:hAnsi="Times New Roman"/>
          <w:b/>
          <w:sz w:val="20"/>
          <w:szCs w:val="20"/>
        </w:rPr>
      </w:pPr>
    </w:p>
    <w:p w:rsidR="002C4BCA" w:rsidRPr="008E27E3" w:rsidRDefault="002C4BCA" w:rsidP="006E7F83">
      <w:pPr>
        <w:rPr>
          <w:rFonts w:ascii="Times New Roman" w:hAnsi="Times New Roman"/>
          <w:sz w:val="20"/>
          <w:szCs w:val="20"/>
        </w:rPr>
      </w:pPr>
      <w:r w:rsidRPr="008E27E3">
        <w:rPr>
          <w:rFonts w:ascii="Times New Roman" w:hAnsi="Times New Roman"/>
          <w:b/>
          <w:sz w:val="20"/>
          <w:szCs w:val="20"/>
        </w:rPr>
        <w:t xml:space="preserve">Arbitration </w:t>
      </w:r>
      <w:r w:rsidRPr="008E27E3">
        <w:rPr>
          <w:rFonts w:ascii="Times New Roman" w:hAnsi="Times New Roman"/>
          <w:sz w:val="20"/>
          <w:szCs w:val="20"/>
        </w:rPr>
        <w:t>– A form of Alternative Dispute Resolution where a dispute is referred to an arbitrator who adjudicates the matter and the parties agree to be bound by the arbitrator’s decision, although there may be a right to appeal to the courts.</w:t>
      </w:r>
    </w:p>
    <w:p w:rsidR="00B627A2" w:rsidRPr="008E27E3" w:rsidRDefault="00B627A2" w:rsidP="006E7F83">
      <w:pPr>
        <w:rPr>
          <w:rFonts w:ascii="Times New Roman" w:hAnsi="Times New Roman"/>
          <w:b/>
          <w:sz w:val="20"/>
          <w:szCs w:val="20"/>
        </w:rPr>
      </w:pPr>
    </w:p>
    <w:p w:rsidR="00A527B0" w:rsidRPr="006E7F83" w:rsidRDefault="002C4BCA" w:rsidP="006E7F83">
      <w:pPr>
        <w:rPr>
          <w:rFonts w:ascii="Times New Roman" w:hAnsi="Times New Roman"/>
        </w:rPr>
      </w:pPr>
      <w:r w:rsidRPr="008E27E3">
        <w:rPr>
          <w:rFonts w:ascii="Times New Roman" w:hAnsi="Times New Roman"/>
          <w:b/>
          <w:sz w:val="20"/>
          <w:szCs w:val="20"/>
        </w:rPr>
        <w:t>Mediation</w:t>
      </w:r>
      <w:r w:rsidRPr="008E27E3">
        <w:rPr>
          <w:rFonts w:ascii="Times New Roman" w:hAnsi="Times New Roman"/>
          <w:sz w:val="20"/>
          <w:szCs w:val="20"/>
        </w:rPr>
        <w:t xml:space="preserve"> – A form of ADR where a neutral third party who is acceptable to both sides acts as a mediator, assisting the parties to reach a settlement</w:t>
      </w:r>
      <w:r>
        <w:rPr>
          <w:rFonts w:ascii="Times New Roman" w:hAnsi="Times New Roman"/>
        </w:rPr>
        <w:t>.</w:t>
      </w:r>
    </w:p>
    <w:sectPr w:rsidR="00A527B0" w:rsidRPr="006E7F83" w:rsidSect="008E27E3">
      <w:pgSz w:w="12240" w:h="15840"/>
      <w:pgMar w:top="720" w:right="720" w:bottom="720" w:left="72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GoudyStd">
    <w:altName w:val="Cambria"/>
    <w:panose1 w:val="020B0604020202020204"/>
    <w:charset w:val="00"/>
    <w:family w:val="roman"/>
    <w:notTrueType/>
    <w:pitch w:val="default"/>
  </w:font>
  <w:font w:name="ZapfDingbatsStd">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591A"/>
    <w:multiLevelType w:val="hybridMultilevel"/>
    <w:tmpl w:val="9820A74E"/>
    <w:lvl w:ilvl="0" w:tplc="E0163702">
      <w:start w:val="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27289B"/>
    <w:multiLevelType w:val="multilevel"/>
    <w:tmpl w:val="0D42100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doNotDisplayPageBoundaries/>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Setting w:name="useWord2013TrackBottomHyphenation" w:uri="http://schemas.microsoft.com/office/word" w:val="1"/>
  </w:compat>
  <w:rsids>
    <w:rsidRoot w:val="00D47349"/>
    <w:rsid w:val="000668A0"/>
    <w:rsid w:val="0007291F"/>
    <w:rsid w:val="000F685E"/>
    <w:rsid w:val="002C4BCA"/>
    <w:rsid w:val="002F15A7"/>
    <w:rsid w:val="004B5867"/>
    <w:rsid w:val="005F7D9B"/>
    <w:rsid w:val="00640DF5"/>
    <w:rsid w:val="006E7F83"/>
    <w:rsid w:val="00792E60"/>
    <w:rsid w:val="007E0C0F"/>
    <w:rsid w:val="007E2A57"/>
    <w:rsid w:val="00812BD0"/>
    <w:rsid w:val="00851EDD"/>
    <w:rsid w:val="008D31EF"/>
    <w:rsid w:val="008E27E3"/>
    <w:rsid w:val="00956C18"/>
    <w:rsid w:val="00987D60"/>
    <w:rsid w:val="00A527B0"/>
    <w:rsid w:val="00B03E70"/>
    <w:rsid w:val="00B51E95"/>
    <w:rsid w:val="00B627A2"/>
    <w:rsid w:val="00BE76A8"/>
    <w:rsid w:val="00CA3DAC"/>
    <w:rsid w:val="00CF5B68"/>
    <w:rsid w:val="00D47349"/>
    <w:rsid w:val="00E22571"/>
    <w:rsid w:val="00EB7726"/>
    <w:rsid w:val="00EC2A4A"/>
    <w:rsid w:val="00ED3D02"/>
    <w:rsid w:val="00FA54D8"/>
    <w:rsid w:val="00FA7809"/>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13CE2"/>
  <w15:docId w15:val="{5AAD7CE1-30CA-2047-8C58-67E89C18E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41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2A57"/>
    <w:pPr>
      <w:ind w:left="720"/>
      <w:contextualSpacing/>
    </w:pPr>
  </w:style>
  <w:style w:type="character" w:styleId="Strong">
    <w:name w:val="Strong"/>
    <w:basedOn w:val="DefaultParagraphFont"/>
    <w:uiPriority w:val="22"/>
    <w:qFormat/>
    <w:rsid w:val="002F15A7"/>
    <w:rPr>
      <w:b/>
      <w:bCs/>
    </w:rPr>
  </w:style>
  <w:style w:type="paragraph" w:styleId="NormalWeb">
    <w:name w:val="Normal (Web)"/>
    <w:basedOn w:val="Normal"/>
    <w:uiPriority w:val="99"/>
    <w:unhideWhenUsed/>
    <w:rsid w:val="00987D60"/>
    <w:pPr>
      <w:spacing w:before="100" w:beforeAutospacing="1" w:after="100" w:afterAutospacing="1"/>
    </w:pPr>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2333883">
      <w:bodyDiv w:val="1"/>
      <w:marLeft w:val="0"/>
      <w:marRight w:val="0"/>
      <w:marTop w:val="0"/>
      <w:marBottom w:val="0"/>
      <w:divBdr>
        <w:top w:val="none" w:sz="0" w:space="0" w:color="auto"/>
        <w:left w:val="none" w:sz="0" w:space="0" w:color="auto"/>
        <w:bottom w:val="none" w:sz="0" w:space="0" w:color="auto"/>
        <w:right w:val="none" w:sz="0" w:space="0" w:color="auto"/>
      </w:divBdr>
      <w:divsChild>
        <w:div w:id="834960318">
          <w:marLeft w:val="0"/>
          <w:marRight w:val="0"/>
          <w:marTop w:val="0"/>
          <w:marBottom w:val="0"/>
          <w:divBdr>
            <w:top w:val="none" w:sz="0" w:space="0" w:color="auto"/>
            <w:left w:val="none" w:sz="0" w:space="0" w:color="auto"/>
            <w:bottom w:val="none" w:sz="0" w:space="0" w:color="auto"/>
            <w:right w:val="none" w:sz="0" w:space="0" w:color="auto"/>
          </w:divBdr>
          <w:divsChild>
            <w:div w:id="1333989725">
              <w:marLeft w:val="0"/>
              <w:marRight w:val="0"/>
              <w:marTop w:val="0"/>
              <w:marBottom w:val="0"/>
              <w:divBdr>
                <w:top w:val="none" w:sz="0" w:space="0" w:color="auto"/>
                <w:left w:val="none" w:sz="0" w:space="0" w:color="auto"/>
                <w:bottom w:val="none" w:sz="0" w:space="0" w:color="auto"/>
                <w:right w:val="none" w:sz="0" w:space="0" w:color="auto"/>
              </w:divBdr>
              <w:divsChild>
                <w:div w:id="35805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732534">
      <w:bodyDiv w:val="1"/>
      <w:marLeft w:val="0"/>
      <w:marRight w:val="0"/>
      <w:marTop w:val="0"/>
      <w:marBottom w:val="0"/>
      <w:divBdr>
        <w:top w:val="none" w:sz="0" w:space="0" w:color="auto"/>
        <w:left w:val="none" w:sz="0" w:space="0" w:color="auto"/>
        <w:bottom w:val="none" w:sz="0" w:space="0" w:color="auto"/>
        <w:right w:val="none" w:sz="0" w:space="0" w:color="auto"/>
      </w:divBdr>
      <w:divsChild>
        <w:div w:id="2110467581">
          <w:marLeft w:val="0"/>
          <w:marRight w:val="0"/>
          <w:marTop w:val="0"/>
          <w:marBottom w:val="0"/>
          <w:divBdr>
            <w:top w:val="none" w:sz="0" w:space="0" w:color="auto"/>
            <w:left w:val="none" w:sz="0" w:space="0" w:color="auto"/>
            <w:bottom w:val="none" w:sz="0" w:space="0" w:color="auto"/>
            <w:right w:val="none" w:sz="0" w:space="0" w:color="auto"/>
          </w:divBdr>
          <w:divsChild>
            <w:div w:id="1852572772">
              <w:marLeft w:val="0"/>
              <w:marRight w:val="0"/>
              <w:marTop w:val="0"/>
              <w:marBottom w:val="0"/>
              <w:divBdr>
                <w:top w:val="none" w:sz="0" w:space="0" w:color="auto"/>
                <w:left w:val="none" w:sz="0" w:space="0" w:color="auto"/>
                <w:bottom w:val="none" w:sz="0" w:space="0" w:color="auto"/>
                <w:right w:val="none" w:sz="0" w:space="0" w:color="auto"/>
              </w:divBdr>
              <w:divsChild>
                <w:div w:id="193416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4</Pages>
  <Words>2788</Words>
  <Characters>15895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Windsor</Company>
  <LinksUpToDate>false</LinksUpToDate>
  <CharactersWithSpaces>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Pio</dc:creator>
  <cp:keywords/>
  <cp:lastModifiedBy>Zena Zwayyed</cp:lastModifiedBy>
  <cp:revision>10</cp:revision>
  <dcterms:created xsi:type="dcterms:W3CDTF">2013-05-21T23:02:00Z</dcterms:created>
  <dcterms:modified xsi:type="dcterms:W3CDTF">2019-01-19T00:58:00Z</dcterms:modified>
</cp:coreProperties>
</file>