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6E99" w:rsidRPr="00294A6C" w:rsidRDefault="00426E99">
      <w:pPr>
        <w:rPr>
          <w:rFonts w:asciiTheme="majorBidi" w:hAnsiTheme="majorBidi" w:cstheme="majorBidi"/>
          <w:sz w:val="20"/>
          <w:szCs w:val="20"/>
          <w:u w:val="single"/>
        </w:rPr>
      </w:pPr>
      <w:r w:rsidRPr="00294A6C">
        <w:rPr>
          <w:rFonts w:asciiTheme="majorBidi" w:hAnsiTheme="majorBidi" w:cstheme="majorBidi"/>
          <w:sz w:val="20"/>
          <w:szCs w:val="20"/>
          <w:u w:val="single"/>
        </w:rPr>
        <w:t>Chapter 4 – Professional Liability: The: Legal Challenges</w:t>
      </w:r>
    </w:p>
    <w:p w:rsidR="00426E99" w:rsidRPr="00294A6C" w:rsidRDefault="00426E99">
      <w:pPr>
        <w:rPr>
          <w:rFonts w:asciiTheme="majorBidi" w:hAnsiTheme="majorBidi" w:cstheme="majorBidi"/>
          <w:sz w:val="20"/>
          <w:szCs w:val="20"/>
        </w:rPr>
      </w:pPr>
    </w:p>
    <w:p w:rsidR="00426E99" w:rsidRPr="00294A6C" w:rsidRDefault="00426E99">
      <w:pPr>
        <w:rPr>
          <w:rFonts w:asciiTheme="majorBidi" w:hAnsiTheme="majorBidi" w:cstheme="majorBidi"/>
          <w:sz w:val="20"/>
          <w:szCs w:val="20"/>
          <w:u w:val="single"/>
        </w:rPr>
      </w:pPr>
      <w:r w:rsidRPr="00294A6C">
        <w:rPr>
          <w:rFonts w:asciiTheme="majorBidi" w:hAnsiTheme="majorBidi" w:cstheme="majorBidi"/>
          <w:sz w:val="20"/>
          <w:szCs w:val="20"/>
          <w:u w:val="single"/>
        </w:rPr>
        <w:t>Professional Liability: The Legal Challenges</w:t>
      </w:r>
    </w:p>
    <w:p w:rsidR="00426E99" w:rsidRPr="00294A6C" w:rsidRDefault="00426E99">
      <w:pPr>
        <w:rPr>
          <w:rFonts w:asciiTheme="majorBidi" w:hAnsiTheme="majorBidi" w:cstheme="majorBidi"/>
          <w:sz w:val="20"/>
          <w:szCs w:val="20"/>
        </w:rPr>
      </w:pPr>
      <w:r w:rsidRPr="00294A6C">
        <w:rPr>
          <w:rFonts w:asciiTheme="majorBidi" w:hAnsiTheme="majorBidi" w:cstheme="majorBidi"/>
          <w:sz w:val="20"/>
          <w:szCs w:val="20"/>
        </w:rPr>
        <w:t>We use the term “professionals” here to apply to people who have specialized knowledge and skills that their clients rely on and are prepared to pay for. Usually they belong to a professional organization and are licensed by that body to offer their services to the public. Professional opinions, obviously, are not infallible. Their value lies in assisting clients in decision-making and in increasing the likelihood that those decisions will be good. The use of professional services reduces risk. But when a client seeks and relies on professional advice that turns out to be wrong, the question arises: should the professional be liable for the loss or harm suffered by the client or even by someone else who relies on incorrect advice? Tort is one way to assign liability to a professional. Another way a professional may be found liable is for breach of contract if there is a contract to supply the advice. Finally, sometimes the professional must honour “fiduciary” responsibilities separate from any tort or contractual obligations.</w:t>
      </w:r>
    </w:p>
    <w:p w:rsidR="00426E99" w:rsidRPr="00294A6C" w:rsidRDefault="000E645A">
      <w:pPr>
        <w:rPr>
          <w:rFonts w:asciiTheme="majorBidi" w:hAnsiTheme="majorBidi" w:cstheme="majorBidi"/>
          <w:sz w:val="20"/>
          <w:szCs w:val="20"/>
        </w:rPr>
      </w:pPr>
      <w:r w:rsidRPr="00294A6C">
        <w:rPr>
          <w:rFonts w:asciiTheme="majorBidi" w:hAnsiTheme="majorBidi" w:cstheme="majorBidi"/>
          <w:sz w:val="20"/>
          <w:szCs w:val="20"/>
        </w:rPr>
        <w:tab/>
      </w:r>
      <w:r w:rsidR="00426E99" w:rsidRPr="00294A6C">
        <w:rPr>
          <w:rFonts w:asciiTheme="majorBidi" w:hAnsiTheme="majorBidi" w:cstheme="majorBidi"/>
          <w:sz w:val="20"/>
          <w:szCs w:val="20"/>
        </w:rPr>
        <w:t xml:space="preserve">“Results not </w:t>
      </w:r>
      <w:r w:rsidR="00395A48" w:rsidRPr="00294A6C">
        <w:rPr>
          <w:rFonts w:asciiTheme="majorBidi" w:hAnsiTheme="majorBidi" w:cstheme="majorBidi"/>
          <w:sz w:val="20"/>
          <w:szCs w:val="20"/>
        </w:rPr>
        <w:t>guaranteed</w:t>
      </w:r>
      <w:r w:rsidR="00426E99" w:rsidRPr="00294A6C">
        <w:rPr>
          <w:rFonts w:asciiTheme="majorBidi" w:hAnsiTheme="majorBidi" w:cstheme="majorBidi"/>
          <w:sz w:val="20"/>
          <w:szCs w:val="20"/>
        </w:rPr>
        <w:t xml:space="preserve"> Advice to impcore probability of good result.” </w:t>
      </w:r>
    </w:p>
    <w:p w:rsidR="00426E99" w:rsidRPr="00294A6C" w:rsidRDefault="000E645A">
      <w:pPr>
        <w:rPr>
          <w:rFonts w:asciiTheme="majorBidi" w:hAnsiTheme="majorBidi" w:cstheme="majorBidi"/>
          <w:sz w:val="20"/>
          <w:szCs w:val="20"/>
        </w:rPr>
      </w:pPr>
      <w:r w:rsidRPr="00294A6C">
        <w:rPr>
          <w:rFonts w:asciiTheme="majorBidi" w:hAnsiTheme="majorBidi" w:cstheme="majorBidi"/>
          <w:sz w:val="20"/>
          <w:szCs w:val="20"/>
        </w:rPr>
        <w:tab/>
      </w:r>
      <w:r w:rsidR="00426E99" w:rsidRPr="00294A6C">
        <w:rPr>
          <w:rFonts w:asciiTheme="majorBidi" w:hAnsiTheme="majorBidi" w:cstheme="majorBidi"/>
          <w:sz w:val="20"/>
          <w:szCs w:val="20"/>
        </w:rPr>
        <w:t>As fees rise, clients expect more for their money and, when they are disappointed, are more likely to sue. The process is something of a vicious circle and striking a fair balance can be a challenge for the courts.</w:t>
      </w:r>
    </w:p>
    <w:p w:rsidR="00426E99" w:rsidRPr="00294A6C" w:rsidRDefault="00426E99">
      <w:pPr>
        <w:rPr>
          <w:rFonts w:asciiTheme="majorBidi" w:hAnsiTheme="majorBidi" w:cstheme="majorBidi"/>
          <w:sz w:val="20"/>
          <w:szCs w:val="20"/>
        </w:rPr>
      </w:pPr>
    </w:p>
    <w:p w:rsidR="004504AE" w:rsidRPr="00294A6C" w:rsidRDefault="00426E99">
      <w:pPr>
        <w:rPr>
          <w:rFonts w:asciiTheme="majorBidi" w:hAnsiTheme="majorBidi" w:cstheme="majorBidi"/>
          <w:sz w:val="20"/>
          <w:szCs w:val="20"/>
          <w:u w:val="single"/>
        </w:rPr>
      </w:pPr>
      <w:r w:rsidRPr="00294A6C">
        <w:rPr>
          <w:rFonts w:asciiTheme="majorBidi" w:hAnsiTheme="majorBidi" w:cstheme="majorBidi"/>
          <w:sz w:val="20"/>
          <w:szCs w:val="20"/>
          <w:u w:val="single"/>
        </w:rPr>
        <w:t>Liability of Professionals</w:t>
      </w:r>
    </w:p>
    <w:p w:rsidR="004504AE" w:rsidRPr="00294A6C" w:rsidRDefault="004504AE">
      <w:pPr>
        <w:rPr>
          <w:rFonts w:asciiTheme="majorBidi" w:hAnsiTheme="majorBidi" w:cstheme="majorBidi"/>
          <w:sz w:val="20"/>
          <w:szCs w:val="20"/>
        </w:rPr>
      </w:pPr>
      <w:r w:rsidRPr="00294A6C">
        <w:rPr>
          <w:rFonts w:asciiTheme="majorBidi" w:hAnsiTheme="majorBidi" w:cstheme="majorBidi"/>
          <w:sz w:val="20"/>
          <w:szCs w:val="20"/>
        </w:rPr>
        <w:t>Liability may arise from three relationships, generating three different causes of action:</w:t>
      </w:r>
    </w:p>
    <w:p w:rsidR="004504AE" w:rsidRPr="00294A6C" w:rsidRDefault="004504AE" w:rsidP="004504AE">
      <w:pPr>
        <w:pStyle w:val="ListParagraph"/>
        <w:numPr>
          <w:ilvl w:val="0"/>
          <w:numId w:val="1"/>
        </w:numPr>
        <w:rPr>
          <w:rFonts w:asciiTheme="majorBidi" w:hAnsiTheme="majorBidi" w:cstheme="majorBidi"/>
          <w:sz w:val="20"/>
          <w:szCs w:val="20"/>
        </w:rPr>
      </w:pPr>
      <w:r w:rsidRPr="00294A6C">
        <w:rPr>
          <w:rFonts w:asciiTheme="majorBidi" w:hAnsiTheme="majorBidi" w:cstheme="majorBidi"/>
          <w:sz w:val="20"/>
          <w:szCs w:val="20"/>
        </w:rPr>
        <w:t>The contractual relationship leads to a breach of contract cause of action;</w:t>
      </w:r>
    </w:p>
    <w:p w:rsidR="004504AE" w:rsidRPr="00294A6C" w:rsidRDefault="004504AE" w:rsidP="004504AE">
      <w:pPr>
        <w:pStyle w:val="ListParagraph"/>
        <w:numPr>
          <w:ilvl w:val="0"/>
          <w:numId w:val="1"/>
        </w:numPr>
        <w:rPr>
          <w:rFonts w:asciiTheme="majorBidi" w:hAnsiTheme="majorBidi" w:cstheme="majorBidi"/>
          <w:sz w:val="20"/>
          <w:szCs w:val="20"/>
        </w:rPr>
      </w:pPr>
      <w:r w:rsidRPr="00294A6C">
        <w:rPr>
          <w:rFonts w:asciiTheme="majorBidi" w:hAnsiTheme="majorBidi" w:cstheme="majorBidi"/>
          <w:sz w:val="20"/>
          <w:szCs w:val="20"/>
        </w:rPr>
        <w:t>The fiduciary relationship leads to breach of fiduciary duty; and/or</w:t>
      </w:r>
    </w:p>
    <w:p w:rsidR="004504AE" w:rsidRPr="00294A6C" w:rsidRDefault="004504AE" w:rsidP="004504AE">
      <w:pPr>
        <w:pStyle w:val="ListParagraph"/>
        <w:numPr>
          <w:ilvl w:val="0"/>
          <w:numId w:val="1"/>
        </w:numPr>
        <w:rPr>
          <w:rFonts w:asciiTheme="majorBidi" w:hAnsiTheme="majorBidi" w:cstheme="majorBidi"/>
          <w:sz w:val="20"/>
          <w:szCs w:val="20"/>
        </w:rPr>
      </w:pPr>
      <w:r w:rsidRPr="00294A6C">
        <w:rPr>
          <w:rFonts w:asciiTheme="majorBidi" w:hAnsiTheme="majorBidi" w:cstheme="majorBidi"/>
          <w:sz w:val="20"/>
          <w:szCs w:val="20"/>
        </w:rPr>
        <w:t>The duty of care owed in tort leads to a tort cause of action</w:t>
      </w:r>
    </w:p>
    <w:p w:rsidR="004504AE" w:rsidRPr="00294A6C" w:rsidRDefault="004504AE" w:rsidP="004504AE">
      <w:pPr>
        <w:rPr>
          <w:rFonts w:asciiTheme="majorBidi" w:hAnsiTheme="majorBidi" w:cstheme="majorBidi"/>
          <w:sz w:val="20"/>
          <w:szCs w:val="20"/>
        </w:rPr>
      </w:pPr>
      <w:r w:rsidRPr="00294A6C">
        <w:rPr>
          <w:rFonts w:asciiTheme="majorBidi" w:hAnsiTheme="majorBidi" w:cstheme="majorBidi"/>
          <w:sz w:val="20"/>
          <w:szCs w:val="20"/>
        </w:rPr>
        <w:t xml:space="preserve">In most cases, the professional stands in a contractual relationship with her client. Because of the professional’s position of </w:t>
      </w:r>
      <w:proofErr w:type="gramStart"/>
      <w:r w:rsidRPr="00294A6C">
        <w:rPr>
          <w:rFonts w:asciiTheme="majorBidi" w:hAnsiTheme="majorBidi" w:cstheme="majorBidi"/>
          <w:sz w:val="20"/>
          <w:szCs w:val="20"/>
        </w:rPr>
        <w:t>authority</w:t>
      </w:r>
      <w:proofErr w:type="gramEnd"/>
      <w:r w:rsidRPr="00294A6C">
        <w:rPr>
          <w:rFonts w:asciiTheme="majorBidi" w:hAnsiTheme="majorBidi" w:cstheme="majorBidi"/>
          <w:sz w:val="20"/>
          <w:szCs w:val="20"/>
        </w:rPr>
        <w:t xml:space="preserve"> a special relationship of trust may also exist between professional and client, giving rise to a fiduciary duty. As well, a professional, like anyone else, owes a duty of care to persons who may foreseeably be injured by her negligence.</w:t>
      </w:r>
    </w:p>
    <w:p w:rsidR="004504AE" w:rsidRPr="00294A6C" w:rsidRDefault="004504AE" w:rsidP="004504AE">
      <w:pPr>
        <w:rPr>
          <w:rFonts w:asciiTheme="majorBidi" w:hAnsiTheme="majorBidi" w:cstheme="majorBidi"/>
          <w:sz w:val="20"/>
          <w:szCs w:val="20"/>
        </w:rPr>
      </w:pPr>
    </w:p>
    <w:p w:rsidR="004504AE" w:rsidRPr="00294A6C" w:rsidRDefault="004504AE" w:rsidP="004504AE">
      <w:pPr>
        <w:rPr>
          <w:rFonts w:asciiTheme="majorBidi" w:hAnsiTheme="majorBidi" w:cstheme="majorBidi"/>
          <w:b/>
          <w:sz w:val="20"/>
          <w:szCs w:val="20"/>
        </w:rPr>
      </w:pPr>
      <w:r w:rsidRPr="00294A6C">
        <w:rPr>
          <w:rFonts w:asciiTheme="majorBidi" w:hAnsiTheme="majorBidi" w:cstheme="majorBidi"/>
          <w:b/>
          <w:sz w:val="20"/>
          <w:szCs w:val="20"/>
        </w:rPr>
        <w:t xml:space="preserve">Contractual Obligations </w:t>
      </w:r>
    </w:p>
    <w:p w:rsidR="004504AE" w:rsidRPr="00294A6C" w:rsidRDefault="004504AE" w:rsidP="004504AE">
      <w:pPr>
        <w:rPr>
          <w:rFonts w:asciiTheme="majorBidi" w:hAnsiTheme="majorBidi" w:cstheme="majorBidi"/>
          <w:sz w:val="20"/>
          <w:szCs w:val="20"/>
        </w:rPr>
      </w:pPr>
      <w:r w:rsidRPr="00294A6C">
        <w:rPr>
          <w:rFonts w:asciiTheme="majorBidi" w:hAnsiTheme="majorBidi" w:cstheme="majorBidi"/>
          <w:sz w:val="20"/>
          <w:szCs w:val="20"/>
        </w:rPr>
        <w:t xml:space="preserve">An agreement to provide professional services to a client contains a promise, whether stated expressly or not, to perform those services competently. A breach of that promise is a breach of the contract and the client may then sue for damages. The next part of this book is devoted to the law of contracts, and subsequent chapters will discuss liability for breach of a contractual promise, including a promise to perform with due care. </w:t>
      </w:r>
      <w:r w:rsidR="000E645A" w:rsidRPr="00294A6C">
        <w:rPr>
          <w:rFonts w:asciiTheme="majorBidi" w:hAnsiTheme="majorBidi" w:cstheme="majorBidi"/>
          <w:sz w:val="20"/>
          <w:szCs w:val="20"/>
        </w:rPr>
        <w:tab/>
      </w:r>
      <w:r w:rsidRPr="00294A6C">
        <w:rPr>
          <w:rFonts w:asciiTheme="majorBidi" w:hAnsiTheme="majorBidi" w:cstheme="majorBidi"/>
          <w:sz w:val="20"/>
          <w:szCs w:val="20"/>
        </w:rPr>
        <w:t xml:space="preserve">Sometimes there is no contract between the professional and the injured party; in such circumstances fiduciary or tort liability are the only alternatives. </w:t>
      </w:r>
    </w:p>
    <w:p w:rsidR="004504AE" w:rsidRPr="00294A6C" w:rsidRDefault="004504AE" w:rsidP="004504AE">
      <w:pPr>
        <w:rPr>
          <w:rFonts w:asciiTheme="majorBidi" w:hAnsiTheme="majorBidi" w:cstheme="majorBidi"/>
          <w:sz w:val="20"/>
          <w:szCs w:val="20"/>
        </w:rPr>
      </w:pPr>
    </w:p>
    <w:p w:rsidR="004504AE" w:rsidRPr="00294A6C" w:rsidRDefault="004504AE" w:rsidP="004504AE">
      <w:pPr>
        <w:rPr>
          <w:rFonts w:asciiTheme="majorBidi" w:hAnsiTheme="majorBidi" w:cstheme="majorBidi"/>
          <w:b/>
          <w:sz w:val="20"/>
          <w:szCs w:val="20"/>
        </w:rPr>
      </w:pPr>
      <w:r w:rsidRPr="00294A6C">
        <w:rPr>
          <w:rFonts w:asciiTheme="majorBidi" w:hAnsiTheme="majorBidi" w:cstheme="majorBidi"/>
          <w:b/>
          <w:sz w:val="20"/>
          <w:szCs w:val="20"/>
        </w:rPr>
        <w:t>KNOW:</w:t>
      </w:r>
    </w:p>
    <w:p w:rsidR="004504AE" w:rsidRPr="00294A6C" w:rsidRDefault="004504AE" w:rsidP="004504AE">
      <w:pPr>
        <w:rPr>
          <w:rFonts w:asciiTheme="majorBidi" w:hAnsiTheme="majorBidi" w:cstheme="majorBidi"/>
          <w:sz w:val="20"/>
          <w:szCs w:val="20"/>
        </w:rPr>
      </w:pPr>
      <w:r w:rsidRPr="00294A6C">
        <w:rPr>
          <w:rFonts w:asciiTheme="majorBidi" w:hAnsiTheme="majorBidi" w:cstheme="majorBidi"/>
          <w:b/>
          <w:sz w:val="20"/>
          <w:szCs w:val="20"/>
        </w:rPr>
        <w:t xml:space="preserve">Fiduciary </w:t>
      </w:r>
      <w:proofErr w:type="gramStart"/>
      <w:r w:rsidRPr="00294A6C">
        <w:rPr>
          <w:rFonts w:asciiTheme="majorBidi" w:hAnsiTheme="majorBidi" w:cstheme="majorBidi"/>
          <w:b/>
          <w:sz w:val="20"/>
          <w:szCs w:val="20"/>
        </w:rPr>
        <w:t>Duty</w:t>
      </w:r>
      <w:r w:rsidR="000A2A06" w:rsidRPr="00294A6C">
        <w:rPr>
          <w:rFonts w:asciiTheme="majorBidi" w:hAnsiTheme="majorBidi" w:cstheme="majorBidi"/>
          <w:b/>
          <w:sz w:val="20"/>
          <w:szCs w:val="20"/>
        </w:rPr>
        <w:t xml:space="preserve"> </w:t>
      </w:r>
      <w:r w:rsidR="000A2A06" w:rsidRPr="00294A6C">
        <w:rPr>
          <w:rFonts w:asciiTheme="majorBidi" w:hAnsiTheme="majorBidi" w:cstheme="majorBidi"/>
          <w:sz w:val="20"/>
          <w:szCs w:val="20"/>
        </w:rPr>
        <w:t xml:space="preserve"> -</w:t>
      </w:r>
      <w:proofErr w:type="gramEnd"/>
      <w:r w:rsidR="000A2A06" w:rsidRPr="00294A6C">
        <w:rPr>
          <w:rFonts w:asciiTheme="majorBidi" w:hAnsiTheme="majorBidi" w:cstheme="majorBidi"/>
          <w:sz w:val="20"/>
          <w:szCs w:val="20"/>
        </w:rPr>
        <w:t xml:space="preserve"> </w:t>
      </w:r>
      <w:r w:rsidR="000A2A06" w:rsidRPr="00294A6C">
        <w:rPr>
          <w:rFonts w:asciiTheme="majorBidi" w:hAnsiTheme="majorBidi" w:cstheme="majorBidi"/>
          <w:i/>
          <w:sz w:val="20"/>
          <w:szCs w:val="20"/>
        </w:rPr>
        <w:t>Sometimes professionals owe fiduciary duties</w:t>
      </w:r>
    </w:p>
    <w:p w:rsidR="004504AE" w:rsidRPr="00294A6C" w:rsidRDefault="004504AE" w:rsidP="004504AE">
      <w:pPr>
        <w:rPr>
          <w:rFonts w:asciiTheme="majorBidi" w:hAnsiTheme="majorBidi" w:cstheme="majorBidi"/>
          <w:sz w:val="20"/>
          <w:szCs w:val="20"/>
        </w:rPr>
      </w:pPr>
      <w:r w:rsidRPr="00294A6C">
        <w:rPr>
          <w:rFonts w:asciiTheme="majorBidi" w:hAnsiTheme="majorBidi" w:cstheme="majorBidi"/>
          <w:sz w:val="20"/>
          <w:szCs w:val="20"/>
        </w:rPr>
        <w:t>A professional’s duty may extend beyond the terms of her contract in an important way. When a person is in a special relationship of trust with a professional, the law imposes a fiduciary duty on that professional. This fiduciary duty can arise even when the professional donates services free of charge, so that no contract exists.</w:t>
      </w:r>
    </w:p>
    <w:p w:rsidR="004504AE" w:rsidRPr="00294A6C" w:rsidRDefault="004504AE" w:rsidP="004504AE">
      <w:pPr>
        <w:rPr>
          <w:rFonts w:asciiTheme="majorBidi" w:hAnsiTheme="majorBidi" w:cstheme="majorBidi"/>
          <w:sz w:val="20"/>
          <w:szCs w:val="20"/>
        </w:rPr>
      </w:pPr>
      <w:r w:rsidRPr="00294A6C">
        <w:rPr>
          <w:rFonts w:asciiTheme="majorBidi" w:hAnsiTheme="majorBidi" w:cstheme="majorBidi"/>
          <w:sz w:val="20"/>
          <w:szCs w:val="20"/>
        </w:rPr>
        <w:tab/>
        <w:t xml:space="preserve">The first step to imposing liability for breach of fiduciary duty is establishing that the relationship is one to which the duty applies. In </w:t>
      </w:r>
      <w:r w:rsidRPr="00294A6C">
        <w:rPr>
          <w:rFonts w:asciiTheme="majorBidi" w:hAnsiTheme="majorBidi" w:cstheme="majorBidi"/>
          <w:i/>
          <w:sz w:val="20"/>
          <w:szCs w:val="20"/>
        </w:rPr>
        <w:t>Frame v. Smith</w:t>
      </w:r>
      <w:r w:rsidRPr="00294A6C">
        <w:rPr>
          <w:rFonts w:asciiTheme="majorBidi" w:hAnsiTheme="majorBidi" w:cstheme="majorBidi"/>
          <w:sz w:val="20"/>
          <w:szCs w:val="20"/>
        </w:rPr>
        <w:t>, the Supreme Court of Canada said fiduciary relationships have three characteristics:</w:t>
      </w:r>
    </w:p>
    <w:p w:rsidR="004504AE" w:rsidRPr="00294A6C" w:rsidRDefault="004504AE" w:rsidP="004504AE">
      <w:pPr>
        <w:pStyle w:val="ListParagraph"/>
        <w:numPr>
          <w:ilvl w:val="0"/>
          <w:numId w:val="1"/>
        </w:numPr>
        <w:rPr>
          <w:rFonts w:asciiTheme="majorBidi" w:hAnsiTheme="majorBidi" w:cstheme="majorBidi"/>
          <w:sz w:val="20"/>
          <w:szCs w:val="20"/>
        </w:rPr>
      </w:pPr>
      <w:r w:rsidRPr="00294A6C">
        <w:rPr>
          <w:rFonts w:asciiTheme="majorBidi" w:hAnsiTheme="majorBidi" w:cstheme="majorBidi"/>
          <w:sz w:val="20"/>
          <w:szCs w:val="20"/>
        </w:rPr>
        <w:t>The fiduciary (often professional) has scope for the exercise of some discretion or power.</w:t>
      </w:r>
    </w:p>
    <w:p w:rsidR="004504AE" w:rsidRPr="00294A6C" w:rsidRDefault="004504AE" w:rsidP="004504AE">
      <w:pPr>
        <w:pStyle w:val="ListParagraph"/>
        <w:numPr>
          <w:ilvl w:val="0"/>
          <w:numId w:val="1"/>
        </w:numPr>
        <w:rPr>
          <w:rFonts w:asciiTheme="majorBidi" w:hAnsiTheme="majorBidi" w:cstheme="majorBidi"/>
          <w:sz w:val="20"/>
          <w:szCs w:val="20"/>
        </w:rPr>
      </w:pPr>
      <w:r w:rsidRPr="00294A6C">
        <w:rPr>
          <w:rFonts w:asciiTheme="majorBidi" w:hAnsiTheme="majorBidi" w:cstheme="majorBidi"/>
          <w:sz w:val="20"/>
          <w:szCs w:val="20"/>
        </w:rPr>
        <w:t>The fiduciary can unilaterally exercise that power or discretion so as to affect the beneficiary’s legal or practical interests.</w:t>
      </w:r>
    </w:p>
    <w:p w:rsidR="004504AE" w:rsidRPr="00294A6C" w:rsidRDefault="004504AE" w:rsidP="004504AE">
      <w:pPr>
        <w:pStyle w:val="ListParagraph"/>
        <w:numPr>
          <w:ilvl w:val="0"/>
          <w:numId w:val="1"/>
        </w:numPr>
        <w:rPr>
          <w:rFonts w:asciiTheme="majorBidi" w:hAnsiTheme="majorBidi" w:cstheme="majorBidi"/>
          <w:sz w:val="20"/>
          <w:szCs w:val="20"/>
        </w:rPr>
      </w:pPr>
      <w:r w:rsidRPr="00294A6C">
        <w:rPr>
          <w:rFonts w:asciiTheme="majorBidi" w:hAnsiTheme="majorBidi" w:cstheme="majorBidi"/>
          <w:sz w:val="20"/>
          <w:szCs w:val="20"/>
        </w:rPr>
        <w:t>The beneficiary (client) is particularly vulnerable to or is at the mercy of the fiduciary holding the discretion of power.</w:t>
      </w:r>
    </w:p>
    <w:p w:rsidR="00270C9D" w:rsidRPr="00294A6C" w:rsidRDefault="00270C9D" w:rsidP="004504AE">
      <w:pPr>
        <w:rPr>
          <w:rFonts w:asciiTheme="majorBidi" w:hAnsiTheme="majorBidi" w:cstheme="majorBidi"/>
          <w:sz w:val="20"/>
          <w:szCs w:val="20"/>
        </w:rPr>
      </w:pPr>
      <w:r w:rsidRPr="00294A6C">
        <w:rPr>
          <w:rFonts w:asciiTheme="majorBidi" w:hAnsiTheme="majorBidi" w:cstheme="majorBidi"/>
          <w:sz w:val="20"/>
          <w:szCs w:val="20"/>
        </w:rPr>
        <w:t xml:space="preserve">Some </w:t>
      </w:r>
      <w:r w:rsidR="00395A48" w:rsidRPr="00294A6C">
        <w:rPr>
          <w:rFonts w:asciiTheme="majorBidi" w:hAnsiTheme="majorBidi" w:cstheme="majorBidi"/>
          <w:sz w:val="20"/>
          <w:szCs w:val="20"/>
        </w:rPr>
        <w:t>professional</w:t>
      </w:r>
      <w:r w:rsidRPr="00294A6C">
        <w:rPr>
          <w:rFonts w:asciiTheme="majorBidi" w:hAnsiTheme="majorBidi" w:cstheme="majorBidi"/>
          <w:sz w:val="20"/>
          <w:szCs w:val="20"/>
        </w:rPr>
        <w:t xml:space="preserve"> relationships are considered inherently fiduciary, such as lawyer-client and doctor-patient. But not every </w:t>
      </w:r>
      <w:r w:rsidR="00395A48" w:rsidRPr="00294A6C">
        <w:rPr>
          <w:rFonts w:asciiTheme="majorBidi" w:hAnsiTheme="majorBidi" w:cstheme="majorBidi"/>
          <w:sz w:val="20"/>
          <w:szCs w:val="20"/>
        </w:rPr>
        <w:t>professional</w:t>
      </w:r>
      <w:r w:rsidRPr="00294A6C">
        <w:rPr>
          <w:rFonts w:asciiTheme="majorBidi" w:hAnsiTheme="majorBidi" w:cstheme="majorBidi"/>
          <w:sz w:val="20"/>
          <w:szCs w:val="20"/>
        </w:rPr>
        <w:t xml:space="preserve"> relationship is a fiduciary one. For example, the broker-client relationship depends on the particular facts of the case. Five factors </w:t>
      </w:r>
      <w:r w:rsidR="00395A48" w:rsidRPr="00294A6C">
        <w:rPr>
          <w:rFonts w:asciiTheme="majorBidi" w:hAnsiTheme="majorBidi" w:cstheme="majorBidi"/>
          <w:sz w:val="20"/>
          <w:szCs w:val="20"/>
        </w:rPr>
        <w:t>applicable</w:t>
      </w:r>
      <w:r w:rsidRPr="00294A6C">
        <w:rPr>
          <w:rFonts w:asciiTheme="majorBidi" w:hAnsiTheme="majorBidi" w:cstheme="majorBidi"/>
          <w:sz w:val="20"/>
          <w:szCs w:val="20"/>
        </w:rPr>
        <w:t xml:space="preserve"> to the assessment of the fiduciary nature of a financial advisor-client relationship are vulnerability, </w:t>
      </w:r>
      <w:r w:rsidR="00395A48" w:rsidRPr="00294A6C">
        <w:rPr>
          <w:rFonts w:asciiTheme="majorBidi" w:hAnsiTheme="majorBidi" w:cstheme="majorBidi"/>
          <w:sz w:val="20"/>
          <w:szCs w:val="20"/>
        </w:rPr>
        <w:t>trust</w:t>
      </w:r>
      <w:r w:rsidRPr="00294A6C">
        <w:rPr>
          <w:rFonts w:asciiTheme="majorBidi" w:hAnsiTheme="majorBidi" w:cstheme="majorBidi"/>
          <w:sz w:val="20"/>
          <w:szCs w:val="20"/>
        </w:rPr>
        <w:t>, reliance, discretion, and the standards expressed in a profession code of conduct.</w:t>
      </w:r>
    </w:p>
    <w:p w:rsidR="00270C9D" w:rsidRPr="00294A6C" w:rsidRDefault="000E645A" w:rsidP="004504AE">
      <w:pPr>
        <w:rPr>
          <w:rFonts w:asciiTheme="majorBidi" w:hAnsiTheme="majorBidi" w:cstheme="majorBidi"/>
          <w:sz w:val="20"/>
          <w:szCs w:val="20"/>
        </w:rPr>
      </w:pPr>
      <w:r w:rsidRPr="00294A6C">
        <w:rPr>
          <w:rFonts w:asciiTheme="majorBidi" w:hAnsiTheme="majorBidi" w:cstheme="majorBidi"/>
          <w:sz w:val="20"/>
          <w:szCs w:val="20"/>
        </w:rPr>
        <w:tab/>
      </w:r>
      <w:r w:rsidR="00270C9D" w:rsidRPr="00294A6C">
        <w:rPr>
          <w:rFonts w:asciiTheme="majorBidi" w:hAnsiTheme="majorBidi" w:cstheme="majorBidi"/>
          <w:sz w:val="20"/>
          <w:szCs w:val="20"/>
        </w:rPr>
        <w:t xml:space="preserve">If a fiduciary duty is found to exist, the law imposes a wider range of obligations on the professional than is expressly stated in the contract or required under tort law. The professional must </w:t>
      </w:r>
      <w:r w:rsidR="00270C9D" w:rsidRPr="00294A6C">
        <w:rPr>
          <w:rFonts w:asciiTheme="majorBidi" w:hAnsiTheme="majorBidi" w:cstheme="majorBidi"/>
          <w:b/>
          <w:sz w:val="20"/>
          <w:szCs w:val="20"/>
        </w:rPr>
        <w:t xml:space="preserve">act honestly, in good faith, and only in the </w:t>
      </w:r>
      <w:r w:rsidR="00270C9D" w:rsidRPr="00294A6C">
        <w:rPr>
          <w:rFonts w:asciiTheme="majorBidi" w:hAnsiTheme="majorBidi" w:cstheme="majorBidi"/>
          <w:b/>
          <w:i/>
          <w:sz w:val="20"/>
          <w:szCs w:val="20"/>
        </w:rPr>
        <w:t>best interests</w:t>
      </w:r>
      <w:r w:rsidR="00270C9D" w:rsidRPr="00294A6C">
        <w:rPr>
          <w:rFonts w:asciiTheme="majorBidi" w:hAnsiTheme="majorBidi" w:cstheme="majorBidi"/>
          <w:b/>
          <w:sz w:val="20"/>
          <w:szCs w:val="20"/>
        </w:rPr>
        <w:t xml:space="preserve"> of the client</w:t>
      </w:r>
      <w:r w:rsidR="00270C9D" w:rsidRPr="00294A6C">
        <w:rPr>
          <w:rFonts w:asciiTheme="majorBidi" w:hAnsiTheme="majorBidi" w:cstheme="majorBidi"/>
          <w:sz w:val="20"/>
          <w:szCs w:val="20"/>
        </w:rPr>
        <w:t xml:space="preserve">. Therefore, the second step to imposing this type of liability involves determining if the professional’s behaviour breaches the fiduciary obligations. For example, a lawyer who entered into a business arrangement with a client of long standing and failed to disclose his own precarious financial situation was held to be in breach of his fiduciary duty to the client. Liability for breach of fiduciary duty may arise without any </w:t>
      </w:r>
      <w:r w:rsidR="00395A48" w:rsidRPr="00294A6C">
        <w:rPr>
          <w:rFonts w:asciiTheme="majorBidi" w:hAnsiTheme="majorBidi" w:cstheme="majorBidi"/>
          <w:sz w:val="20"/>
          <w:szCs w:val="20"/>
        </w:rPr>
        <w:t>negligence</w:t>
      </w:r>
      <w:r w:rsidR="00270C9D" w:rsidRPr="00294A6C">
        <w:rPr>
          <w:rFonts w:asciiTheme="majorBidi" w:hAnsiTheme="majorBidi" w:cstheme="majorBidi"/>
          <w:sz w:val="20"/>
          <w:szCs w:val="20"/>
        </w:rPr>
        <w:t xml:space="preserve">. </w:t>
      </w:r>
    </w:p>
    <w:p w:rsidR="00270C9D" w:rsidRPr="00294A6C" w:rsidRDefault="00270C9D" w:rsidP="004504AE">
      <w:pPr>
        <w:rPr>
          <w:rFonts w:asciiTheme="majorBidi" w:hAnsiTheme="majorBidi" w:cstheme="majorBidi"/>
          <w:sz w:val="20"/>
          <w:szCs w:val="20"/>
        </w:rPr>
      </w:pPr>
    </w:p>
    <w:p w:rsidR="00270C9D" w:rsidRPr="00294A6C" w:rsidRDefault="00270C9D" w:rsidP="004504AE">
      <w:pPr>
        <w:rPr>
          <w:rFonts w:asciiTheme="majorBidi" w:hAnsiTheme="majorBidi" w:cstheme="majorBidi"/>
          <w:sz w:val="20"/>
          <w:szCs w:val="20"/>
        </w:rPr>
      </w:pPr>
      <w:r w:rsidRPr="00294A6C">
        <w:rPr>
          <w:rFonts w:asciiTheme="majorBidi" w:hAnsiTheme="majorBidi" w:cstheme="majorBidi"/>
          <w:i/>
          <w:sz w:val="20"/>
          <w:szCs w:val="20"/>
        </w:rPr>
        <w:t>Read Cases 4.1 and 4.2</w:t>
      </w:r>
    </w:p>
    <w:p w:rsidR="00270C9D" w:rsidRPr="00294A6C" w:rsidRDefault="00270C9D" w:rsidP="004504AE">
      <w:pPr>
        <w:rPr>
          <w:rFonts w:asciiTheme="majorBidi" w:hAnsiTheme="majorBidi" w:cstheme="majorBidi"/>
          <w:sz w:val="20"/>
          <w:szCs w:val="20"/>
        </w:rPr>
      </w:pPr>
    </w:p>
    <w:p w:rsidR="000A2A06" w:rsidRPr="00294A6C" w:rsidRDefault="000E645A" w:rsidP="004504AE">
      <w:pPr>
        <w:rPr>
          <w:rFonts w:asciiTheme="majorBidi" w:hAnsiTheme="majorBidi" w:cstheme="majorBidi"/>
          <w:b/>
          <w:i/>
          <w:sz w:val="20"/>
          <w:szCs w:val="20"/>
        </w:rPr>
      </w:pPr>
      <w:r w:rsidRPr="00294A6C">
        <w:rPr>
          <w:rFonts w:asciiTheme="majorBidi" w:hAnsiTheme="majorBidi" w:cstheme="majorBidi"/>
          <w:sz w:val="20"/>
          <w:szCs w:val="20"/>
        </w:rPr>
        <w:tab/>
      </w:r>
      <w:r w:rsidR="00323D3B" w:rsidRPr="00294A6C">
        <w:rPr>
          <w:rFonts w:asciiTheme="majorBidi" w:hAnsiTheme="majorBidi" w:cstheme="majorBidi"/>
          <w:sz w:val="20"/>
          <w:szCs w:val="20"/>
        </w:rPr>
        <w:t>As Case 4.2 illustrates, a fiduciary should not place herself in a conflict of interest and has a duty not to profit, or attempt to profit, at the client’s expense. A fiduciary obligation requires complete loyalty to the other party to the relationship. Consequently, a professional who acts on behalf of two or more clients who have competing interests (for example, vendor and purchaser of property) might well find it impossible to fulfill her duty to them both. However, if no conflict of interest exists, no liability will be imposed</w:t>
      </w:r>
      <w:r w:rsidR="00323D3B" w:rsidRPr="00294A6C">
        <w:rPr>
          <w:rFonts w:asciiTheme="majorBidi" w:hAnsiTheme="majorBidi" w:cstheme="majorBidi"/>
          <w:b/>
          <w:sz w:val="20"/>
          <w:szCs w:val="20"/>
        </w:rPr>
        <w:t>.</w:t>
      </w:r>
      <w:r w:rsidR="00BF3238" w:rsidRPr="00294A6C">
        <w:rPr>
          <w:rFonts w:asciiTheme="majorBidi" w:hAnsiTheme="majorBidi" w:cstheme="majorBidi"/>
          <w:b/>
          <w:sz w:val="20"/>
          <w:szCs w:val="20"/>
        </w:rPr>
        <w:t xml:space="preserve"> </w:t>
      </w:r>
    </w:p>
    <w:p w:rsidR="00323D3B" w:rsidRPr="00294A6C" w:rsidRDefault="000A2A06" w:rsidP="004504AE">
      <w:pPr>
        <w:rPr>
          <w:rFonts w:asciiTheme="majorBidi" w:hAnsiTheme="majorBidi" w:cstheme="majorBidi"/>
          <w:sz w:val="20"/>
          <w:szCs w:val="20"/>
        </w:rPr>
      </w:pPr>
      <w:r w:rsidRPr="00294A6C">
        <w:rPr>
          <w:rFonts w:asciiTheme="majorBidi" w:hAnsiTheme="majorBidi" w:cstheme="majorBidi"/>
          <w:b/>
          <w:i/>
          <w:sz w:val="20"/>
          <w:szCs w:val="20"/>
        </w:rPr>
        <w:t>-Complete fidelity, duty of utmost good faith.</w:t>
      </w:r>
    </w:p>
    <w:p w:rsidR="00323D3B" w:rsidRPr="00294A6C" w:rsidRDefault="00323D3B" w:rsidP="004504AE">
      <w:pPr>
        <w:rPr>
          <w:rFonts w:asciiTheme="majorBidi" w:hAnsiTheme="majorBidi" w:cstheme="majorBidi"/>
          <w:sz w:val="20"/>
          <w:szCs w:val="20"/>
        </w:rPr>
      </w:pPr>
    </w:p>
    <w:p w:rsidR="00323D3B" w:rsidRPr="00294A6C" w:rsidRDefault="00323D3B" w:rsidP="004504AE">
      <w:pPr>
        <w:rPr>
          <w:rFonts w:asciiTheme="majorBidi" w:hAnsiTheme="majorBidi" w:cstheme="majorBidi"/>
          <w:b/>
          <w:sz w:val="20"/>
          <w:szCs w:val="20"/>
        </w:rPr>
      </w:pPr>
      <w:r w:rsidRPr="00294A6C">
        <w:rPr>
          <w:rFonts w:asciiTheme="majorBidi" w:hAnsiTheme="majorBidi" w:cstheme="majorBidi"/>
          <w:b/>
          <w:sz w:val="20"/>
          <w:szCs w:val="20"/>
        </w:rPr>
        <w:t>Tort Liability</w:t>
      </w:r>
    </w:p>
    <w:p w:rsidR="00323D3B" w:rsidRPr="00294A6C" w:rsidRDefault="00323D3B" w:rsidP="004504AE">
      <w:pPr>
        <w:rPr>
          <w:rFonts w:asciiTheme="majorBidi" w:hAnsiTheme="majorBidi" w:cstheme="majorBidi"/>
          <w:sz w:val="20"/>
          <w:szCs w:val="20"/>
        </w:rPr>
      </w:pPr>
      <w:r w:rsidRPr="00294A6C">
        <w:rPr>
          <w:rFonts w:asciiTheme="majorBidi" w:hAnsiTheme="majorBidi" w:cstheme="majorBidi"/>
          <w:sz w:val="20"/>
          <w:szCs w:val="20"/>
        </w:rPr>
        <w:t xml:space="preserve">When a professional </w:t>
      </w:r>
      <w:r w:rsidR="00395A48" w:rsidRPr="00294A6C">
        <w:rPr>
          <w:rFonts w:asciiTheme="majorBidi" w:hAnsiTheme="majorBidi" w:cstheme="majorBidi"/>
          <w:sz w:val="20"/>
          <w:szCs w:val="20"/>
        </w:rPr>
        <w:t>deliberately</w:t>
      </w:r>
      <w:r w:rsidRPr="00294A6C">
        <w:rPr>
          <w:rFonts w:asciiTheme="majorBidi" w:hAnsiTheme="majorBidi" w:cstheme="majorBidi"/>
          <w:sz w:val="20"/>
          <w:szCs w:val="20"/>
        </w:rPr>
        <w:t xml:space="preserve"> or carelessly causes damage to a client, a tort has occurred. Their contract may also have been breached. </w:t>
      </w:r>
      <w:proofErr w:type="gramStart"/>
      <w:r w:rsidRPr="00294A6C">
        <w:rPr>
          <w:rFonts w:asciiTheme="majorBidi" w:hAnsiTheme="majorBidi" w:cstheme="majorBidi"/>
          <w:sz w:val="20"/>
          <w:szCs w:val="20"/>
        </w:rPr>
        <w:t>However</w:t>
      </w:r>
      <w:proofErr w:type="gramEnd"/>
      <w:r w:rsidRPr="00294A6C">
        <w:rPr>
          <w:rFonts w:asciiTheme="majorBidi" w:hAnsiTheme="majorBidi" w:cstheme="majorBidi"/>
          <w:sz w:val="20"/>
          <w:szCs w:val="20"/>
        </w:rPr>
        <w:t xml:space="preserve"> until the 1980s, a client’s right to sue for the tort of negligence was restricted to special circumstances where the professional’s conduct did not fall within her contractual obligations. This has changed. Now a plaintiff may sue in contract or in tort. </w:t>
      </w:r>
      <w:r w:rsidRPr="00294A6C">
        <w:rPr>
          <w:rFonts w:asciiTheme="majorBidi" w:hAnsiTheme="majorBidi" w:cstheme="majorBidi"/>
          <w:sz w:val="20"/>
          <w:szCs w:val="20"/>
        </w:rPr>
        <w:lastRenderedPageBreak/>
        <w:t>In a case where a solicitor was negligent in arranging a mortgage that was later found to be invalid, the Court held that the client was entitled to sue in contract or tort. The negligence duty of care is not applicable to only relationships outside the contract – it co-exists with and independently of the promises in the contract.</w:t>
      </w:r>
    </w:p>
    <w:p w:rsidR="00323D3B" w:rsidRPr="00294A6C" w:rsidRDefault="000E645A" w:rsidP="004504AE">
      <w:pPr>
        <w:rPr>
          <w:rFonts w:asciiTheme="majorBidi" w:hAnsiTheme="majorBidi" w:cstheme="majorBidi"/>
          <w:sz w:val="20"/>
          <w:szCs w:val="20"/>
        </w:rPr>
      </w:pPr>
      <w:r w:rsidRPr="00294A6C">
        <w:rPr>
          <w:rFonts w:asciiTheme="majorBidi" w:hAnsiTheme="majorBidi" w:cstheme="majorBidi"/>
          <w:sz w:val="20"/>
          <w:szCs w:val="20"/>
        </w:rPr>
        <w:tab/>
      </w:r>
      <w:r w:rsidR="00323D3B" w:rsidRPr="00294A6C">
        <w:rPr>
          <w:rFonts w:asciiTheme="majorBidi" w:hAnsiTheme="majorBidi" w:cstheme="majorBidi"/>
          <w:sz w:val="20"/>
          <w:szCs w:val="20"/>
        </w:rPr>
        <w:t xml:space="preserve">Allowing tort liability expands the possible plaintiffs beyond clients who have paid for the advice. Sometimes “other” people may rely on a professional opinion given to a single client, as, for example: </w:t>
      </w:r>
    </w:p>
    <w:p w:rsidR="00523674" w:rsidRPr="00294A6C" w:rsidRDefault="00523674" w:rsidP="00523674">
      <w:pPr>
        <w:pStyle w:val="ListParagraph"/>
        <w:numPr>
          <w:ilvl w:val="0"/>
          <w:numId w:val="1"/>
        </w:numPr>
        <w:rPr>
          <w:rFonts w:asciiTheme="majorBidi" w:hAnsiTheme="majorBidi" w:cstheme="majorBidi"/>
          <w:sz w:val="20"/>
          <w:szCs w:val="20"/>
        </w:rPr>
      </w:pPr>
      <w:r w:rsidRPr="00294A6C">
        <w:rPr>
          <w:rFonts w:asciiTheme="majorBidi" w:hAnsiTheme="majorBidi" w:cstheme="majorBidi"/>
          <w:sz w:val="20"/>
          <w:szCs w:val="20"/>
        </w:rPr>
        <w:t>when an auditor expresses an opinion on the fairness and accuracy of the client firm’s financial statements, which is given to lenders, potential investors, etc.</w:t>
      </w:r>
    </w:p>
    <w:p w:rsidR="00523674" w:rsidRPr="00294A6C" w:rsidRDefault="00523674" w:rsidP="00523674">
      <w:pPr>
        <w:pStyle w:val="ListParagraph"/>
        <w:numPr>
          <w:ilvl w:val="0"/>
          <w:numId w:val="1"/>
        </w:numPr>
        <w:rPr>
          <w:rFonts w:asciiTheme="majorBidi" w:hAnsiTheme="majorBidi" w:cstheme="majorBidi"/>
          <w:sz w:val="20"/>
          <w:szCs w:val="20"/>
        </w:rPr>
      </w:pPr>
      <w:r w:rsidRPr="00294A6C">
        <w:rPr>
          <w:rFonts w:asciiTheme="majorBidi" w:hAnsiTheme="majorBidi" w:cstheme="majorBidi"/>
          <w:sz w:val="20"/>
          <w:szCs w:val="20"/>
        </w:rPr>
        <w:t>when engineers or architects recommend design specifications for structures that, if faulty may present risks to occupiers and others</w:t>
      </w:r>
    </w:p>
    <w:p w:rsidR="00523674" w:rsidRPr="00294A6C" w:rsidRDefault="00523674" w:rsidP="00523674">
      <w:pPr>
        <w:pStyle w:val="ListParagraph"/>
        <w:numPr>
          <w:ilvl w:val="0"/>
          <w:numId w:val="1"/>
        </w:numPr>
        <w:rPr>
          <w:rFonts w:asciiTheme="majorBidi" w:hAnsiTheme="majorBidi" w:cstheme="majorBidi"/>
          <w:sz w:val="20"/>
          <w:szCs w:val="20"/>
        </w:rPr>
      </w:pPr>
      <w:r w:rsidRPr="00294A6C">
        <w:rPr>
          <w:rFonts w:asciiTheme="majorBidi" w:hAnsiTheme="majorBidi" w:cstheme="majorBidi"/>
          <w:sz w:val="20"/>
          <w:szCs w:val="20"/>
        </w:rPr>
        <w:t>when bankers or credit analysts give assessments of creditworthiness for their customers that come to the attention of other lenders</w:t>
      </w:r>
    </w:p>
    <w:p w:rsidR="00523674" w:rsidRPr="00294A6C" w:rsidRDefault="00523674" w:rsidP="00523674">
      <w:pPr>
        <w:pStyle w:val="ListParagraph"/>
        <w:numPr>
          <w:ilvl w:val="0"/>
          <w:numId w:val="1"/>
        </w:numPr>
        <w:rPr>
          <w:rFonts w:asciiTheme="majorBidi" w:hAnsiTheme="majorBidi" w:cstheme="majorBidi"/>
          <w:sz w:val="20"/>
          <w:szCs w:val="20"/>
        </w:rPr>
      </w:pPr>
      <w:r w:rsidRPr="00294A6C">
        <w:rPr>
          <w:rFonts w:asciiTheme="majorBidi" w:hAnsiTheme="majorBidi" w:cstheme="majorBidi"/>
          <w:sz w:val="20"/>
          <w:szCs w:val="20"/>
        </w:rPr>
        <w:t xml:space="preserve">when accountants provide a </w:t>
      </w:r>
      <w:r w:rsidR="00395A48" w:rsidRPr="00294A6C">
        <w:rPr>
          <w:rFonts w:asciiTheme="majorBidi" w:hAnsiTheme="majorBidi" w:cstheme="majorBidi"/>
          <w:sz w:val="20"/>
          <w:szCs w:val="20"/>
        </w:rPr>
        <w:t>corporation</w:t>
      </w:r>
      <w:r w:rsidRPr="00294A6C">
        <w:rPr>
          <w:rFonts w:asciiTheme="majorBidi" w:hAnsiTheme="majorBidi" w:cstheme="majorBidi"/>
          <w:sz w:val="20"/>
          <w:szCs w:val="20"/>
        </w:rPr>
        <w:t xml:space="preserve"> with a valuation of the business or its shares, and the valuation is intended for the use of others</w:t>
      </w:r>
    </w:p>
    <w:p w:rsidR="00523674" w:rsidRPr="00294A6C" w:rsidRDefault="00523674" w:rsidP="00523674">
      <w:pPr>
        <w:pStyle w:val="ListParagraph"/>
        <w:numPr>
          <w:ilvl w:val="0"/>
          <w:numId w:val="1"/>
        </w:numPr>
        <w:rPr>
          <w:rFonts w:asciiTheme="majorBidi" w:hAnsiTheme="majorBidi" w:cstheme="majorBidi"/>
          <w:sz w:val="20"/>
          <w:szCs w:val="20"/>
        </w:rPr>
      </w:pPr>
      <w:r w:rsidRPr="00294A6C">
        <w:rPr>
          <w:rFonts w:asciiTheme="majorBidi" w:hAnsiTheme="majorBidi" w:cstheme="majorBidi"/>
          <w:sz w:val="20"/>
          <w:szCs w:val="20"/>
        </w:rPr>
        <w:t>when one doctor gives a professional opinion to another doctor concerning the second doctor’s patient</w:t>
      </w:r>
    </w:p>
    <w:p w:rsidR="00523674" w:rsidRPr="00294A6C" w:rsidRDefault="000E645A" w:rsidP="00523674">
      <w:pPr>
        <w:rPr>
          <w:rFonts w:asciiTheme="majorBidi" w:hAnsiTheme="majorBidi" w:cstheme="majorBidi"/>
          <w:sz w:val="20"/>
          <w:szCs w:val="20"/>
        </w:rPr>
      </w:pPr>
      <w:r w:rsidRPr="00294A6C">
        <w:rPr>
          <w:rFonts w:asciiTheme="majorBidi" w:hAnsiTheme="majorBidi" w:cstheme="majorBidi"/>
          <w:sz w:val="20"/>
          <w:szCs w:val="20"/>
        </w:rPr>
        <w:tab/>
      </w:r>
      <w:r w:rsidR="00523674" w:rsidRPr="00294A6C">
        <w:rPr>
          <w:rFonts w:asciiTheme="majorBidi" w:hAnsiTheme="majorBidi" w:cstheme="majorBidi"/>
          <w:sz w:val="20"/>
          <w:szCs w:val="20"/>
        </w:rPr>
        <w:t xml:space="preserve">These “others” are known as third parties and any liability to them is referred to as third-party liability. Third party liability is common for real estate agents and insurance agents. The commission earned by a real estate agent is normally </w:t>
      </w:r>
      <w:r w:rsidR="00395A48" w:rsidRPr="00294A6C">
        <w:rPr>
          <w:rFonts w:asciiTheme="majorBidi" w:hAnsiTheme="majorBidi" w:cstheme="majorBidi"/>
          <w:sz w:val="20"/>
          <w:szCs w:val="20"/>
        </w:rPr>
        <w:t>paid</w:t>
      </w:r>
      <w:r w:rsidR="00523674" w:rsidRPr="00294A6C">
        <w:rPr>
          <w:rFonts w:asciiTheme="majorBidi" w:hAnsiTheme="majorBidi" w:cstheme="majorBidi"/>
          <w:sz w:val="20"/>
          <w:szCs w:val="20"/>
        </w:rPr>
        <w:t xml:space="preserve"> by the vendor of the property; an insurance agent usually contracts with the insurance company for which she arranges insurance.</w:t>
      </w:r>
    </w:p>
    <w:p w:rsidR="00523674" w:rsidRPr="00294A6C" w:rsidRDefault="00523674" w:rsidP="00523674">
      <w:pPr>
        <w:rPr>
          <w:rFonts w:asciiTheme="majorBidi" w:hAnsiTheme="majorBidi" w:cstheme="majorBidi"/>
          <w:sz w:val="20"/>
          <w:szCs w:val="20"/>
        </w:rPr>
      </w:pPr>
    </w:p>
    <w:p w:rsidR="00523674" w:rsidRPr="00294A6C" w:rsidRDefault="00523674" w:rsidP="00523674">
      <w:pPr>
        <w:rPr>
          <w:rFonts w:asciiTheme="majorBidi" w:hAnsiTheme="majorBidi" w:cstheme="majorBidi"/>
          <w:sz w:val="20"/>
          <w:szCs w:val="20"/>
          <w:u w:val="single"/>
        </w:rPr>
      </w:pPr>
      <w:r w:rsidRPr="00294A6C">
        <w:rPr>
          <w:rFonts w:asciiTheme="majorBidi" w:hAnsiTheme="majorBidi" w:cstheme="majorBidi"/>
          <w:sz w:val="20"/>
          <w:szCs w:val="20"/>
          <w:u w:val="single"/>
        </w:rPr>
        <w:t>Tort Liability for Inaccurate Statements</w:t>
      </w:r>
    </w:p>
    <w:p w:rsidR="00523674" w:rsidRPr="00294A6C" w:rsidRDefault="00395A48" w:rsidP="00523674">
      <w:pPr>
        <w:rPr>
          <w:rFonts w:asciiTheme="majorBidi" w:hAnsiTheme="majorBidi" w:cstheme="majorBidi"/>
          <w:b/>
          <w:sz w:val="20"/>
          <w:szCs w:val="20"/>
        </w:rPr>
      </w:pPr>
      <w:r w:rsidRPr="00294A6C">
        <w:rPr>
          <w:rFonts w:asciiTheme="majorBidi" w:hAnsiTheme="majorBidi" w:cstheme="majorBidi"/>
          <w:b/>
          <w:sz w:val="20"/>
          <w:szCs w:val="20"/>
        </w:rPr>
        <w:t>Misrepresentation</w:t>
      </w:r>
    </w:p>
    <w:p w:rsidR="00523674" w:rsidRPr="00294A6C" w:rsidRDefault="00523674" w:rsidP="00523674">
      <w:pPr>
        <w:rPr>
          <w:rFonts w:asciiTheme="majorBidi" w:hAnsiTheme="majorBidi" w:cstheme="majorBidi"/>
          <w:sz w:val="20"/>
          <w:szCs w:val="20"/>
        </w:rPr>
      </w:pPr>
      <w:r w:rsidRPr="00294A6C">
        <w:rPr>
          <w:rFonts w:asciiTheme="majorBidi" w:hAnsiTheme="majorBidi" w:cstheme="majorBidi"/>
          <w:sz w:val="20"/>
          <w:szCs w:val="20"/>
        </w:rPr>
        <w:t>If a person makes an untrue statement, knowing it to be untrue or, at any rate, without an honest belief in its truth and with the intention to mislead some other person, the misrepresentation is fraudulent and amounts to intentional tort of deceit. A victim who relies reasonably on the statement and suffers a loss may recover from the person who made it. The tort of deceit may also be committed when a person deliberately conceals or withholds information.</w:t>
      </w:r>
    </w:p>
    <w:p w:rsidR="00BF3238" w:rsidRPr="00294A6C" w:rsidRDefault="000E645A" w:rsidP="00523674">
      <w:pPr>
        <w:rPr>
          <w:rFonts w:asciiTheme="majorBidi" w:hAnsiTheme="majorBidi" w:cstheme="majorBidi"/>
          <w:sz w:val="20"/>
          <w:szCs w:val="20"/>
        </w:rPr>
      </w:pPr>
      <w:r w:rsidRPr="00294A6C">
        <w:rPr>
          <w:rFonts w:asciiTheme="majorBidi" w:hAnsiTheme="majorBidi" w:cstheme="majorBidi"/>
          <w:sz w:val="20"/>
          <w:szCs w:val="20"/>
        </w:rPr>
        <w:tab/>
      </w:r>
      <w:r w:rsidR="00523674" w:rsidRPr="00294A6C">
        <w:rPr>
          <w:rFonts w:asciiTheme="majorBidi" w:hAnsiTheme="majorBidi" w:cstheme="majorBidi"/>
          <w:sz w:val="20"/>
          <w:szCs w:val="20"/>
        </w:rPr>
        <w:t xml:space="preserve">Deceit or fraudulent </w:t>
      </w:r>
      <w:r w:rsidR="00395A48" w:rsidRPr="00294A6C">
        <w:rPr>
          <w:rFonts w:asciiTheme="majorBidi" w:hAnsiTheme="majorBidi" w:cstheme="majorBidi"/>
          <w:sz w:val="20"/>
          <w:szCs w:val="20"/>
        </w:rPr>
        <w:t>misrepresentation</w:t>
      </w:r>
      <w:r w:rsidR="00523674" w:rsidRPr="00294A6C">
        <w:rPr>
          <w:rFonts w:asciiTheme="majorBidi" w:hAnsiTheme="majorBidi" w:cstheme="majorBidi"/>
          <w:sz w:val="20"/>
          <w:szCs w:val="20"/>
        </w:rPr>
        <w:t xml:space="preserve"> requires at least some guilty knowledge or willful disregard for the falseness of the information. The unintentional tort of negligent misrepresentation does not; it involves owing a duty of care breaching the standard</w:t>
      </w:r>
      <w:r w:rsidR="00BF3238" w:rsidRPr="00294A6C">
        <w:rPr>
          <w:rFonts w:asciiTheme="majorBidi" w:hAnsiTheme="majorBidi" w:cstheme="majorBidi"/>
          <w:sz w:val="20"/>
          <w:szCs w:val="20"/>
        </w:rPr>
        <w:t xml:space="preserve"> of care, and reliance on the statement, resulting in damage. </w:t>
      </w:r>
    </w:p>
    <w:p w:rsidR="000A2A06" w:rsidRPr="00294A6C" w:rsidRDefault="000E645A" w:rsidP="00523674">
      <w:pPr>
        <w:rPr>
          <w:rFonts w:asciiTheme="majorBidi" w:hAnsiTheme="majorBidi" w:cstheme="majorBidi"/>
          <w:b/>
          <w:sz w:val="20"/>
          <w:szCs w:val="20"/>
        </w:rPr>
      </w:pPr>
      <w:r w:rsidRPr="00294A6C">
        <w:rPr>
          <w:rFonts w:asciiTheme="majorBidi" w:hAnsiTheme="majorBidi" w:cstheme="majorBidi"/>
          <w:sz w:val="20"/>
          <w:szCs w:val="20"/>
        </w:rPr>
        <w:tab/>
      </w:r>
      <w:r w:rsidR="00BF3238" w:rsidRPr="00294A6C">
        <w:rPr>
          <w:rFonts w:asciiTheme="majorBidi" w:hAnsiTheme="majorBidi" w:cstheme="majorBidi"/>
          <w:sz w:val="20"/>
          <w:szCs w:val="20"/>
        </w:rPr>
        <w:t xml:space="preserve">The extension of liability to compensate for purely economic loss, as opposed to physical injury, is particularly important when considering negligent </w:t>
      </w:r>
      <w:r w:rsidR="00395A48" w:rsidRPr="00294A6C">
        <w:rPr>
          <w:rFonts w:asciiTheme="majorBidi" w:hAnsiTheme="majorBidi" w:cstheme="majorBidi"/>
          <w:sz w:val="20"/>
          <w:szCs w:val="20"/>
        </w:rPr>
        <w:t>misrepresentation</w:t>
      </w:r>
      <w:r w:rsidR="00BF3238" w:rsidRPr="00294A6C">
        <w:rPr>
          <w:rFonts w:asciiTheme="majorBidi" w:hAnsiTheme="majorBidi" w:cstheme="majorBidi"/>
          <w:sz w:val="20"/>
          <w:szCs w:val="20"/>
        </w:rPr>
        <w:t xml:space="preserve">. This tort covers inaccurate advice given carelessly by professionals often leading to financial losses. It took a long time for courts to recognize this tort because they feared that the extension of liability to third persons (outside of contractual or fiduciary relationships) would make the legal risk of practicing a profession to great. </w:t>
      </w:r>
    </w:p>
    <w:p w:rsidR="000A2A06" w:rsidRPr="00294A6C" w:rsidRDefault="000A2A06" w:rsidP="00523674">
      <w:pPr>
        <w:rPr>
          <w:rFonts w:asciiTheme="majorBidi" w:hAnsiTheme="majorBidi" w:cstheme="majorBidi"/>
          <w:sz w:val="20"/>
          <w:szCs w:val="20"/>
        </w:rPr>
      </w:pPr>
      <w:r w:rsidRPr="00294A6C">
        <w:rPr>
          <w:rFonts w:asciiTheme="majorBidi" w:hAnsiTheme="majorBidi" w:cstheme="majorBidi"/>
          <w:sz w:val="20"/>
          <w:szCs w:val="20"/>
        </w:rPr>
        <w:t>-</w:t>
      </w:r>
      <w:r w:rsidRPr="00294A6C">
        <w:rPr>
          <w:rFonts w:asciiTheme="majorBidi" w:hAnsiTheme="majorBidi" w:cstheme="majorBidi"/>
          <w:i/>
          <w:sz w:val="20"/>
          <w:szCs w:val="20"/>
        </w:rPr>
        <w:t>Duty of care owed to whom? To those who the maker of the statement should reasonably expect might rely on it.</w:t>
      </w:r>
    </w:p>
    <w:p w:rsidR="00BF3238" w:rsidRPr="00294A6C" w:rsidRDefault="00BF3238" w:rsidP="00523674">
      <w:pPr>
        <w:rPr>
          <w:rFonts w:asciiTheme="majorBidi" w:hAnsiTheme="majorBidi" w:cstheme="majorBidi"/>
          <w:sz w:val="20"/>
          <w:szCs w:val="20"/>
        </w:rPr>
      </w:pPr>
    </w:p>
    <w:p w:rsidR="00BF3238" w:rsidRPr="00294A6C" w:rsidRDefault="000A2A06" w:rsidP="00523674">
      <w:pPr>
        <w:rPr>
          <w:rFonts w:asciiTheme="majorBidi" w:hAnsiTheme="majorBidi" w:cstheme="majorBidi"/>
          <w:sz w:val="20"/>
          <w:szCs w:val="20"/>
        </w:rPr>
      </w:pPr>
      <w:r w:rsidRPr="00294A6C">
        <w:rPr>
          <w:rFonts w:asciiTheme="majorBidi" w:hAnsiTheme="majorBidi" w:cstheme="majorBidi"/>
          <w:b/>
          <w:bCs/>
          <w:sz w:val="20"/>
          <w:szCs w:val="20"/>
        </w:rPr>
        <w:t>*</w:t>
      </w:r>
      <w:r w:rsidR="00BF3238" w:rsidRPr="00294A6C">
        <w:rPr>
          <w:rFonts w:asciiTheme="majorBidi" w:hAnsiTheme="majorBidi" w:cstheme="majorBidi"/>
          <w:b/>
          <w:bCs/>
          <w:sz w:val="20"/>
          <w:szCs w:val="20"/>
        </w:rPr>
        <w:t xml:space="preserve">The </w:t>
      </w:r>
      <w:r w:rsidR="00BF3238" w:rsidRPr="00294A6C">
        <w:rPr>
          <w:rFonts w:asciiTheme="majorBidi" w:hAnsiTheme="majorBidi" w:cstheme="majorBidi"/>
          <w:b/>
          <w:bCs/>
          <w:i/>
          <w:sz w:val="20"/>
          <w:szCs w:val="20"/>
        </w:rPr>
        <w:t>Hedley Byrne</w:t>
      </w:r>
      <w:r w:rsidRPr="00294A6C">
        <w:rPr>
          <w:rFonts w:asciiTheme="majorBidi" w:hAnsiTheme="majorBidi" w:cstheme="majorBidi"/>
          <w:b/>
          <w:bCs/>
          <w:sz w:val="20"/>
          <w:szCs w:val="20"/>
        </w:rPr>
        <w:t xml:space="preserve"> Case</w:t>
      </w:r>
      <w:r w:rsidRPr="00294A6C">
        <w:rPr>
          <w:rFonts w:asciiTheme="majorBidi" w:hAnsiTheme="majorBidi" w:cstheme="majorBidi"/>
          <w:b/>
          <w:sz w:val="20"/>
          <w:szCs w:val="20"/>
        </w:rPr>
        <w:t>*</w:t>
      </w:r>
    </w:p>
    <w:p w:rsidR="00BF3238" w:rsidRPr="00294A6C" w:rsidRDefault="00BF3238" w:rsidP="00523674">
      <w:pPr>
        <w:rPr>
          <w:rFonts w:asciiTheme="majorBidi" w:hAnsiTheme="majorBidi" w:cstheme="majorBidi"/>
          <w:sz w:val="20"/>
          <w:szCs w:val="20"/>
        </w:rPr>
      </w:pPr>
      <w:r w:rsidRPr="00294A6C">
        <w:rPr>
          <w:rFonts w:asciiTheme="majorBidi" w:hAnsiTheme="majorBidi" w:cstheme="majorBidi"/>
          <w:sz w:val="20"/>
          <w:szCs w:val="20"/>
        </w:rPr>
        <w:t>Twelve years later, Lord Denning’s position was accepted in the famous case of</w:t>
      </w:r>
      <w:r w:rsidRPr="00294A6C">
        <w:rPr>
          <w:rFonts w:asciiTheme="majorBidi" w:hAnsiTheme="majorBidi" w:cstheme="majorBidi"/>
          <w:i/>
          <w:sz w:val="20"/>
          <w:szCs w:val="20"/>
        </w:rPr>
        <w:t xml:space="preserve"> Hedley Byrne v. Heller &amp; Partners</w:t>
      </w:r>
      <w:r w:rsidRPr="00294A6C">
        <w:rPr>
          <w:rFonts w:asciiTheme="majorBidi" w:hAnsiTheme="majorBidi" w:cstheme="majorBidi"/>
          <w:sz w:val="20"/>
          <w:szCs w:val="20"/>
        </w:rPr>
        <w:t>.</w:t>
      </w:r>
    </w:p>
    <w:p w:rsidR="00BF3238" w:rsidRPr="00294A6C" w:rsidRDefault="00BF3238" w:rsidP="00523674">
      <w:pPr>
        <w:rPr>
          <w:rFonts w:asciiTheme="majorBidi" w:hAnsiTheme="majorBidi" w:cstheme="majorBidi"/>
          <w:sz w:val="20"/>
          <w:szCs w:val="20"/>
        </w:rPr>
      </w:pPr>
      <w:r w:rsidRPr="00294A6C">
        <w:rPr>
          <w:rFonts w:asciiTheme="majorBidi" w:hAnsiTheme="majorBidi" w:cstheme="majorBidi"/>
          <w:i/>
          <w:sz w:val="20"/>
          <w:szCs w:val="20"/>
        </w:rPr>
        <w:t>Read Case 4.6</w:t>
      </w:r>
    </w:p>
    <w:p w:rsidR="00BF3238" w:rsidRPr="00294A6C" w:rsidRDefault="00BF3238" w:rsidP="00523674">
      <w:pPr>
        <w:rPr>
          <w:rFonts w:asciiTheme="majorBidi" w:hAnsiTheme="majorBidi" w:cstheme="majorBidi"/>
          <w:sz w:val="20"/>
          <w:szCs w:val="20"/>
        </w:rPr>
      </w:pPr>
    </w:p>
    <w:p w:rsidR="00B8070F" w:rsidRPr="00294A6C" w:rsidRDefault="000E645A" w:rsidP="00523674">
      <w:pPr>
        <w:rPr>
          <w:rFonts w:asciiTheme="majorBidi" w:hAnsiTheme="majorBidi" w:cstheme="majorBidi"/>
          <w:sz w:val="20"/>
          <w:szCs w:val="20"/>
        </w:rPr>
      </w:pPr>
      <w:r w:rsidRPr="00294A6C">
        <w:rPr>
          <w:rFonts w:asciiTheme="majorBidi" w:hAnsiTheme="majorBidi" w:cstheme="majorBidi"/>
          <w:sz w:val="20"/>
          <w:szCs w:val="20"/>
        </w:rPr>
        <w:tab/>
      </w:r>
      <w:r w:rsidR="004119E7" w:rsidRPr="00294A6C">
        <w:rPr>
          <w:rFonts w:asciiTheme="majorBidi" w:hAnsiTheme="majorBidi" w:cstheme="majorBidi"/>
          <w:sz w:val="20"/>
          <w:szCs w:val="20"/>
        </w:rPr>
        <w:t xml:space="preserve">When considering the duty of care owed, the court found that although Heller neither dealt with nor even knew the identity of Hedly Byrne, Heller should have foreseen that its information would be used by a customer of the other bank. It </w:t>
      </w:r>
      <w:r w:rsidR="00395A48" w:rsidRPr="00294A6C">
        <w:rPr>
          <w:rFonts w:asciiTheme="majorBidi" w:hAnsiTheme="majorBidi" w:cstheme="majorBidi"/>
          <w:sz w:val="20"/>
          <w:szCs w:val="20"/>
        </w:rPr>
        <w:t>therefore</w:t>
      </w:r>
      <w:r w:rsidR="004119E7" w:rsidRPr="00294A6C">
        <w:rPr>
          <w:rFonts w:asciiTheme="majorBidi" w:hAnsiTheme="majorBidi" w:cstheme="majorBidi"/>
          <w:sz w:val="20"/>
          <w:szCs w:val="20"/>
        </w:rPr>
        <w:t xml:space="preserve"> owed </w:t>
      </w:r>
      <w:r w:rsidR="004119E7" w:rsidRPr="00294A6C">
        <w:rPr>
          <w:rFonts w:asciiTheme="majorBidi" w:hAnsiTheme="majorBidi" w:cstheme="majorBidi"/>
          <w:i/>
          <w:sz w:val="20"/>
          <w:szCs w:val="20"/>
        </w:rPr>
        <w:t>that</w:t>
      </w:r>
      <w:r w:rsidR="004119E7" w:rsidRPr="00294A6C">
        <w:rPr>
          <w:rFonts w:asciiTheme="majorBidi" w:hAnsiTheme="majorBidi" w:cstheme="majorBidi"/>
          <w:sz w:val="20"/>
          <w:szCs w:val="20"/>
        </w:rPr>
        <w:t xml:space="preserve"> customer a duty to take reasonable care in expressing </w:t>
      </w:r>
      <w:r w:rsidR="00395A48" w:rsidRPr="00294A6C">
        <w:rPr>
          <w:rFonts w:asciiTheme="majorBidi" w:hAnsiTheme="majorBidi" w:cstheme="majorBidi"/>
          <w:sz w:val="20"/>
          <w:szCs w:val="20"/>
        </w:rPr>
        <w:t>an opinion</w:t>
      </w:r>
      <w:r w:rsidR="004119E7" w:rsidRPr="00294A6C">
        <w:rPr>
          <w:rFonts w:asciiTheme="majorBidi" w:hAnsiTheme="majorBidi" w:cstheme="majorBidi"/>
          <w:sz w:val="20"/>
          <w:szCs w:val="20"/>
        </w:rPr>
        <w:t xml:space="preserve"> about the financial state of Easipower. On the facts, however, the court held that, because of the </w:t>
      </w:r>
      <w:r w:rsidR="00395A48" w:rsidRPr="00294A6C">
        <w:rPr>
          <w:rFonts w:asciiTheme="majorBidi" w:hAnsiTheme="majorBidi" w:cstheme="majorBidi"/>
          <w:sz w:val="20"/>
          <w:szCs w:val="20"/>
        </w:rPr>
        <w:t>disclaimer</w:t>
      </w:r>
      <w:r w:rsidR="004119E7" w:rsidRPr="00294A6C">
        <w:rPr>
          <w:rFonts w:asciiTheme="majorBidi" w:hAnsiTheme="majorBidi" w:cstheme="majorBidi"/>
          <w:sz w:val="20"/>
          <w:szCs w:val="20"/>
        </w:rPr>
        <w:t xml:space="preserve"> of responsibility, Hedley Byrne could not rely on the information. </w:t>
      </w:r>
      <w:r w:rsidRPr="00294A6C">
        <w:rPr>
          <w:rFonts w:asciiTheme="majorBidi" w:hAnsiTheme="majorBidi" w:cstheme="majorBidi"/>
          <w:sz w:val="20"/>
          <w:szCs w:val="20"/>
        </w:rPr>
        <w:tab/>
      </w:r>
      <w:r w:rsidR="004119E7" w:rsidRPr="00294A6C">
        <w:rPr>
          <w:rFonts w:asciiTheme="majorBidi" w:hAnsiTheme="majorBidi" w:cstheme="majorBidi"/>
          <w:sz w:val="20"/>
          <w:szCs w:val="20"/>
        </w:rPr>
        <w:t xml:space="preserve">Nevertheless, the </w:t>
      </w:r>
      <w:r w:rsidR="004119E7" w:rsidRPr="00294A6C">
        <w:rPr>
          <w:rFonts w:asciiTheme="majorBidi" w:hAnsiTheme="majorBidi" w:cstheme="majorBidi"/>
          <w:i/>
          <w:sz w:val="20"/>
          <w:szCs w:val="20"/>
        </w:rPr>
        <w:t>Hedley Byrne</w:t>
      </w:r>
      <w:r w:rsidR="004119E7" w:rsidRPr="00294A6C">
        <w:rPr>
          <w:rFonts w:asciiTheme="majorBidi" w:hAnsiTheme="majorBidi" w:cstheme="majorBidi"/>
          <w:sz w:val="20"/>
          <w:szCs w:val="20"/>
        </w:rPr>
        <w:t xml:space="preserve"> decision established the principle of liability to third parties for </w:t>
      </w:r>
      <w:r w:rsidR="00395A48" w:rsidRPr="00294A6C">
        <w:rPr>
          <w:rFonts w:asciiTheme="majorBidi" w:hAnsiTheme="majorBidi" w:cstheme="majorBidi"/>
          <w:sz w:val="20"/>
          <w:szCs w:val="20"/>
        </w:rPr>
        <w:t>negligent</w:t>
      </w:r>
      <w:r w:rsidR="004119E7" w:rsidRPr="00294A6C">
        <w:rPr>
          <w:rFonts w:asciiTheme="majorBidi" w:hAnsiTheme="majorBidi" w:cstheme="majorBidi"/>
          <w:sz w:val="20"/>
          <w:szCs w:val="20"/>
        </w:rPr>
        <w:t xml:space="preserve"> </w:t>
      </w:r>
      <w:r w:rsidR="00395A48" w:rsidRPr="00294A6C">
        <w:rPr>
          <w:rFonts w:asciiTheme="majorBidi" w:hAnsiTheme="majorBidi" w:cstheme="majorBidi"/>
          <w:sz w:val="20"/>
          <w:szCs w:val="20"/>
        </w:rPr>
        <w:t>misrepresentation</w:t>
      </w:r>
      <w:r w:rsidR="004119E7" w:rsidRPr="00294A6C">
        <w:rPr>
          <w:rFonts w:asciiTheme="majorBidi" w:hAnsiTheme="majorBidi" w:cstheme="majorBidi"/>
          <w:sz w:val="20"/>
          <w:szCs w:val="20"/>
        </w:rPr>
        <w:t>.</w:t>
      </w:r>
      <w:r w:rsidRPr="00294A6C">
        <w:rPr>
          <w:rFonts w:asciiTheme="majorBidi" w:hAnsiTheme="majorBidi" w:cstheme="majorBidi"/>
          <w:sz w:val="20"/>
          <w:szCs w:val="20"/>
        </w:rPr>
        <w:t xml:space="preserve"> </w:t>
      </w:r>
      <w:r w:rsidR="00B8070F" w:rsidRPr="00294A6C">
        <w:rPr>
          <w:rFonts w:asciiTheme="majorBidi" w:hAnsiTheme="majorBidi" w:cstheme="majorBidi"/>
          <w:sz w:val="20"/>
          <w:szCs w:val="20"/>
        </w:rPr>
        <w:t xml:space="preserve">The result is that a person who makes such a misstatement may be held liable for losses suffered by a wider group </w:t>
      </w:r>
      <w:r w:rsidR="00395A48" w:rsidRPr="00294A6C">
        <w:rPr>
          <w:rFonts w:asciiTheme="majorBidi" w:hAnsiTheme="majorBidi" w:cstheme="majorBidi"/>
          <w:sz w:val="20"/>
          <w:szCs w:val="20"/>
        </w:rPr>
        <w:t>than</w:t>
      </w:r>
      <w:r w:rsidR="00B8070F" w:rsidRPr="00294A6C">
        <w:rPr>
          <w:rFonts w:asciiTheme="majorBidi" w:hAnsiTheme="majorBidi" w:cstheme="majorBidi"/>
          <w:sz w:val="20"/>
          <w:szCs w:val="20"/>
        </w:rPr>
        <w:t xml:space="preserve"> those with whom she has a direct contractual or fiduciary relationship. The </w:t>
      </w:r>
      <w:r w:rsidR="00395A48" w:rsidRPr="00294A6C">
        <w:rPr>
          <w:rFonts w:asciiTheme="majorBidi" w:hAnsiTheme="majorBidi" w:cstheme="majorBidi"/>
          <w:sz w:val="20"/>
          <w:szCs w:val="20"/>
        </w:rPr>
        <w:t>crucial</w:t>
      </w:r>
      <w:r w:rsidR="00B8070F" w:rsidRPr="00294A6C">
        <w:rPr>
          <w:rFonts w:asciiTheme="majorBidi" w:hAnsiTheme="majorBidi" w:cstheme="majorBidi"/>
          <w:sz w:val="20"/>
          <w:szCs w:val="20"/>
        </w:rPr>
        <w:t xml:space="preserve"> question is, how </w:t>
      </w:r>
      <w:r w:rsidR="00395A48" w:rsidRPr="00294A6C">
        <w:rPr>
          <w:rFonts w:asciiTheme="majorBidi" w:hAnsiTheme="majorBidi" w:cstheme="majorBidi"/>
          <w:sz w:val="20"/>
          <w:szCs w:val="20"/>
        </w:rPr>
        <w:t>wide is that group?</w:t>
      </w:r>
      <w:r w:rsidR="00B8070F" w:rsidRPr="00294A6C">
        <w:rPr>
          <w:rFonts w:asciiTheme="majorBidi" w:hAnsiTheme="majorBidi" w:cstheme="majorBidi"/>
          <w:sz w:val="20"/>
          <w:szCs w:val="20"/>
        </w:rPr>
        <w:t xml:space="preserve"> </w:t>
      </w:r>
    </w:p>
    <w:p w:rsidR="00B8070F" w:rsidRPr="00294A6C" w:rsidRDefault="00B8070F" w:rsidP="00523674">
      <w:pPr>
        <w:rPr>
          <w:rFonts w:asciiTheme="majorBidi" w:hAnsiTheme="majorBidi" w:cstheme="majorBidi"/>
          <w:sz w:val="20"/>
          <w:szCs w:val="20"/>
        </w:rPr>
      </w:pPr>
    </w:p>
    <w:p w:rsidR="00B8070F" w:rsidRPr="00294A6C" w:rsidRDefault="00B8070F" w:rsidP="00523674">
      <w:pPr>
        <w:rPr>
          <w:rFonts w:asciiTheme="majorBidi" w:hAnsiTheme="majorBidi" w:cstheme="majorBidi"/>
          <w:b/>
          <w:sz w:val="20"/>
          <w:szCs w:val="20"/>
        </w:rPr>
      </w:pPr>
      <w:r w:rsidRPr="00294A6C">
        <w:rPr>
          <w:rFonts w:asciiTheme="majorBidi" w:hAnsiTheme="majorBidi" w:cstheme="majorBidi"/>
          <w:b/>
          <w:sz w:val="20"/>
          <w:szCs w:val="20"/>
        </w:rPr>
        <w:t>The Duty of Care</w:t>
      </w:r>
    </w:p>
    <w:p w:rsidR="00B8070F" w:rsidRPr="00294A6C" w:rsidRDefault="00B8070F" w:rsidP="00523674">
      <w:pPr>
        <w:rPr>
          <w:rFonts w:asciiTheme="majorBidi" w:hAnsiTheme="majorBidi" w:cstheme="majorBidi"/>
          <w:sz w:val="20"/>
          <w:szCs w:val="20"/>
        </w:rPr>
      </w:pPr>
      <w:r w:rsidRPr="00294A6C">
        <w:rPr>
          <w:rFonts w:asciiTheme="majorBidi" w:hAnsiTheme="majorBidi" w:cstheme="majorBidi"/>
          <w:sz w:val="20"/>
          <w:szCs w:val="20"/>
        </w:rPr>
        <w:t xml:space="preserve">If the test of liability for negligent </w:t>
      </w:r>
      <w:r w:rsidR="00395A48" w:rsidRPr="00294A6C">
        <w:rPr>
          <w:rFonts w:asciiTheme="majorBidi" w:hAnsiTheme="majorBidi" w:cstheme="majorBidi"/>
          <w:sz w:val="20"/>
          <w:szCs w:val="20"/>
        </w:rPr>
        <w:t>misrepresentation</w:t>
      </w:r>
      <w:r w:rsidRPr="00294A6C">
        <w:rPr>
          <w:rFonts w:asciiTheme="majorBidi" w:hAnsiTheme="majorBidi" w:cstheme="majorBidi"/>
          <w:sz w:val="20"/>
          <w:szCs w:val="20"/>
        </w:rPr>
        <w:t xml:space="preserve"> turned entirely on who could foreseeably be harmed, banks, public accountants, and other financial analysts might be faced with an almost unlimited liability. For example, the auditors of a corporation whose financial statements are public know that the statements will be relied upon by many people who are unknown to them. They could be liable then to anyone who </w:t>
      </w:r>
      <w:r w:rsidR="00395A48" w:rsidRPr="00294A6C">
        <w:rPr>
          <w:rFonts w:asciiTheme="majorBidi" w:hAnsiTheme="majorBidi" w:cstheme="majorBidi"/>
          <w:sz w:val="20"/>
          <w:szCs w:val="20"/>
        </w:rPr>
        <w:t>might</w:t>
      </w:r>
      <w:r w:rsidRPr="00294A6C">
        <w:rPr>
          <w:rFonts w:asciiTheme="majorBidi" w:hAnsiTheme="majorBidi" w:cstheme="majorBidi"/>
          <w:sz w:val="20"/>
          <w:szCs w:val="20"/>
        </w:rPr>
        <w:t xml:space="preserve"> happen to read the financial statements. The Supreme Court of Canada considered this issue in </w:t>
      </w:r>
      <w:r w:rsidRPr="00294A6C">
        <w:rPr>
          <w:rFonts w:asciiTheme="majorBidi" w:hAnsiTheme="majorBidi" w:cstheme="majorBidi"/>
          <w:i/>
          <w:sz w:val="20"/>
          <w:szCs w:val="20"/>
        </w:rPr>
        <w:t>Hercules Management Ltd. V. Ernst &amp; Young</w:t>
      </w:r>
      <w:r w:rsidRPr="00294A6C">
        <w:rPr>
          <w:rFonts w:asciiTheme="majorBidi" w:hAnsiTheme="majorBidi" w:cstheme="majorBidi"/>
          <w:sz w:val="20"/>
          <w:szCs w:val="20"/>
        </w:rPr>
        <w:t>.</w:t>
      </w:r>
    </w:p>
    <w:p w:rsidR="00B8070F" w:rsidRPr="00294A6C" w:rsidRDefault="00B8070F" w:rsidP="00523674">
      <w:pPr>
        <w:rPr>
          <w:rFonts w:asciiTheme="majorBidi" w:hAnsiTheme="majorBidi" w:cstheme="majorBidi"/>
          <w:sz w:val="20"/>
          <w:szCs w:val="20"/>
        </w:rPr>
      </w:pPr>
    </w:p>
    <w:p w:rsidR="00B8070F" w:rsidRPr="00294A6C" w:rsidRDefault="00B8070F" w:rsidP="00523674">
      <w:pPr>
        <w:rPr>
          <w:rFonts w:asciiTheme="majorBidi" w:hAnsiTheme="majorBidi" w:cstheme="majorBidi"/>
          <w:b/>
          <w:sz w:val="20"/>
          <w:szCs w:val="20"/>
        </w:rPr>
      </w:pPr>
      <w:r w:rsidRPr="00294A6C">
        <w:rPr>
          <w:rFonts w:asciiTheme="majorBidi" w:hAnsiTheme="majorBidi" w:cstheme="majorBidi"/>
          <w:b/>
          <w:sz w:val="20"/>
          <w:szCs w:val="20"/>
        </w:rPr>
        <w:t>Case 4.7</w:t>
      </w:r>
    </w:p>
    <w:p w:rsidR="00B8070F" w:rsidRPr="00294A6C" w:rsidRDefault="00B8070F" w:rsidP="00523674">
      <w:pPr>
        <w:rPr>
          <w:rFonts w:asciiTheme="majorBidi" w:hAnsiTheme="majorBidi" w:cstheme="majorBidi"/>
          <w:sz w:val="20"/>
          <w:szCs w:val="20"/>
        </w:rPr>
      </w:pPr>
      <w:r w:rsidRPr="00294A6C">
        <w:rPr>
          <w:rFonts w:asciiTheme="majorBidi" w:hAnsiTheme="majorBidi" w:cstheme="majorBidi"/>
          <w:sz w:val="20"/>
          <w:szCs w:val="20"/>
        </w:rPr>
        <w:t>Shareholders in two corporations brought an action against a firm of accountants, alleging that audits of the corporations’ financial statements had been negligently prepared, and that in consequence, they had incurred investment losses and losses in the value of their shareholdings. Their claim failed.</w:t>
      </w:r>
    </w:p>
    <w:p w:rsidR="00B8070F" w:rsidRPr="00294A6C" w:rsidRDefault="000E645A" w:rsidP="00523674">
      <w:pPr>
        <w:rPr>
          <w:rFonts w:asciiTheme="majorBidi" w:hAnsiTheme="majorBidi" w:cstheme="majorBidi"/>
          <w:sz w:val="20"/>
          <w:szCs w:val="20"/>
        </w:rPr>
      </w:pPr>
      <w:r w:rsidRPr="00294A6C">
        <w:rPr>
          <w:rFonts w:asciiTheme="majorBidi" w:hAnsiTheme="majorBidi" w:cstheme="majorBidi"/>
          <w:sz w:val="20"/>
          <w:szCs w:val="20"/>
        </w:rPr>
        <w:tab/>
      </w:r>
      <w:r w:rsidR="00B8070F" w:rsidRPr="00294A6C">
        <w:rPr>
          <w:rFonts w:asciiTheme="majorBidi" w:hAnsiTheme="majorBidi" w:cstheme="majorBidi"/>
          <w:sz w:val="20"/>
          <w:szCs w:val="20"/>
        </w:rPr>
        <w:t xml:space="preserve">The Supreme Court held that (a) there was no contractual relationship between the auditors of a corporation and its shareholders; (b) the purpose of the auditor’s report was to oversee the management and affairs of the corporation, and (c) the auditors owed shareholders no duty of care in </w:t>
      </w:r>
      <w:r w:rsidR="00395A48" w:rsidRPr="00294A6C">
        <w:rPr>
          <w:rFonts w:asciiTheme="majorBidi" w:hAnsiTheme="majorBidi" w:cstheme="majorBidi"/>
          <w:sz w:val="20"/>
          <w:szCs w:val="20"/>
        </w:rPr>
        <w:t>respect</w:t>
      </w:r>
      <w:r w:rsidR="00B8070F" w:rsidRPr="00294A6C">
        <w:rPr>
          <w:rFonts w:asciiTheme="majorBidi" w:hAnsiTheme="majorBidi" w:cstheme="majorBidi"/>
          <w:sz w:val="20"/>
          <w:szCs w:val="20"/>
        </w:rPr>
        <w:t xml:space="preserve"> of their personal investments.</w:t>
      </w:r>
    </w:p>
    <w:p w:rsidR="00B8070F" w:rsidRPr="00294A6C" w:rsidRDefault="00B8070F" w:rsidP="00523674">
      <w:pPr>
        <w:rPr>
          <w:rFonts w:asciiTheme="majorBidi" w:hAnsiTheme="majorBidi" w:cstheme="majorBidi"/>
          <w:sz w:val="20"/>
          <w:szCs w:val="20"/>
        </w:rPr>
      </w:pPr>
    </w:p>
    <w:p w:rsidR="00A2424E" w:rsidRPr="00294A6C" w:rsidRDefault="00B8070F" w:rsidP="00523674">
      <w:pPr>
        <w:rPr>
          <w:rFonts w:asciiTheme="majorBidi" w:hAnsiTheme="majorBidi" w:cstheme="majorBidi"/>
          <w:sz w:val="20"/>
          <w:szCs w:val="20"/>
        </w:rPr>
      </w:pPr>
      <w:r w:rsidRPr="00294A6C">
        <w:rPr>
          <w:rFonts w:asciiTheme="majorBidi" w:hAnsiTheme="majorBidi" w:cstheme="majorBidi"/>
          <w:sz w:val="20"/>
          <w:szCs w:val="20"/>
        </w:rPr>
        <w:t>As to the existence of a duty of care, the court applied the two-part test discussed in Chapter 3, expressed as follows:</w:t>
      </w:r>
    </w:p>
    <w:p w:rsidR="00A2424E" w:rsidRPr="00294A6C" w:rsidRDefault="00A2424E" w:rsidP="00395A48">
      <w:pPr>
        <w:ind w:left="567" w:right="276"/>
        <w:jc w:val="both"/>
        <w:rPr>
          <w:rFonts w:asciiTheme="majorBidi" w:hAnsiTheme="majorBidi" w:cstheme="majorBidi"/>
          <w:sz w:val="20"/>
          <w:szCs w:val="20"/>
        </w:rPr>
      </w:pPr>
      <w:r w:rsidRPr="00294A6C">
        <w:rPr>
          <w:rFonts w:asciiTheme="majorBidi" w:hAnsiTheme="majorBidi" w:cstheme="majorBidi"/>
          <w:sz w:val="20"/>
          <w:szCs w:val="20"/>
        </w:rPr>
        <w:t xml:space="preserve">“First one has to ask whether, as between the alleged wrongdoer and the person who has suffered damage there is a sufficient relationship of proximity or neighbourhood such that, in the reasonable contemplation of the former, carelessness on his part may be likely to cause damage to the latter – in which case a prima facie duty of care arises. Secondly, if the first </w:t>
      </w:r>
      <w:r w:rsidRPr="00294A6C">
        <w:rPr>
          <w:rFonts w:asciiTheme="majorBidi" w:hAnsiTheme="majorBidi" w:cstheme="majorBidi"/>
          <w:sz w:val="20"/>
          <w:szCs w:val="20"/>
        </w:rPr>
        <w:lastRenderedPageBreak/>
        <w:t xml:space="preserve">question is answered affirmatively, it is necessary to consider whether </w:t>
      </w:r>
      <w:r w:rsidR="00395A48" w:rsidRPr="00294A6C">
        <w:rPr>
          <w:rFonts w:asciiTheme="majorBidi" w:hAnsiTheme="majorBidi" w:cstheme="majorBidi"/>
          <w:sz w:val="20"/>
          <w:szCs w:val="20"/>
        </w:rPr>
        <w:t>there</w:t>
      </w:r>
      <w:r w:rsidRPr="00294A6C">
        <w:rPr>
          <w:rFonts w:asciiTheme="majorBidi" w:hAnsiTheme="majorBidi" w:cstheme="majorBidi"/>
          <w:sz w:val="20"/>
          <w:szCs w:val="20"/>
        </w:rPr>
        <w:t xml:space="preserve"> </w:t>
      </w:r>
      <w:proofErr w:type="gramStart"/>
      <w:r w:rsidRPr="00294A6C">
        <w:rPr>
          <w:rFonts w:asciiTheme="majorBidi" w:hAnsiTheme="majorBidi" w:cstheme="majorBidi"/>
          <w:sz w:val="20"/>
          <w:szCs w:val="20"/>
        </w:rPr>
        <w:t>are</w:t>
      </w:r>
      <w:proofErr w:type="gramEnd"/>
      <w:r w:rsidRPr="00294A6C">
        <w:rPr>
          <w:rFonts w:asciiTheme="majorBidi" w:hAnsiTheme="majorBidi" w:cstheme="majorBidi"/>
          <w:sz w:val="20"/>
          <w:szCs w:val="20"/>
        </w:rPr>
        <w:t xml:space="preserve"> consideration which ought to negative, or to reduce or limit the scope of the duty or the class of person to whom it is owed or the damages to which a breach of it may give rise…”</w:t>
      </w:r>
    </w:p>
    <w:p w:rsidR="00A2424E" w:rsidRPr="00294A6C" w:rsidRDefault="00A2424E" w:rsidP="00523674">
      <w:pPr>
        <w:rPr>
          <w:rFonts w:asciiTheme="majorBidi" w:hAnsiTheme="majorBidi" w:cstheme="majorBidi"/>
          <w:sz w:val="20"/>
          <w:szCs w:val="20"/>
        </w:rPr>
      </w:pPr>
    </w:p>
    <w:p w:rsidR="00BA6D7C" w:rsidRPr="00294A6C" w:rsidRDefault="00395A48" w:rsidP="00523674">
      <w:pPr>
        <w:rPr>
          <w:rFonts w:asciiTheme="majorBidi" w:hAnsiTheme="majorBidi" w:cstheme="majorBidi"/>
          <w:sz w:val="20"/>
          <w:szCs w:val="20"/>
        </w:rPr>
      </w:pPr>
      <w:r w:rsidRPr="00294A6C">
        <w:rPr>
          <w:rFonts w:asciiTheme="majorBidi" w:hAnsiTheme="majorBidi" w:cstheme="majorBidi"/>
          <w:sz w:val="20"/>
          <w:szCs w:val="20"/>
        </w:rPr>
        <w:tab/>
      </w:r>
      <w:r w:rsidR="00A2424E" w:rsidRPr="00294A6C">
        <w:rPr>
          <w:rFonts w:asciiTheme="majorBidi" w:hAnsiTheme="majorBidi" w:cstheme="majorBidi"/>
          <w:sz w:val="20"/>
          <w:szCs w:val="20"/>
        </w:rPr>
        <w:t xml:space="preserve">The first branch of the test requires an inquiry into whether there is a sufficiently close relationship between the plaintiff and the defendant that, in the reasonable contemplation of the </w:t>
      </w:r>
      <w:r w:rsidR="00A2424E" w:rsidRPr="00294A6C">
        <w:rPr>
          <w:rFonts w:asciiTheme="majorBidi" w:hAnsiTheme="majorBidi" w:cstheme="majorBidi"/>
          <w:i/>
          <w:sz w:val="20"/>
          <w:szCs w:val="20"/>
        </w:rPr>
        <w:t>defendant</w:t>
      </w:r>
      <w:r w:rsidR="00A2424E" w:rsidRPr="00294A6C">
        <w:rPr>
          <w:rFonts w:asciiTheme="majorBidi" w:hAnsiTheme="majorBidi" w:cstheme="majorBidi"/>
          <w:sz w:val="20"/>
          <w:szCs w:val="20"/>
        </w:rPr>
        <w:t>, carelessness on its part</w:t>
      </w:r>
      <w:r w:rsidR="00BA6D7C" w:rsidRPr="00294A6C">
        <w:rPr>
          <w:rFonts w:asciiTheme="majorBidi" w:hAnsiTheme="majorBidi" w:cstheme="majorBidi"/>
          <w:sz w:val="20"/>
          <w:szCs w:val="20"/>
        </w:rPr>
        <w:t xml:space="preserve"> may cause damage to the plaintiff. The second branch of the test considers limiting the duty for public policy reasons – the extent of liability must be predictable. If the number of plaintiffs or </w:t>
      </w:r>
      <w:r w:rsidRPr="00294A6C">
        <w:rPr>
          <w:rFonts w:asciiTheme="majorBidi" w:hAnsiTheme="majorBidi" w:cstheme="majorBidi"/>
          <w:sz w:val="20"/>
          <w:szCs w:val="20"/>
        </w:rPr>
        <w:t>magnitude of their losses is</w:t>
      </w:r>
      <w:r w:rsidR="00BA6D7C" w:rsidRPr="00294A6C">
        <w:rPr>
          <w:rFonts w:asciiTheme="majorBidi" w:hAnsiTheme="majorBidi" w:cstheme="majorBidi"/>
          <w:sz w:val="20"/>
          <w:szCs w:val="20"/>
        </w:rPr>
        <w:t xml:space="preserve"> undeterminable, public policy concerns may cause a court to restrict the duty owed.</w:t>
      </w:r>
    </w:p>
    <w:p w:rsidR="00BA6D7C" w:rsidRPr="00294A6C" w:rsidRDefault="00395A48" w:rsidP="00523674">
      <w:pPr>
        <w:rPr>
          <w:rFonts w:asciiTheme="majorBidi" w:hAnsiTheme="majorBidi" w:cstheme="majorBidi"/>
          <w:sz w:val="20"/>
          <w:szCs w:val="20"/>
        </w:rPr>
      </w:pPr>
      <w:r w:rsidRPr="00294A6C">
        <w:rPr>
          <w:rFonts w:asciiTheme="majorBidi" w:hAnsiTheme="majorBidi" w:cstheme="majorBidi"/>
          <w:sz w:val="20"/>
          <w:szCs w:val="20"/>
        </w:rPr>
        <w:tab/>
      </w:r>
      <w:r w:rsidR="00BA6D7C" w:rsidRPr="00294A6C">
        <w:rPr>
          <w:rFonts w:asciiTheme="majorBidi" w:hAnsiTheme="majorBidi" w:cstheme="majorBidi"/>
          <w:sz w:val="20"/>
          <w:szCs w:val="20"/>
        </w:rPr>
        <w:t xml:space="preserve">In </w:t>
      </w:r>
      <w:r w:rsidR="00BA6D7C" w:rsidRPr="00294A6C">
        <w:rPr>
          <w:rFonts w:asciiTheme="majorBidi" w:hAnsiTheme="majorBidi" w:cstheme="majorBidi"/>
          <w:i/>
          <w:sz w:val="20"/>
          <w:szCs w:val="20"/>
        </w:rPr>
        <w:t>Hercules</w:t>
      </w:r>
      <w:r w:rsidR="00BA6D7C" w:rsidRPr="00294A6C">
        <w:rPr>
          <w:rFonts w:asciiTheme="majorBidi" w:hAnsiTheme="majorBidi" w:cstheme="majorBidi"/>
          <w:sz w:val="20"/>
          <w:szCs w:val="20"/>
        </w:rPr>
        <w:t xml:space="preserve">, the Court held that a duty was owed to the shareholder as the </w:t>
      </w:r>
      <w:r w:rsidR="00BA6D7C" w:rsidRPr="00294A6C">
        <w:rPr>
          <w:rFonts w:asciiTheme="majorBidi" w:hAnsiTheme="majorBidi" w:cstheme="majorBidi"/>
          <w:i/>
          <w:sz w:val="20"/>
          <w:szCs w:val="20"/>
        </w:rPr>
        <w:t>defendant knew</w:t>
      </w:r>
      <w:r w:rsidR="00BA6D7C" w:rsidRPr="00294A6C">
        <w:rPr>
          <w:rFonts w:asciiTheme="majorBidi" w:hAnsiTheme="majorBidi" w:cstheme="majorBidi"/>
          <w:sz w:val="20"/>
          <w:szCs w:val="20"/>
        </w:rPr>
        <w:t xml:space="preserve"> or reasonably should have known that shareholders would receive the information. </w:t>
      </w:r>
      <w:r w:rsidRPr="00294A6C">
        <w:rPr>
          <w:rFonts w:asciiTheme="majorBidi" w:hAnsiTheme="majorBidi" w:cstheme="majorBidi"/>
          <w:sz w:val="20"/>
          <w:szCs w:val="20"/>
        </w:rPr>
        <w:t>However,</w:t>
      </w:r>
      <w:r w:rsidR="00BA6D7C" w:rsidRPr="00294A6C">
        <w:rPr>
          <w:rFonts w:asciiTheme="majorBidi" w:hAnsiTheme="majorBidi" w:cstheme="majorBidi"/>
          <w:sz w:val="20"/>
          <w:szCs w:val="20"/>
        </w:rPr>
        <w:t xml:space="preserve"> public policy </w:t>
      </w:r>
      <w:r w:rsidRPr="00294A6C">
        <w:rPr>
          <w:rFonts w:asciiTheme="majorBidi" w:hAnsiTheme="majorBidi" w:cstheme="majorBidi"/>
          <w:sz w:val="20"/>
          <w:szCs w:val="20"/>
        </w:rPr>
        <w:t>concern</w:t>
      </w:r>
      <w:r w:rsidR="00BA6D7C" w:rsidRPr="00294A6C">
        <w:rPr>
          <w:rFonts w:asciiTheme="majorBidi" w:hAnsiTheme="majorBidi" w:cstheme="majorBidi"/>
          <w:sz w:val="20"/>
          <w:szCs w:val="20"/>
        </w:rPr>
        <w:t xml:space="preserve"> over the scope of liability justified limiting the duty to only circumstances where the information was being used for the purpose for which it was given. As a matter of law, the only purpose of guiding their personal investment decisions. Therefore, no duty of care was owed to them in that regard.</w:t>
      </w:r>
    </w:p>
    <w:p w:rsidR="00BA6D7C" w:rsidRPr="00294A6C" w:rsidRDefault="00BA6D7C" w:rsidP="00523674">
      <w:pPr>
        <w:rPr>
          <w:rFonts w:asciiTheme="majorBidi" w:hAnsiTheme="majorBidi" w:cstheme="majorBidi"/>
          <w:sz w:val="20"/>
          <w:szCs w:val="20"/>
        </w:rPr>
      </w:pPr>
    </w:p>
    <w:p w:rsidR="00BA6D7C" w:rsidRPr="00294A6C" w:rsidRDefault="00BA6D7C" w:rsidP="00523674">
      <w:pPr>
        <w:rPr>
          <w:rFonts w:asciiTheme="majorBidi" w:hAnsiTheme="majorBidi" w:cstheme="majorBidi"/>
          <w:b/>
          <w:sz w:val="20"/>
          <w:szCs w:val="20"/>
        </w:rPr>
      </w:pPr>
      <w:r w:rsidRPr="00294A6C">
        <w:rPr>
          <w:rFonts w:asciiTheme="majorBidi" w:hAnsiTheme="majorBidi" w:cstheme="majorBidi"/>
          <w:b/>
          <w:sz w:val="20"/>
          <w:szCs w:val="20"/>
        </w:rPr>
        <w:t>Elements of Negligent Misrepresentation</w:t>
      </w:r>
    </w:p>
    <w:p w:rsidR="00BA6D7C" w:rsidRPr="00294A6C" w:rsidRDefault="00BA6D7C" w:rsidP="00523674">
      <w:pPr>
        <w:rPr>
          <w:rFonts w:asciiTheme="majorBidi" w:hAnsiTheme="majorBidi" w:cstheme="majorBidi"/>
          <w:sz w:val="20"/>
          <w:szCs w:val="20"/>
        </w:rPr>
      </w:pPr>
      <w:r w:rsidRPr="00294A6C">
        <w:rPr>
          <w:rFonts w:asciiTheme="majorBidi" w:hAnsiTheme="majorBidi" w:cstheme="majorBidi"/>
          <w:sz w:val="20"/>
          <w:szCs w:val="20"/>
        </w:rPr>
        <w:t xml:space="preserve">The five requirements for </w:t>
      </w:r>
      <w:r w:rsidR="00395A48" w:rsidRPr="00294A6C">
        <w:rPr>
          <w:rFonts w:asciiTheme="majorBidi" w:hAnsiTheme="majorBidi" w:cstheme="majorBidi"/>
          <w:sz w:val="20"/>
          <w:szCs w:val="20"/>
        </w:rPr>
        <w:t>proving</w:t>
      </w:r>
      <w:r w:rsidRPr="00294A6C">
        <w:rPr>
          <w:rFonts w:asciiTheme="majorBidi" w:hAnsiTheme="majorBidi" w:cstheme="majorBidi"/>
          <w:sz w:val="20"/>
          <w:szCs w:val="20"/>
        </w:rPr>
        <w:t xml:space="preserve"> negligent </w:t>
      </w:r>
      <w:r w:rsidR="00395A48" w:rsidRPr="00294A6C">
        <w:rPr>
          <w:rFonts w:asciiTheme="majorBidi" w:hAnsiTheme="majorBidi" w:cstheme="majorBidi"/>
          <w:sz w:val="20"/>
          <w:szCs w:val="20"/>
        </w:rPr>
        <w:t>misrepresentation</w:t>
      </w:r>
      <w:r w:rsidRPr="00294A6C">
        <w:rPr>
          <w:rFonts w:asciiTheme="majorBidi" w:hAnsiTheme="majorBidi" w:cstheme="majorBidi"/>
          <w:sz w:val="20"/>
          <w:szCs w:val="20"/>
        </w:rPr>
        <w:t xml:space="preserve"> are:</w:t>
      </w:r>
    </w:p>
    <w:p w:rsidR="00BA6D7C" w:rsidRPr="00294A6C" w:rsidRDefault="00BA6D7C" w:rsidP="00523674">
      <w:pPr>
        <w:rPr>
          <w:rFonts w:asciiTheme="majorBidi" w:hAnsiTheme="majorBidi" w:cstheme="majorBidi"/>
          <w:sz w:val="20"/>
          <w:szCs w:val="20"/>
        </w:rPr>
      </w:pPr>
      <w:r w:rsidRPr="00294A6C">
        <w:rPr>
          <w:rFonts w:asciiTheme="majorBidi" w:hAnsiTheme="majorBidi" w:cstheme="majorBidi"/>
          <w:sz w:val="20"/>
          <w:szCs w:val="20"/>
        </w:rPr>
        <w:t xml:space="preserve">1. There must be a duty of care based on </w:t>
      </w:r>
      <w:r w:rsidRPr="00294A6C">
        <w:rPr>
          <w:rFonts w:asciiTheme="majorBidi" w:hAnsiTheme="majorBidi" w:cstheme="majorBidi"/>
          <w:b/>
          <w:sz w:val="20"/>
          <w:szCs w:val="20"/>
        </w:rPr>
        <w:t>“special relationship”</w:t>
      </w:r>
      <w:r w:rsidRPr="00294A6C">
        <w:rPr>
          <w:rFonts w:asciiTheme="majorBidi" w:hAnsiTheme="majorBidi" w:cstheme="majorBidi"/>
          <w:sz w:val="20"/>
          <w:szCs w:val="20"/>
        </w:rPr>
        <w:t xml:space="preserve"> between the representor and the representee;</w:t>
      </w:r>
    </w:p>
    <w:p w:rsidR="00BA6D7C" w:rsidRPr="00294A6C" w:rsidRDefault="00BA6D7C" w:rsidP="00523674">
      <w:pPr>
        <w:rPr>
          <w:rFonts w:asciiTheme="majorBidi" w:hAnsiTheme="majorBidi" w:cstheme="majorBidi"/>
          <w:sz w:val="20"/>
          <w:szCs w:val="20"/>
        </w:rPr>
      </w:pPr>
      <w:r w:rsidRPr="00294A6C">
        <w:rPr>
          <w:rFonts w:asciiTheme="majorBidi" w:hAnsiTheme="majorBidi" w:cstheme="majorBidi"/>
          <w:sz w:val="20"/>
          <w:szCs w:val="20"/>
        </w:rPr>
        <w:t xml:space="preserve">2. The representation in question must be </w:t>
      </w:r>
      <w:r w:rsidRPr="00294A6C">
        <w:rPr>
          <w:rFonts w:asciiTheme="majorBidi" w:hAnsiTheme="majorBidi" w:cstheme="majorBidi"/>
          <w:b/>
          <w:sz w:val="20"/>
          <w:szCs w:val="20"/>
        </w:rPr>
        <w:t>untrue, inaccurate, or misleading</w:t>
      </w:r>
      <w:r w:rsidRPr="00294A6C">
        <w:rPr>
          <w:rFonts w:asciiTheme="majorBidi" w:hAnsiTheme="majorBidi" w:cstheme="majorBidi"/>
          <w:sz w:val="20"/>
          <w:szCs w:val="20"/>
        </w:rPr>
        <w:t>;</w:t>
      </w:r>
    </w:p>
    <w:p w:rsidR="00BA6D7C" w:rsidRPr="00294A6C" w:rsidRDefault="00BA6D7C" w:rsidP="00523674">
      <w:pPr>
        <w:rPr>
          <w:rFonts w:asciiTheme="majorBidi" w:hAnsiTheme="majorBidi" w:cstheme="majorBidi"/>
          <w:sz w:val="20"/>
          <w:szCs w:val="20"/>
        </w:rPr>
      </w:pPr>
      <w:r w:rsidRPr="00294A6C">
        <w:rPr>
          <w:rFonts w:asciiTheme="majorBidi" w:hAnsiTheme="majorBidi" w:cstheme="majorBidi"/>
          <w:sz w:val="20"/>
          <w:szCs w:val="20"/>
        </w:rPr>
        <w:t xml:space="preserve">3. The </w:t>
      </w:r>
      <w:r w:rsidRPr="00294A6C">
        <w:rPr>
          <w:rFonts w:asciiTheme="majorBidi" w:hAnsiTheme="majorBidi" w:cstheme="majorBidi"/>
          <w:b/>
          <w:sz w:val="20"/>
          <w:szCs w:val="20"/>
        </w:rPr>
        <w:t>representor must have acted negligently</w:t>
      </w:r>
      <w:r w:rsidRPr="00294A6C">
        <w:rPr>
          <w:rFonts w:asciiTheme="majorBidi" w:hAnsiTheme="majorBidi" w:cstheme="majorBidi"/>
          <w:sz w:val="20"/>
          <w:szCs w:val="20"/>
        </w:rPr>
        <w:t xml:space="preserve"> in making the </w:t>
      </w:r>
      <w:r w:rsidR="00395A48" w:rsidRPr="00294A6C">
        <w:rPr>
          <w:rFonts w:asciiTheme="majorBidi" w:hAnsiTheme="majorBidi" w:cstheme="majorBidi"/>
          <w:sz w:val="20"/>
          <w:szCs w:val="20"/>
        </w:rPr>
        <w:t>misrepresentation</w:t>
      </w:r>
      <w:r w:rsidRPr="00294A6C">
        <w:rPr>
          <w:rFonts w:asciiTheme="majorBidi" w:hAnsiTheme="majorBidi" w:cstheme="majorBidi"/>
          <w:sz w:val="20"/>
          <w:szCs w:val="20"/>
        </w:rPr>
        <w:t xml:space="preserve"> – that is, he or she must have </w:t>
      </w:r>
      <w:r w:rsidRPr="00294A6C">
        <w:rPr>
          <w:rFonts w:asciiTheme="majorBidi" w:hAnsiTheme="majorBidi" w:cstheme="majorBidi"/>
          <w:b/>
          <w:sz w:val="20"/>
          <w:szCs w:val="20"/>
        </w:rPr>
        <w:t>fallen below the requisite standard of care</w:t>
      </w:r>
      <w:r w:rsidRPr="00294A6C">
        <w:rPr>
          <w:rFonts w:asciiTheme="majorBidi" w:hAnsiTheme="majorBidi" w:cstheme="majorBidi"/>
          <w:sz w:val="20"/>
          <w:szCs w:val="20"/>
        </w:rPr>
        <w:t xml:space="preserve"> required of a professional making such a </w:t>
      </w:r>
      <w:r w:rsidR="00395A48" w:rsidRPr="00294A6C">
        <w:rPr>
          <w:rFonts w:asciiTheme="majorBidi" w:hAnsiTheme="majorBidi" w:cstheme="majorBidi"/>
          <w:sz w:val="20"/>
          <w:szCs w:val="20"/>
        </w:rPr>
        <w:t>representation</w:t>
      </w:r>
    </w:p>
    <w:p w:rsidR="00BA6D7C" w:rsidRPr="00294A6C" w:rsidRDefault="00BA6D7C" w:rsidP="00523674">
      <w:pPr>
        <w:rPr>
          <w:rFonts w:asciiTheme="majorBidi" w:hAnsiTheme="majorBidi" w:cstheme="majorBidi"/>
          <w:sz w:val="20"/>
          <w:szCs w:val="20"/>
        </w:rPr>
      </w:pPr>
      <w:r w:rsidRPr="00294A6C">
        <w:rPr>
          <w:rFonts w:asciiTheme="majorBidi" w:hAnsiTheme="majorBidi" w:cstheme="majorBidi"/>
          <w:sz w:val="20"/>
          <w:szCs w:val="20"/>
        </w:rPr>
        <w:t xml:space="preserve">4. The </w:t>
      </w:r>
      <w:r w:rsidRPr="00294A6C">
        <w:rPr>
          <w:rFonts w:asciiTheme="majorBidi" w:hAnsiTheme="majorBidi" w:cstheme="majorBidi"/>
          <w:b/>
          <w:sz w:val="20"/>
          <w:szCs w:val="20"/>
        </w:rPr>
        <w:t>representee must have relied, in a reasonable manner</w:t>
      </w:r>
      <w:r w:rsidRPr="00294A6C">
        <w:rPr>
          <w:rFonts w:asciiTheme="majorBidi" w:hAnsiTheme="majorBidi" w:cstheme="majorBidi"/>
          <w:sz w:val="20"/>
          <w:szCs w:val="20"/>
        </w:rPr>
        <w:t xml:space="preserve">, on the negligent </w:t>
      </w:r>
      <w:r w:rsidR="00395A48" w:rsidRPr="00294A6C">
        <w:rPr>
          <w:rFonts w:asciiTheme="majorBidi" w:hAnsiTheme="majorBidi" w:cstheme="majorBidi"/>
          <w:sz w:val="20"/>
          <w:szCs w:val="20"/>
        </w:rPr>
        <w:t>misrepresentation</w:t>
      </w:r>
      <w:r w:rsidRPr="00294A6C">
        <w:rPr>
          <w:rFonts w:asciiTheme="majorBidi" w:hAnsiTheme="majorBidi" w:cstheme="majorBidi"/>
          <w:sz w:val="20"/>
          <w:szCs w:val="20"/>
        </w:rPr>
        <w:t>; and</w:t>
      </w:r>
    </w:p>
    <w:p w:rsidR="00323D3B" w:rsidRPr="00294A6C" w:rsidRDefault="00BA6D7C" w:rsidP="00523674">
      <w:pPr>
        <w:rPr>
          <w:rFonts w:asciiTheme="majorBidi" w:hAnsiTheme="majorBidi" w:cstheme="majorBidi"/>
          <w:sz w:val="20"/>
          <w:szCs w:val="20"/>
        </w:rPr>
      </w:pPr>
      <w:r w:rsidRPr="00294A6C">
        <w:rPr>
          <w:rFonts w:asciiTheme="majorBidi" w:hAnsiTheme="majorBidi" w:cstheme="majorBidi"/>
          <w:sz w:val="20"/>
          <w:szCs w:val="20"/>
        </w:rPr>
        <w:t xml:space="preserve">5. The </w:t>
      </w:r>
      <w:r w:rsidRPr="00294A6C">
        <w:rPr>
          <w:rFonts w:asciiTheme="majorBidi" w:hAnsiTheme="majorBidi" w:cstheme="majorBidi"/>
          <w:b/>
          <w:sz w:val="20"/>
          <w:szCs w:val="20"/>
        </w:rPr>
        <w:t>reliance must have been detrimental</w:t>
      </w:r>
      <w:r w:rsidRPr="00294A6C">
        <w:rPr>
          <w:rFonts w:asciiTheme="majorBidi" w:hAnsiTheme="majorBidi" w:cstheme="majorBidi"/>
          <w:sz w:val="20"/>
          <w:szCs w:val="20"/>
        </w:rPr>
        <w:t xml:space="preserve"> to the representee in the sense that damages resulted.</w:t>
      </w:r>
    </w:p>
    <w:p w:rsidR="00BA6D7C" w:rsidRPr="00294A6C" w:rsidRDefault="00BA6D7C" w:rsidP="004504AE">
      <w:pPr>
        <w:rPr>
          <w:rFonts w:asciiTheme="majorBidi" w:hAnsiTheme="majorBidi" w:cstheme="majorBidi"/>
          <w:sz w:val="20"/>
          <w:szCs w:val="20"/>
        </w:rPr>
      </w:pPr>
    </w:p>
    <w:p w:rsidR="00BA6D7C" w:rsidRPr="00294A6C" w:rsidRDefault="00BA6D7C" w:rsidP="004504AE">
      <w:pPr>
        <w:rPr>
          <w:rFonts w:asciiTheme="majorBidi" w:hAnsiTheme="majorBidi" w:cstheme="majorBidi"/>
          <w:b/>
          <w:sz w:val="20"/>
          <w:szCs w:val="20"/>
        </w:rPr>
      </w:pPr>
      <w:r w:rsidRPr="00294A6C">
        <w:rPr>
          <w:rFonts w:asciiTheme="majorBidi" w:hAnsiTheme="majorBidi" w:cstheme="majorBidi"/>
          <w:b/>
          <w:sz w:val="20"/>
          <w:szCs w:val="20"/>
        </w:rPr>
        <w:t>Accuracy of the Statement</w:t>
      </w:r>
    </w:p>
    <w:p w:rsidR="00BA6D7C" w:rsidRPr="00294A6C" w:rsidRDefault="00BA6D7C" w:rsidP="004504AE">
      <w:pPr>
        <w:rPr>
          <w:rFonts w:asciiTheme="majorBidi" w:hAnsiTheme="majorBidi" w:cstheme="majorBidi"/>
          <w:sz w:val="20"/>
          <w:szCs w:val="20"/>
        </w:rPr>
      </w:pPr>
      <w:r w:rsidRPr="00294A6C">
        <w:rPr>
          <w:rFonts w:asciiTheme="majorBidi" w:hAnsiTheme="majorBidi" w:cstheme="majorBidi"/>
          <w:sz w:val="20"/>
          <w:szCs w:val="20"/>
        </w:rPr>
        <w:t>The accuracy of the statement is assessed as of the time of the information was given. Inaccuracy alone is not enough to establish liability. The crucial question is, why was the error committed? Professionals are not required to be perfect. To trigger liability the inaccuracy must result from the failure of the professional to meet the required standard of care.</w:t>
      </w:r>
    </w:p>
    <w:p w:rsidR="00A026F2" w:rsidRPr="00294A6C" w:rsidRDefault="00A026F2" w:rsidP="004504AE">
      <w:pPr>
        <w:rPr>
          <w:rFonts w:asciiTheme="majorBidi" w:hAnsiTheme="majorBidi" w:cstheme="majorBidi"/>
          <w:sz w:val="20"/>
          <w:szCs w:val="20"/>
        </w:rPr>
      </w:pPr>
    </w:p>
    <w:p w:rsidR="00A026F2" w:rsidRPr="00294A6C" w:rsidRDefault="00A026F2" w:rsidP="004504AE">
      <w:pPr>
        <w:rPr>
          <w:rFonts w:asciiTheme="majorBidi" w:hAnsiTheme="majorBidi" w:cstheme="majorBidi"/>
          <w:sz w:val="20"/>
          <w:szCs w:val="20"/>
        </w:rPr>
      </w:pPr>
      <w:r w:rsidRPr="00294A6C">
        <w:rPr>
          <w:rFonts w:asciiTheme="majorBidi" w:hAnsiTheme="majorBidi" w:cstheme="majorBidi"/>
          <w:i/>
          <w:sz w:val="20"/>
          <w:szCs w:val="20"/>
        </w:rPr>
        <w:t>Read Case 4.8</w:t>
      </w:r>
    </w:p>
    <w:p w:rsidR="00BA6D7C" w:rsidRPr="00294A6C" w:rsidRDefault="00BA6D7C" w:rsidP="004504AE">
      <w:pPr>
        <w:rPr>
          <w:rFonts w:asciiTheme="majorBidi" w:hAnsiTheme="majorBidi" w:cstheme="majorBidi"/>
          <w:sz w:val="20"/>
          <w:szCs w:val="20"/>
        </w:rPr>
      </w:pPr>
    </w:p>
    <w:p w:rsidR="00A026F2" w:rsidRPr="00294A6C" w:rsidRDefault="00A026F2" w:rsidP="004504AE">
      <w:pPr>
        <w:rPr>
          <w:rFonts w:asciiTheme="majorBidi" w:hAnsiTheme="majorBidi" w:cstheme="majorBidi"/>
          <w:b/>
          <w:sz w:val="20"/>
          <w:szCs w:val="20"/>
        </w:rPr>
      </w:pPr>
      <w:r w:rsidRPr="00294A6C">
        <w:rPr>
          <w:rFonts w:asciiTheme="majorBidi" w:hAnsiTheme="majorBidi" w:cstheme="majorBidi"/>
          <w:b/>
          <w:sz w:val="20"/>
          <w:szCs w:val="20"/>
        </w:rPr>
        <w:t>The Standard of Care f</w:t>
      </w:r>
      <w:r w:rsidR="00BA6D7C" w:rsidRPr="00294A6C">
        <w:rPr>
          <w:rFonts w:asciiTheme="majorBidi" w:hAnsiTheme="majorBidi" w:cstheme="majorBidi"/>
          <w:b/>
          <w:sz w:val="20"/>
          <w:szCs w:val="20"/>
        </w:rPr>
        <w:t>or Professionals</w:t>
      </w:r>
    </w:p>
    <w:p w:rsidR="00A026F2" w:rsidRPr="00294A6C" w:rsidRDefault="00A026F2" w:rsidP="004504AE">
      <w:pPr>
        <w:rPr>
          <w:rFonts w:asciiTheme="majorBidi" w:hAnsiTheme="majorBidi" w:cstheme="majorBidi"/>
          <w:sz w:val="20"/>
          <w:szCs w:val="20"/>
        </w:rPr>
      </w:pPr>
      <w:r w:rsidRPr="00294A6C">
        <w:rPr>
          <w:rFonts w:asciiTheme="majorBidi" w:hAnsiTheme="majorBidi" w:cstheme="majorBidi"/>
          <w:sz w:val="20"/>
          <w:szCs w:val="20"/>
        </w:rPr>
        <w:t>Professionals must take reasonable care before making a representation. In Chapter 3 we noted that the standard of care applied in a basic negligence action is that of “the person on the Yonge street subway.” This standard is obviously inappropriate when judging the work of an accountant, a lawyer, or a surgeon. Professional behaviour should be compared to the reasonable behaviour of others in that same profession.</w:t>
      </w:r>
    </w:p>
    <w:p w:rsidR="00A026F2" w:rsidRPr="00294A6C" w:rsidRDefault="000E645A" w:rsidP="004504AE">
      <w:pPr>
        <w:rPr>
          <w:rFonts w:asciiTheme="majorBidi" w:hAnsiTheme="majorBidi" w:cstheme="majorBidi"/>
          <w:sz w:val="20"/>
          <w:szCs w:val="20"/>
        </w:rPr>
      </w:pPr>
      <w:r w:rsidRPr="00294A6C">
        <w:rPr>
          <w:rFonts w:asciiTheme="majorBidi" w:hAnsiTheme="majorBidi" w:cstheme="majorBidi"/>
          <w:sz w:val="20"/>
          <w:szCs w:val="20"/>
        </w:rPr>
        <w:tab/>
      </w:r>
      <w:r w:rsidR="00A026F2" w:rsidRPr="00294A6C">
        <w:rPr>
          <w:rFonts w:asciiTheme="majorBidi" w:hAnsiTheme="majorBidi" w:cstheme="majorBidi"/>
          <w:sz w:val="20"/>
          <w:szCs w:val="20"/>
        </w:rPr>
        <w:t>The approach taken in the Hodgins case was to compare the quality of professional work done or advice given with the prevailing standards of the profession at the time.</w:t>
      </w:r>
    </w:p>
    <w:p w:rsidR="00A026F2" w:rsidRPr="00294A6C" w:rsidRDefault="000E645A" w:rsidP="004504AE">
      <w:pPr>
        <w:rPr>
          <w:rFonts w:asciiTheme="majorBidi" w:hAnsiTheme="majorBidi" w:cstheme="majorBidi"/>
          <w:sz w:val="20"/>
          <w:szCs w:val="20"/>
        </w:rPr>
      </w:pPr>
      <w:r w:rsidRPr="00294A6C">
        <w:rPr>
          <w:rFonts w:asciiTheme="majorBidi" w:hAnsiTheme="majorBidi" w:cstheme="majorBidi"/>
          <w:sz w:val="20"/>
          <w:szCs w:val="20"/>
        </w:rPr>
        <w:tab/>
      </w:r>
      <w:r w:rsidR="00A026F2" w:rsidRPr="00294A6C">
        <w:rPr>
          <w:rFonts w:asciiTheme="majorBidi" w:hAnsiTheme="majorBidi" w:cstheme="majorBidi"/>
          <w:sz w:val="20"/>
          <w:szCs w:val="20"/>
        </w:rPr>
        <w:t xml:space="preserve">Frequently, the courts also hear the testimony of practitioners who state what they consider a proper standard. It will </w:t>
      </w:r>
      <w:r w:rsidR="00395A48" w:rsidRPr="00294A6C">
        <w:rPr>
          <w:rFonts w:asciiTheme="majorBidi" w:hAnsiTheme="majorBidi" w:cstheme="majorBidi"/>
          <w:sz w:val="20"/>
          <w:szCs w:val="20"/>
        </w:rPr>
        <w:t>normally</w:t>
      </w:r>
      <w:r w:rsidR="00A026F2" w:rsidRPr="00294A6C">
        <w:rPr>
          <w:rFonts w:asciiTheme="majorBidi" w:hAnsiTheme="majorBidi" w:cstheme="majorBidi"/>
          <w:sz w:val="20"/>
          <w:szCs w:val="20"/>
        </w:rPr>
        <w:t xml:space="preserve"> be sufficient that the defendant has followed a well-recognized practice, even though some other procedure might arguably have been better.</w:t>
      </w:r>
    </w:p>
    <w:p w:rsidR="00A026F2" w:rsidRPr="00294A6C" w:rsidRDefault="00A026F2" w:rsidP="004504AE">
      <w:pPr>
        <w:rPr>
          <w:rFonts w:asciiTheme="majorBidi" w:hAnsiTheme="majorBidi" w:cstheme="majorBidi"/>
          <w:sz w:val="20"/>
          <w:szCs w:val="20"/>
        </w:rPr>
      </w:pPr>
    </w:p>
    <w:p w:rsidR="000E645A" w:rsidRPr="00294A6C" w:rsidRDefault="00A026F2" w:rsidP="004504AE">
      <w:pPr>
        <w:rPr>
          <w:rFonts w:asciiTheme="majorBidi" w:hAnsiTheme="majorBidi" w:cstheme="majorBidi"/>
          <w:b/>
          <w:sz w:val="20"/>
          <w:szCs w:val="20"/>
        </w:rPr>
      </w:pPr>
      <w:bookmarkStart w:id="0" w:name="_GoBack"/>
      <w:bookmarkEnd w:id="0"/>
      <w:r w:rsidRPr="00294A6C">
        <w:rPr>
          <w:rFonts w:asciiTheme="majorBidi" w:hAnsiTheme="majorBidi" w:cstheme="majorBidi"/>
          <w:b/>
          <w:sz w:val="20"/>
          <w:szCs w:val="20"/>
        </w:rPr>
        <w:t>Reliance and Detriment</w:t>
      </w:r>
    </w:p>
    <w:p w:rsidR="00A026F2" w:rsidRPr="00294A6C" w:rsidRDefault="00A026F2" w:rsidP="004504AE">
      <w:pPr>
        <w:rPr>
          <w:rFonts w:asciiTheme="majorBidi" w:hAnsiTheme="majorBidi" w:cstheme="majorBidi"/>
          <w:b/>
          <w:sz w:val="20"/>
          <w:szCs w:val="20"/>
        </w:rPr>
      </w:pPr>
      <w:r w:rsidRPr="00294A6C">
        <w:rPr>
          <w:rFonts w:asciiTheme="majorBidi" w:hAnsiTheme="majorBidi" w:cstheme="majorBidi"/>
          <w:sz w:val="20"/>
          <w:szCs w:val="20"/>
        </w:rPr>
        <w:t>Did the client reasonably rely and act upon the advice of the professional? Would the client have acted in that way if he had not received that advice? The advice must be used by the plaintiff to make the decision that triggered the loss</w:t>
      </w:r>
      <w:r w:rsidR="00F0203E" w:rsidRPr="00294A6C">
        <w:rPr>
          <w:rFonts w:asciiTheme="majorBidi" w:hAnsiTheme="majorBidi" w:cstheme="majorBidi"/>
          <w:b/>
          <w:sz w:val="20"/>
          <w:szCs w:val="20"/>
        </w:rPr>
        <w:t>. (8)</w:t>
      </w:r>
    </w:p>
    <w:p w:rsidR="00F61CD5" w:rsidRPr="00294A6C" w:rsidRDefault="000E645A" w:rsidP="004504AE">
      <w:pPr>
        <w:rPr>
          <w:rFonts w:asciiTheme="majorBidi" w:hAnsiTheme="majorBidi" w:cstheme="majorBidi"/>
          <w:sz w:val="20"/>
          <w:szCs w:val="20"/>
        </w:rPr>
      </w:pPr>
      <w:r w:rsidRPr="00294A6C">
        <w:rPr>
          <w:rFonts w:asciiTheme="majorBidi" w:hAnsiTheme="majorBidi" w:cstheme="majorBidi"/>
          <w:sz w:val="20"/>
          <w:szCs w:val="20"/>
        </w:rPr>
        <w:tab/>
      </w:r>
      <w:r w:rsidR="00A026F2" w:rsidRPr="00294A6C">
        <w:rPr>
          <w:rFonts w:asciiTheme="majorBidi" w:hAnsiTheme="majorBidi" w:cstheme="majorBidi"/>
          <w:sz w:val="20"/>
          <w:szCs w:val="20"/>
        </w:rPr>
        <w:t>A further requirement is that the plaintiff’s reliance on the misrepresentation must be reasonable. Finally, a loss must be caused by acting upon the information.</w:t>
      </w:r>
      <w:r w:rsidR="00F0203E" w:rsidRPr="00294A6C">
        <w:rPr>
          <w:rFonts w:asciiTheme="majorBidi" w:hAnsiTheme="majorBidi" w:cstheme="majorBidi"/>
          <w:sz w:val="20"/>
          <w:szCs w:val="20"/>
        </w:rPr>
        <w:t xml:space="preserve"> </w:t>
      </w:r>
    </w:p>
    <w:p w:rsidR="00F61CD5" w:rsidRPr="00294A6C" w:rsidRDefault="00F61CD5" w:rsidP="004504AE">
      <w:pPr>
        <w:rPr>
          <w:rFonts w:asciiTheme="majorBidi" w:hAnsiTheme="majorBidi" w:cstheme="majorBidi"/>
          <w:sz w:val="20"/>
          <w:szCs w:val="20"/>
        </w:rPr>
      </w:pPr>
    </w:p>
    <w:p w:rsidR="00F61CD5" w:rsidRPr="00294A6C" w:rsidRDefault="00F61CD5" w:rsidP="004504AE">
      <w:pPr>
        <w:rPr>
          <w:rFonts w:asciiTheme="majorBidi" w:hAnsiTheme="majorBidi" w:cstheme="majorBidi"/>
          <w:sz w:val="20"/>
          <w:szCs w:val="20"/>
          <w:u w:val="single"/>
        </w:rPr>
      </w:pPr>
      <w:r w:rsidRPr="00294A6C">
        <w:rPr>
          <w:rFonts w:asciiTheme="majorBidi" w:hAnsiTheme="majorBidi" w:cstheme="majorBidi"/>
          <w:sz w:val="20"/>
          <w:szCs w:val="20"/>
          <w:u w:val="single"/>
        </w:rPr>
        <w:t>Definitions</w:t>
      </w:r>
    </w:p>
    <w:p w:rsidR="00F61CD5" w:rsidRPr="00294A6C" w:rsidRDefault="00F61CD5" w:rsidP="004504AE">
      <w:pPr>
        <w:rPr>
          <w:rFonts w:asciiTheme="majorBidi" w:hAnsiTheme="majorBidi" w:cstheme="majorBidi"/>
          <w:sz w:val="20"/>
          <w:szCs w:val="20"/>
        </w:rPr>
      </w:pPr>
    </w:p>
    <w:p w:rsidR="00F61CD5" w:rsidRPr="00294A6C" w:rsidRDefault="00F61CD5" w:rsidP="004504AE">
      <w:pPr>
        <w:rPr>
          <w:rFonts w:asciiTheme="majorBidi" w:hAnsiTheme="majorBidi" w:cstheme="majorBidi"/>
          <w:sz w:val="20"/>
          <w:szCs w:val="20"/>
        </w:rPr>
      </w:pPr>
      <w:r w:rsidRPr="00294A6C">
        <w:rPr>
          <w:rFonts w:asciiTheme="majorBidi" w:hAnsiTheme="majorBidi" w:cstheme="majorBidi"/>
          <w:b/>
          <w:sz w:val="20"/>
          <w:szCs w:val="20"/>
        </w:rPr>
        <w:t>Fiduciary Duty</w:t>
      </w:r>
      <w:r w:rsidRPr="00294A6C">
        <w:rPr>
          <w:rFonts w:asciiTheme="majorBidi" w:hAnsiTheme="majorBidi" w:cstheme="majorBidi"/>
          <w:sz w:val="20"/>
          <w:szCs w:val="20"/>
        </w:rPr>
        <w:t xml:space="preserve"> – A duty imposed on a person who stands in a special relation to another.</w:t>
      </w:r>
    </w:p>
    <w:p w:rsidR="001A36B4" w:rsidRPr="00294A6C" w:rsidRDefault="001A36B4" w:rsidP="004504AE">
      <w:pPr>
        <w:rPr>
          <w:rFonts w:asciiTheme="majorBidi" w:hAnsiTheme="majorBidi" w:cstheme="majorBidi"/>
          <w:b/>
          <w:sz w:val="20"/>
          <w:szCs w:val="20"/>
        </w:rPr>
      </w:pPr>
    </w:p>
    <w:p w:rsidR="00F61CD5" w:rsidRPr="00294A6C" w:rsidRDefault="00F61CD5" w:rsidP="004504AE">
      <w:pPr>
        <w:rPr>
          <w:rFonts w:asciiTheme="majorBidi" w:hAnsiTheme="majorBidi" w:cstheme="majorBidi"/>
          <w:sz w:val="20"/>
          <w:szCs w:val="20"/>
        </w:rPr>
      </w:pPr>
      <w:r w:rsidRPr="00294A6C">
        <w:rPr>
          <w:rFonts w:asciiTheme="majorBidi" w:hAnsiTheme="majorBidi" w:cstheme="majorBidi"/>
          <w:b/>
          <w:sz w:val="20"/>
          <w:szCs w:val="20"/>
        </w:rPr>
        <w:t>Conflict of Interest</w:t>
      </w:r>
      <w:r w:rsidRPr="00294A6C">
        <w:rPr>
          <w:rFonts w:asciiTheme="majorBidi" w:hAnsiTheme="majorBidi" w:cstheme="majorBidi"/>
          <w:sz w:val="20"/>
          <w:szCs w:val="20"/>
        </w:rPr>
        <w:t xml:space="preserve"> – A situation where a duty is owed to a client whose </w:t>
      </w:r>
      <w:proofErr w:type="gramStart"/>
      <w:r w:rsidRPr="00294A6C">
        <w:rPr>
          <w:rFonts w:asciiTheme="majorBidi" w:hAnsiTheme="majorBidi" w:cstheme="majorBidi"/>
          <w:sz w:val="20"/>
          <w:szCs w:val="20"/>
        </w:rPr>
        <w:t>interests</w:t>
      </w:r>
      <w:proofErr w:type="gramEnd"/>
      <w:r w:rsidRPr="00294A6C">
        <w:rPr>
          <w:rFonts w:asciiTheme="majorBidi" w:hAnsiTheme="majorBidi" w:cstheme="majorBidi"/>
          <w:sz w:val="20"/>
          <w:szCs w:val="20"/>
        </w:rPr>
        <w:t xml:space="preserve"> conflict with the interest of the professional, another client, or another person to whom a duty is owed.</w:t>
      </w:r>
    </w:p>
    <w:p w:rsidR="001A36B4" w:rsidRPr="00294A6C" w:rsidRDefault="001A36B4" w:rsidP="004504AE">
      <w:pPr>
        <w:rPr>
          <w:rFonts w:asciiTheme="majorBidi" w:hAnsiTheme="majorBidi" w:cstheme="majorBidi"/>
          <w:b/>
          <w:sz w:val="20"/>
          <w:szCs w:val="20"/>
        </w:rPr>
      </w:pPr>
    </w:p>
    <w:p w:rsidR="002106BE" w:rsidRPr="00294A6C" w:rsidRDefault="00F61CD5" w:rsidP="004504AE">
      <w:pPr>
        <w:rPr>
          <w:rFonts w:asciiTheme="majorBidi" w:hAnsiTheme="majorBidi" w:cstheme="majorBidi"/>
          <w:sz w:val="20"/>
          <w:szCs w:val="20"/>
        </w:rPr>
      </w:pPr>
      <w:r w:rsidRPr="00294A6C">
        <w:rPr>
          <w:rFonts w:asciiTheme="majorBidi" w:hAnsiTheme="majorBidi" w:cstheme="majorBidi"/>
          <w:b/>
          <w:sz w:val="20"/>
          <w:szCs w:val="20"/>
        </w:rPr>
        <w:t>Third-Party Liability</w:t>
      </w:r>
      <w:r w:rsidRPr="00294A6C">
        <w:rPr>
          <w:rFonts w:asciiTheme="majorBidi" w:hAnsiTheme="majorBidi" w:cstheme="majorBidi"/>
          <w:sz w:val="20"/>
          <w:szCs w:val="20"/>
        </w:rPr>
        <w:t xml:space="preserve"> – Liability to some other person who stands outside a contractual relationship</w:t>
      </w:r>
      <w:r w:rsidR="002106BE" w:rsidRPr="00294A6C">
        <w:rPr>
          <w:rFonts w:asciiTheme="majorBidi" w:hAnsiTheme="majorBidi" w:cstheme="majorBidi"/>
          <w:sz w:val="20"/>
          <w:szCs w:val="20"/>
        </w:rPr>
        <w:t>.</w:t>
      </w:r>
    </w:p>
    <w:p w:rsidR="001A36B4" w:rsidRPr="00294A6C" w:rsidRDefault="001A36B4" w:rsidP="004504AE">
      <w:pPr>
        <w:rPr>
          <w:rFonts w:asciiTheme="majorBidi" w:hAnsiTheme="majorBidi" w:cstheme="majorBidi"/>
          <w:b/>
          <w:sz w:val="20"/>
          <w:szCs w:val="20"/>
        </w:rPr>
      </w:pPr>
    </w:p>
    <w:p w:rsidR="002106BE" w:rsidRPr="00294A6C" w:rsidRDefault="002106BE" w:rsidP="004504AE">
      <w:pPr>
        <w:rPr>
          <w:rFonts w:asciiTheme="majorBidi" w:hAnsiTheme="majorBidi" w:cstheme="majorBidi"/>
          <w:sz w:val="20"/>
          <w:szCs w:val="20"/>
        </w:rPr>
      </w:pPr>
      <w:r w:rsidRPr="00294A6C">
        <w:rPr>
          <w:rFonts w:asciiTheme="majorBidi" w:hAnsiTheme="majorBidi" w:cstheme="majorBidi"/>
          <w:b/>
          <w:sz w:val="20"/>
          <w:szCs w:val="20"/>
        </w:rPr>
        <w:t xml:space="preserve">Deceit </w:t>
      </w:r>
      <w:r w:rsidRPr="00294A6C">
        <w:rPr>
          <w:rFonts w:asciiTheme="majorBidi" w:hAnsiTheme="majorBidi" w:cstheme="majorBidi"/>
          <w:sz w:val="20"/>
          <w:szCs w:val="20"/>
        </w:rPr>
        <w:t>– An intentional tort imposing liability when damage is caused by a false statement made with the intention of misleading another person.</w:t>
      </w:r>
    </w:p>
    <w:p w:rsidR="001A36B4" w:rsidRPr="00294A6C" w:rsidRDefault="001A36B4" w:rsidP="004504AE">
      <w:pPr>
        <w:rPr>
          <w:rFonts w:asciiTheme="majorBidi" w:hAnsiTheme="majorBidi" w:cstheme="majorBidi"/>
          <w:b/>
          <w:sz w:val="20"/>
          <w:szCs w:val="20"/>
        </w:rPr>
      </w:pPr>
    </w:p>
    <w:p w:rsidR="002106BE" w:rsidRPr="00294A6C" w:rsidRDefault="002106BE" w:rsidP="004504AE">
      <w:pPr>
        <w:rPr>
          <w:rFonts w:asciiTheme="majorBidi" w:hAnsiTheme="majorBidi" w:cstheme="majorBidi"/>
          <w:sz w:val="20"/>
          <w:szCs w:val="20"/>
        </w:rPr>
      </w:pPr>
      <w:r w:rsidRPr="00294A6C">
        <w:rPr>
          <w:rFonts w:asciiTheme="majorBidi" w:hAnsiTheme="majorBidi" w:cstheme="majorBidi"/>
          <w:b/>
          <w:sz w:val="20"/>
          <w:szCs w:val="20"/>
        </w:rPr>
        <w:t>Fraudulent Misrepresentation</w:t>
      </w:r>
      <w:r w:rsidRPr="00294A6C">
        <w:rPr>
          <w:rFonts w:asciiTheme="majorBidi" w:hAnsiTheme="majorBidi" w:cstheme="majorBidi"/>
          <w:sz w:val="20"/>
          <w:szCs w:val="20"/>
        </w:rPr>
        <w:t xml:space="preserve"> – An intentional tort imposing liability for an incorrect statement made knowingly with the intention of causing injury to another.</w:t>
      </w:r>
    </w:p>
    <w:p w:rsidR="001A36B4" w:rsidRPr="00294A6C" w:rsidRDefault="001A36B4" w:rsidP="004504AE">
      <w:pPr>
        <w:rPr>
          <w:rFonts w:asciiTheme="majorBidi" w:hAnsiTheme="majorBidi" w:cstheme="majorBidi"/>
          <w:b/>
          <w:sz w:val="20"/>
          <w:szCs w:val="20"/>
        </w:rPr>
      </w:pPr>
    </w:p>
    <w:p w:rsidR="002106BE" w:rsidRPr="00294A6C" w:rsidRDefault="002106BE" w:rsidP="004504AE">
      <w:pPr>
        <w:rPr>
          <w:rFonts w:asciiTheme="majorBidi" w:hAnsiTheme="majorBidi" w:cstheme="majorBidi"/>
          <w:sz w:val="20"/>
          <w:szCs w:val="20"/>
        </w:rPr>
      </w:pPr>
      <w:r w:rsidRPr="00294A6C">
        <w:rPr>
          <w:rFonts w:asciiTheme="majorBidi" w:hAnsiTheme="majorBidi" w:cstheme="majorBidi"/>
          <w:b/>
          <w:sz w:val="20"/>
          <w:szCs w:val="20"/>
        </w:rPr>
        <w:t>Negligent Misrepresentation</w:t>
      </w:r>
      <w:r w:rsidRPr="00294A6C">
        <w:rPr>
          <w:rFonts w:asciiTheme="majorBidi" w:hAnsiTheme="majorBidi" w:cstheme="majorBidi"/>
          <w:sz w:val="20"/>
          <w:szCs w:val="20"/>
        </w:rPr>
        <w:t xml:space="preserve"> – An unintentional tort imposing liability when an incorrect statement is made without due care for its accuracy, and injury is caused.</w:t>
      </w:r>
    </w:p>
    <w:p w:rsidR="001A36B4" w:rsidRPr="00294A6C" w:rsidRDefault="001A36B4" w:rsidP="004504AE">
      <w:pPr>
        <w:rPr>
          <w:rFonts w:asciiTheme="majorBidi" w:hAnsiTheme="majorBidi" w:cstheme="majorBidi"/>
          <w:b/>
          <w:sz w:val="20"/>
          <w:szCs w:val="20"/>
        </w:rPr>
      </w:pPr>
    </w:p>
    <w:p w:rsidR="00426E99" w:rsidRPr="00294A6C" w:rsidRDefault="002106BE" w:rsidP="004504AE">
      <w:pPr>
        <w:rPr>
          <w:rFonts w:asciiTheme="majorBidi" w:hAnsiTheme="majorBidi" w:cstheme="majorBidi"/>
          <w:sz w:val="20"/>
          <w:szCs w:val="20"/>
        </w:rPr>
      </w:pPr>
      <w:r w:rsidRPr="00294A6C">
        <w:rPr>
          <w:rFonts w:asciiTheme="majorBidi" w:hAnsiTheme="majorBidi" w:cstheme="majorBidi"/>
          <w:b/>
          <w:sz w:val="20"/>
          <w:szCs w:val="20"/>
        </w:rPr>
        <w:t>Disclaimer</w:t>
      </w:r>
      <w:r w:rsidRPr="00294A6C">
        <w:rPr>
          <w:rFonts w:asciiTheme="majorBidi" w:hAnsiTheme="majorBidi" w:cstheme="majorBidi"/>
          <w:sz w:val="20"/>
          <w:szCs w:val="20"/>
        </w:rPr>
        <w:t xml:space="preserve"> – An express statement to the effect that the person </w:t>
      </w:r>
      <w:r w:rsidR="00395A48" w:rsidRPr="00294A6C">
        <w:rPr>
          <w:rFonts w:asciiTheme="majorBidi" w:hAnsiTheme="majorBidi" w:cstheme="majorBidi"/>
          <w:sz w:val="20"/>
          <w:szCs w:val="20"/>
        </w:rPr>
        <w:t>making</w:t>
      </w:r>
      <w:r w:rsidRPr="00294A6C">
        <w:rPr>
          <w:rFonts w:asciiTheme="majorBidi" w:hAnsiTheme="majorBidi" w:cstheme="majorBidi"/>
          <w:sz w:val="20"/>
          <w:szCs w:val="20"/>
        </w:rPr>
        <w:t xml:space="preserve"> it takes no responsibility for a particular action or statement.</w:t>
      </w:r>
    </w:p>
    <w:sectPr w:rsidR="00426E99" w:rsidRPr="00294A6C" w:rsidSect="00294A6C">
      <w:pgSz w:w="12240" w:h="15840"/>
      <w:pgMar w:top="720" w:right="720" w:bottom="720" w:left="720"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6E35A7"/>
    <w:multiLevelType w:val="hybridMultilevel"/>
    <w:tmpl w:val="ED6E2B0E"/>
    <w:lvl w:ilvl="0" w:tplc="8CBA5F50">
      <w:start w:val="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doNotDisplayPageBoundaries/>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Setting w:name="useWord2013TrackBottomHyphenation" w:uri="http://schemas.microsoft.com/office/word" w:val="1"/>
  </w:compat>
  <w:rsids>
    <w:rsidRoot w:val="00426E99"/>
    <w:rsid w:val="00002182"/>
    <w:rsid w:val="000A2A06"/>
    <w:rsid w:val="000C01AB"/>
    <w:rsid w:val="000E645A"/>
    <w:rsid w:val="00170F02"/>
    <w:rsid w:val="001A36B4"/>
    <w:rsid w:val="002106BE"/>
    <w:rsid w:val="00270C9D"/>
    <w:rsid w:val="00294A6C"/>
    <w:rsid w:val="00323D3B"/>
    <w:rsid w:val="00323DBB"/>
    <w:rsid w:val="00395A48"/>
    <w:rsid w:val="004119E7"/>
    <w:rsid w:val="00426E99"/>
    <w:rsid w:val="004504AE"/>
    <w:rsid w:val="00523674"/>
    <w:rsid w:val="005E08D6"/>
    <w:rsid w:val="00687FF5"/>
    <w:rsid w:val="00A026F2"/>
    <w:rsid w:val="00A2424E"/>
    <w:rsid w:val="00B8070F"/>
    <w:rsid w:val="00BA6D7C"/>
    <w:rsid w:val="00BF3238"/>
    <w:rsid w:val="00EB764A"/>
    <w:rsid w:val="00F0203E"/>
    <w:rsid w:val="00F61CD5"/>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4D1D6EFF"/>
  <w15:docId w15:val="{5AAD7CE1-30CA-2047-8C58-67E89C18E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41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4AE"/>
    <w:pPr>
      <w:ind w:left="720"/>
      <w:contextualSpacing/>
    </w:pPr>
  </w:style>
  <w:style w:type="character" w:styleId="Strong">
    <w:name w:val="Strong"/>
    <w:basedOn w:val="DefaultParagraphFont"/>
    <w:uiPriority w:val="22"/>
    <w:qFormat/>
    <w:rsid w:val="000A2A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3</Pages>
  <Words>2466</Words>
  <Characters>14057</Characters>
  <Application>Microsoft Office Word</Application>
  <DocSecurity>0</DocSecurity>
  <Lines>117</Lines>
  <Paragraphs>32</Paragraphs>
  <ScaleCrop>false</ScaleCrop>
  <Company>University of Windsor</Company>
  <LinksUpToDate>false</LinksUpToDate>
  <CharactersWithSpaces>16491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Pio</dc:creator>
  <cp:keywords/>
  <cp:lastModifiedBy>Zena Zwayyed</cp:lastModifiedBy>
  <cp:revision>13</cp:revision>
  <cp:lastPrinted>2019-01-19T02:33:00Z</cp:lastPrinted>
  <dcterms:created xsi:type="dcterms:W3CDTF">2013-05-25T20:00:00Z</dcterms:created>
  <dcterms:modified xsi:type="dcterms:W3CDTF">2019-01-19T02:33:00Z</dcterms:modified>
</cp:coreProperties>
</file>