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D58" w:rsidRPr="005023CC" w:rsidRDefault="00BE7712" w:rsidP="00B35866">
      <w:pPr>
        <w:pStyle w:val="ListParagraph"/>
        <w:numPr>
          <w:ilvl w:val="0"/>
          <w:numId w:val="2"/>
        </w:numPr>
        <w:rPr>
          <w:rFonts w:cstheme="minorHAnsi"/>
          <w:sz w:val="20"/>
          <w:szCs w:val="20"/>
          <w:shd w:val="clear" w:color="auto" w:fill="FFFFFF"/>
          <w:lang w:val="en-CA"/>
        </w:rPr>
      </w:pPr>
      <w:r w:rsidRPr="005023CC">
        <w:rPr>
          <w:rFonts w:cstheme="minorHAnsi"/>
          <w:sz w:val="20"/>
          <w:szCs w:val="20"/>
          <w:lang w:val="en-CA"/>
        </w:rPr>
        <w:t>Statute of west minister-1931</w:t>
      </w:r>
      <w:r w:rsidRPr="005023CC">
        <w:rPr>
          <w:rFonts w:cstheme="minorHAnsi"/>
          <w:sz w:val="20"/>
          <w:szCs w:val="20"/>
          <w:lang w:val="en-CA"/>
        </w:rPr>
        <w:br/>
      </w:r>
      <w:r w:rsidRPr="005023CC">
        <w:rPr>
          <w:rFonts w:cstheme="minorHAnsi"/>
          <w:sz w:val="20"/>
          <w:szCs w:val="20"/>
          <w:shd w:val="clear" w:color="auto" w:fill="FFFFFF"/>
          <w:lang w:val="en-CA"/>
        </w:rPr>
        <w:t>The</w:t>
      </w:r>
      <w:r w:rsidRPr="005023CC">
        <w:rPr>
          <w:rStyle w:val="apple-converted-space"/>
          <w:rFonts w:cstheme="minorHAnsi"/>
          <w:sz w:val="20"/>
          <w:szCs w:val="20"/>
          <w:shd w:val="clear" w:color="auto" w:fill="FFFFFF"/>
          <w:lang w:val="en-CA"/>
        </w:rPr>
        <w:t> </w:t>
      </w:r>
      <w:r w:rsidRPr="005023CC">
        <w:rPr>
          <w:rFonts w:cstheme="minorHAnsi"/>
          <w:bCs/>
          <w:sz w:val="20"/>
          <w:szCs w:val="20"/>
          <w:shd w:val="clear" w:color="auto" w:fill="FFFFFF"/>
          <w:lang w:val="en-CA"/>
        </w:rPr>
        <w:t>Statute of Westminster 1931</w:t>
      </w:r>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is an</w:t>
      </w:r>
      <w:r w:rsidRPr="005023CC">
        <w:rPr>
          <w:rStyle w:val="apple-converted-space"/>
          <w:rFonts w:cstheme="minorHAnsi"/>
          <w:sz w:val="20"/>
          <w:szCs w:val="20"/>
          <w:shd w:val="clear" w:color="auto" w:fill="FFFFFF"/>
          <w:lang w:val="en-CA"/>
        </w:rPr>
        <w:t> </w:t>
      </w:r>
      <w:hyperlink r:id="rId5" w:tooltip="Act of Parliament" w:history="1">
        <w:r w:rsidRPr="005023CC">
          <w:rPr>
            <w:rStyle w:val="Hyperlink"/>
            <w:rFonts w:cstheme="minorHAnsi"/>
            <w:color w:val="auto"/>
            <w:sz w:val="20"/>
            <w:szCs w:val="20"/>
            <w:u w:val="none"/>
            <w:shd w:val="clear" w:color="auto" w:fill="FFFFFF"/>
            <w:lang w:val="en-CA"/>
          </w:rPr>
          <w:t>Act</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of the</w:t>
      </w:r>
      <w:r w:rsidRPr="005023CC">
        <w:rPr>
          <w:rStyle w:val="apple-converted-space"/>
          <w:rFonts w:cstheme="minorHAnsi"/>
          <w:sz w:val="20"/>
          <w:szCs w:val="20"/>
          <w:shd w:val="clear" w:color="auto" w:fill="FFFFFF"/>
          <w:lang w:val="en-CA"/>
        </w:rPr>
        <w:t> </w:t>
      </w:r>
      <w:hyperlink r:id="rId6" w:tooltip="Parliament of the United Kingdom" w:history="1">
        <w:r w:rsidRPr="005023CC">
          <w:rPr>
            <w:rStyle w:val="Hyperlink"/>
            <w:rFonts w:cstheme="minorHAnsi"/>
            <w:color w:val="auto"/>
            <w:sz w:val="20"/>
            <w:szCs w:val="20"/>
            <w:u w:val="none"/>
            <w:shd w:val="clear" w:color="auto" w:fill="FFFFFF"/>
            <w:lang w:val="en-CA"/>
          </w:rPr>
          <w:t>Parliament of the United Kingdom</w:t>
        </w:r>
      </w:hyperlink>
      <w:r w:rsidRPr="005023CC">
        <w:rPr>
          <w:rFonts w:cstheme="minorHAnsi"/>
          <w:sz w:val="20"/>
          <w:szCs w:val="20"/>
          <w:shd w:val="clear" w:color="auto" w:fill="FFFFFF"/>
          <w:lang w:val="en-CA"/>
        </w:rPr>
        <w:t>. Passed on 11 December 1931, the Act established legislative equality for the self-governing</w:t>
      </w:r>
      <w:r w:rsidRPr="005023CC">
        <w:rPr>
          <w:rStyle w:val="apple-converted-space"/>
          <w:rFonts w:cstheme="minorHAnsi"/>
          <w:sz w:val="20"/>
          <w:szCs w:val="20"/>
          <w:shd w:val="clear" w:color="auto" w:fill="FFFFFF"/>
          <w:lang w:val="en-CA"/>
        </w:rPr>
        <w:t> </w:t>
      </w:r>
      <w:hyperlink r:id="rId7" w:tooltip="Dominion" w:history="1">
        <w:r w:rsidRPr="005023CC">
          <w:rPr>
            <w:rStyle w:val="Hyperlink"/>
            <w:rFonts w:cstheme="minorHAnsi"/>
            <w:color w:val="auto"/>
            <w:sz w:val="20"/>
            <w:szCs w:val="20"/>
            <w:u w:val="none"/>
            <w:shd w:val="clear" w:color="auto" w:fill="FFFFFF"/>
            <w:lang w:val="en-CA"/>
          </w:rPr>
          <w:t>dominions</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of the</w:t>
      </w:r>
      <w:r w:rsidRPr="005023CC">
        <w:rPr>
          <w:rStyle w:val="apple-converted-space"/>
          <w:rFonts w:cstheme="minorHAnsi"/>
          <w:sz w:val="20"/>
          <w:szCs w:val="20"/>
          <w:shd w:val="clear" w:color="auto" w:fill="FFFFFF"/>
          <w:lang w:val="en-CA"/>
        </w:rPr>
        <w:t> </w:t>
      </w:r>
      <w:hyperlink r:id="rId8" w:tooltip="British Empire" w:history="1">
        <w:r w:rsidRPr="005023CC">
          <w:rPr>
            <w:rStyle w:val="Hyperlink"/>
            <w:rFonts w:cstheme="minorHAnsi"/>
            <w:color w:val="auto"/>
            <w:sz w:val="20"/>
            <w:szCs w:val="20"/>
            <w:u w:val="none"/>
            <w:shd w:val="clear" w:color="auto" w:fill="FFFFFF"/>
            <w:lang w:val="en-CA"/>
          </w:rPr>
          <w:t>British Empire</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with the</w:t>
      </w:r>
      <w:r w:rsidRPr="005023CC">
        <w:rPr>
          <w:rStyle w:val="apple-converted-space"/>
          <w:rFonts w:cstheme="minorHAnsi"/>
          <w:sz w:val="20"/>
          <w:szCs w:val="20"/>
          <w:shd w:val="clear" w:color="auto" w:fill="FFFFFF"/>
          <w:lang w:val="en-CA"/>
        </w:rPr>
        <w:t> </w:t>
      </w:r>
      <w:hyperlink r:id="rId9" w:tooltip="United Kingdom" w:history="1">
        <w:r w:rsidRPr="005023CC">
          <w:rPr>
            <w:rStyle w:val="Hyperlink"/>
            <w:rFonts w:cstheme="minorHAnsi"/>
            <w:color w:val="auto"/>
            <w:sz w:val="20"/>
            <w:szCs w:val="20"/>
            <w:u w:val="none"/>
            <w:shd w:val="clear" w:color="auto" w:fill="FFFFFF"/>
            <w:lang w:val="en-CA"/>
          </w:rPr>
          <w:t>United Kingdom</w:t>
        </w:r>
      </w:hyperlink>
      <w:r w:rsidRPr="005023CC">
        <w:rPr>
          <w:rFonts w:cstheme="minorHAnsi"/>
          <w:sz w:val="20"/>
          <w:szCs w:val="20"/>
          <w:shd w:val="clear" w:color="auto" w:fill="FFFFFF"/>
          <w:lang w:val="en-CA"/>
        </w:rPr>
        <w:t>. The Statute remains domestic law within each of the other</w:t>
      </w:r>
      <w:r w:rsidR="00D66368" w:rsidRPr="005023CC">
        <w:rPr>
          <w:rFonts w:cstheme="minorHAnsi"/>
          <w:sz w:val="20"/>
          <w:szCs w:val="20"/>
          <w:shd w:val="clear" w:color="auto" w:fill="FFFFFF"/>
          <w:lang w:val="en-CA"/>
        </w:rPr>
        <w:t xml:space="preserve"> </w:t>
      </w:r>
      <w:hyperlink r:id="rId10" w:tooltip="Commonwealth realm" w:history="1">
        <w:r w:rsidRPr="005023CC">
          <w:rPr>
            <w:rStyle w:val="Hyperlink"/>
            <w:rFonts w:cstheme="minorHAnsi"/>
            <w:color w:val="auto"/>
            <w:sz w:val="20"/>
            <w:szCs w:val="20"/>
            <w:u w:val="none"/>
            <w:shd w:val="clear" w:color="auto" w:fill="FFFFFF"/>
            <w:lang w:val="en-CA"/>
          </w:rPr>
          <w:t>Commonwealth realms</w:t>
        </w:r>
      </w:hyperlink>
      <w:r w:rsidRPr="005023CC">
        <w:rPr>
          <w:rFonts w:cstheme="minorHAnsi"/>
          <w:sz w:val="20"/>
          <w:szCs w:val="20"/>
          <w:shd w:val="clear" w:color="auto" w:fill="FFFFFF"/>
          <w:lang w:val="en-CA"/>
        </w:rPr>
        <w:t>, to the extent that it has not been</w:t>
      </w:r>
      <w:r w:rsidRPr="005023CC">
        <w:rPr>
          <w:rStyle w:val="apple-converted-space"/>
          <w:rFonts w:cstheme="minorHAnsi"/>
          <w:sz w:val="20"/>
          <w:szCs w:val="20"/>
          <w:shd w:val="clear" w:color="auto" w:fill="FFFFFF"/>
          <w:lang w:val="en-CA"/>
        </w:rPr>
        <w:t> </w:t>
      </w:r>
      <w:hyperlink r:id="rId11" w:tooltip="Implied repeal" w:history="1">
        <w:r w:rsidRPr="005023CC">
          <w:rPr>
            <w:rStyle w:val="Hyperlink"/>
            <w:rFonts w:cstheme="minorHAnsi"/>
            <w:color w:val="auto"/>
            <w:sz w:val="20"/>
            <w:szCs w:val="20"/>
            <w:u w:val="none"/>
            <w:shd w:val="clear" w:color="auto" w:fill="FFFFFF"/>
            <w:lang w:val="en-CA"/>
          </w:rPr>
          <w:t>implicitly repealed</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 xml:space="preserve">by subsequent laws. </w:t>
      </w:r>
    </w:p>
    <w:p w:rsidR="00BE7712" w:rsidRPr="005023CC" w:rsidRDefault="00BE7712" w:rsidP="00B35866">
      <w:pPr>
        <w:pStyle w:val="ListParagraph"/>
        <w:numPr>
          <w:ilvl w:val="0"/>
          <w:numId w:val="2"/>
        </w:numPr>
        <w:rPr>
          <w:rFonts w:cstheme="minorHAnsi"/>
          <w:sz w:val="20"/>
          <w:szCs w:val="20"/>
          <w:shd w:val="clear" w:color="auto" w:fill="FFFFFF"/>
          <w:lang w:val="en-CA"/>
        </w:rPr>
      </w:pPr>
      <w:r w:rsidRPr="005023CC">
        <w:rPr>
          <w:rFonts w:cstheme="minorHAnsi"/>
          <w:sz w:val="20"/>
          <w:szCs w:val="20"/>
          <w:shd w:val="clear" w:color="auto" w:fill="FFFFFF"/>
          <w:lang w:val="en-CA"/>
        </w:rPr>
        <w:t xml:space="preserve">Section 91 of the constitution </w:t>
      </w:r>
      <w:r w:rsidRPr="005023CC">
        <w:rPr>
          <w:rFonts w:cstheme="minorHAnsi"/>
          <w:sz w:val="20"/>
          <w:szCs w:val="20"/>
          <w:shd w:val="clear" w:color="auto" w:fill="FFFFFF"/>
          <w:lang w:val="en-CA"/>
        </w:rPr>
        <w:br/>
        <w:t>Section 91 authorizes</w:t>
      </w:r>
      <w:r w:rsidRPr="005023CC">
        <w:rPr>
          <w:rStyle w:val="apple-converted-space"/>
          <w:rFonts w:cstheme="minorHAnsi"/>
          <w:sz w:val="20"/>
          <w:szCs w:val="20"/>
          <w:shd w:val="clear" w:color="auto" w:fill="FFFFFF"/>
          <w:lang w:val="en-CA"/>
        </w:rPr>
        <w:t> </w:t>
      </w:r>
      <w:hyperlink r:id="rId12" w:tooltip="Parliament of Canada" w:history="1">
        <w:r w:rsidRPr="005023CC">
          <w:rPr>
            <w:rStyle w:val="Hyperlink"/>
            <w:rFonts w:cstheme="minorHAnsi"/>
            <w:color w:val="auto"/>
            <w:sz w:val="20"/>
            <w:szCs w:val="20"/>
            <w:u w:val="none"/>
            <w:shd w:val="clear" w:color="auto" w:fill="FFFFFF"/>
            <w:lang w:val="en-CA"/>
          </w:rPr>
          <w:t>Parliament</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 xml:space="preserve">to "make laws for the peace, order, and good government of Canada, in relation to all matters not coming within the classes of subjects by this Act assigned exclusively to the Legislatures of the provinces". </w:t>
      </w:r>
    </w:p>
    <w:p w:rsidR="00BE7712" w:rsidRPr="005023CC" w:rsidRDefault="00BE7712" w:rsidP="00BE7712">
      <w:pPr>
        <w:pStyle w:val="ListParagraph"/>
        <w:numPr>
          <w:ilvl w:val="0"/>
          <w:numId w:val="1"/>
        </w:numPr>
        <w:rPr>
          <w:rFonts w:cstheme="minorHAnsi"/>
          <w:sz w:val="20"/>
          <w:szCs w:val="20"/>
          <w:shd w:val="clear" w:color="auto" w:fill="FFFFFF"/>
          <w:lang w:val="en-CA"/>
        </w:rPr>
      </w:pPr>
      <w:r w:rsidRPr="005023CC">
        <w:rPr>
          <w:rFonts w:cstheme="minorHAnsi"/>
          <w:sz w:val="20"/>
          <w:szCs w:val="20"/>
          <w:shd w:val="clear" w:color="auto" w:fill="FFFFFF"/>
          <w:lang w:val="en-CA"/>
        </w:rPr>
        <w:t xml:space="preserve">John </w:t>
      </w:r>
      <w:proofErr w:type="spellStart"/>
      <w:r w:rsidRPr="005023CC">
        <w:rPr>
          <w:rFonts w:cstheme="minorHAnsi"/>
          <w:sz w:val="20"/>
          <w:szCs w:val="20"/>
          <w:shd w:val="clear" w:color="auto" w:fill="FFFFFF"/>
          <w:lang w:val="en-CA"/>
        </w:rPr>
        <w:t>stuart</w:t>
      </w:r>
      <w:proofErr w:type="spellEnd"/>
      <w:r w:rsidRPr="005023CC">
        <w:rPr>
          <w:rFonts w:cstheme="minorHAnsi"/>
          <w:sz w:val="20"/>
          <w:szCs w:val="20"/>
          <w:shd w:val="clear" w:color="auto" w:fill="FFFFFF"/>
          <w:lang w:val="en-CA"/>
        </w:rPr>
        <w:t xml:space="preserve"> mill tried to take away man from the constitution and change it to person but  he was defeated</w:t>
      </w:r>
    </w:p>
    <w:p w:rsidR="00BE7712" w:rsidRPr="005023CC" w:rsidRDefault="00BE7712" w:rsidP="00BE7712">
      <w:pPr>
        <w:pStyle w:val="ListParagraph"/>
        <w:numPr>
          <w:ilvl w:val="0"/>
          <w:numId w:val="1"/>
        </w:numPr>
        <w:rPr>
          <w:rFonts w:cstheme="minorHAnsi"/>
          <w:sz w:val="20"/>
          <w:szCs w:val="20"/>
          <w:shd w:val="clear" w:color="auto" w:fill="FFFFFF"/>
          <w:lang w:val="en-CA"/>
        </w:rPr>
      </w:pPr>
      <w:r w:rsidRPr="005023CC">
        <w:rPr>
          <w:rFonts w:cstheme="minorHAnsi"/>
          <w:sz w:val="20"/>
          <w:szCs w:val="20"/>
          <w:shd w:val="clear" w:color="auto" w:fill="FFFFFF"/>
          <w:lang w:val="en-CA"/>
        </w:rPr>
        <w:t>Aboriginals could not vote till the 1960’s</w:t>
      </w:r>
    </w:p>
    <w:p w:rsidR="00BE7712" w:rsidRPr="005023CC" w:rsidRDefault="00BE7712" w:rsidP="00BE7712">
      <w:pPr>
        <w:pStyle w:val="ListParagraph"/>
        <w:numPr>
          <w:ilvl w:val="0"/>
          <w:numId w:val="1"/>
        </w:numPr>
        <w:rPr>
          <w:rFonts w:cstheme="minorHAnsi"/>
          <w:sz w:val="20"/>
          <w:szCs w:val="20"/>
          <w:shd w:val="clear" w:color="auto" w:fill="FFFFFF"/>
          <w:lang w:val="en-CA"/>
        </w:rPr>
      </w:pPr>
      <w:r w:rsidRPr="005023CC">
        <w:rPr>
          <w:rFonts w:cstheme="minorHAnsi"/>
          <w:sz w:val="20"/>
          <w:szCs w:val="20"/>
          <w:shd w:val="clear" w:color="auto" w:fill="FFFFFF"/>
          <w:lang w:val="en-CA"/>
        </w:rPr>
        <w:t xml:space="preserve">John </w:t>
      </w:r>
      <w:r w:rsidR="00D66368" w:rsidRPr="005023CC">
        <w:rPr>
          <w:rFonts w:cstheme="minorHAnsi"/>
          <w:sz w:val="20"/>
          <w:szCs w:val="20"/>
          <w:shd w:val="clear" w:color="auto" w:fill="FFFFFF"/>
          <w:lang w:val="en-CA"/>
        </w:rPr>
        <w:t>d</w:t>
      </w:r>
      <w:r w:rsidR="00B35866" w:rsidRPr="005023CC">
        <w:rPr>
          <w:rFonts w:cstheme="minorHAnsi"/>
          <w:sz w:val="20"/>
          <w:szCs w:val="20"/>
          <w:shd w:val="clear" w:color="auto" w:fill="FFFFFF"/>
          <w:lang w:val="en-CA"/>
        </w:rPr>
        <w:t>eafen baker bill of rights-1960-</w:t>
      </w:r>
      <w:r w:rsidR="00B35866" w:rsidRPr="005023CC">
        <w:rPr>
          <w:rStyle w:val="apple-converted-space"/>
          <w:rFonts w:cstheme="minorHAnsi"/>
          <w:sz w:val="20"/>
          <w:szCs w:val="20"/>
          <w:shd w:val="clear" w:color="auto" w:fill="FFFFFF"/>
          <w:lang w:val="en-CA"/>
        </w:rPr>
        <w:t> </w:t>
      </w:r>
      <w:r w:rsidR="00B35866" w:rsidRPr="005023CC">
        <w:rPr>
          <w:rFonts w:cstheme="minorHAnsi"/>
          <w:sz w:val="20"/>
          <w:szCs w:val="20"/>
          <w:shd w:val="clear" w:color="auto" w:fill="FFFFFF"/>
          <w:lang w:val="en-CA"/>
        </w:rPr>
        <w:t>It provides</w:t>
      </w:r>
      <w:r w:rsidR="00B35866" w:rsidRPr="005023CC">
        <w:rPr>
          <w:rStyle w:val="apple-converted-space"/>
          <w:rFonts w:cstheme="minorHAnsi"/>
          <w:sz w:val="20"/>
          <w:szCs w:val="20"/>
          <w:shd w:val="clear" w:color="auto" w:fill="FFFFFF"/>
          <w:lang w:val="en-CA"/>
        </w:rPr>
        <w:t> </w:t>
      </w:r>
      <w:hyperlink r:id="rId13" w:tooltip="Canadians" w:history="1">
        <w:r w:rsidR="00B35866" w:rsidRPr="005023CC">
          <w:rPr>
            <w:rStyle w:val="Hyperlink"/>
            <w:rFonts w:cstheme="minorHAnsi"/>
            <w:color w:val="auto"/>
            <w:sz w:val="20"/>
            <w:szCs w:val="20"/>
            <w:u w:val="none"/>
            <w:shd w:val="clear" w:color="auto" w:fill="FFFFFF"/>
            <w:lang w:val="en-CA"/>
          </w:rPr>
          <w:t>Canadians</w:t>
        </w:r>
      </w:hyperlink>
      <w:r w:rsidR="00B35866" w:rsidRPr="005023CC">
        <w:rPr>
          <w:rStyle w:val="apple-converted-space"/>
          <w:rFonts w:cstheme="minorHAnsi"/>
          <w:sz w:val="20"/>
          <w:szCs w:val="20"/>
          <w:shd w:val="clear" w:color="auto" w:fill="FFFFFF"/>
          <w:lang w:val="en-CA"/>
        </w:rPr>
        <w:t> </w:t>
      </w:r>
      <w:r w:rsidR="00B35866" w:rsidRPr="005023CC">
        <w:rPr>
          <w:rFonts w:cstheme="minorHAnsi"/>
          <w:sz w:val="20"/>
          <w:szCs w:val="20"/>
          <w:shd w:val="clear" w:color="auto" w:fill="FFFFFF"/>
          <w:lang w:val="en-CA"/>
        </w:rPr>
        <w:t>with certain</w:t>
      </w:r>
      <w:r w:rsidR="00B35866" w:rsidRPr="005023CC">
        <w:rPr>
          <w:rStyle w:val="apple-converted-space"/>
          <w:rFonts w:cstheme="minorHAnsi"/>
          <w:sz w:val="20"/>
          <w:szCs w:val="20"/>
          <w:shd w:val="clear" w:color="auto" w:fill="FFFFFF"/>
          <w:lang w:val="en-CA"/>
        </w:rPr>
        <w:t> </w:t>
      </w:r>
      <w:hyperlink r:id="rId14" w:tooltip="Quasi-constitutionality (Canada)" w:history="1">
        <w:r w:rsidR="00B35866" w:rsidRPr="005023CC">
          <w:rPr>
            <w:rStyle w:val="Hyperlink"/>
            <w:rFonts w:cstheme="minorHAnsi"/>
            <w:color w:val="auto"/>
            <w:sz w:val="20"/>
            <w:szCs w:val="20"/>
            <w:u w:val="none"/>
            <w:shd w:val="clear" w:color="auto" w:fill="FFFFFF"/>
            <w:lang w:val="en-CA"/>
          </w:rPr>
          <w:t>quasi-</w:t>
        </w:r>
        <w:proofErr w:type="gramStart"/>
        <w:r w:rsidR="00B35866" w:rsidRPr="005023CC">
          <w:rPr>
            <w:rStyle w:val="Hyperlink"/>
            <w:rFonts w:cstheme="minorHAnsi"/>
            <w:color w:val="auto"/>
            <w:sz w:val="20"/>
            <w:szCs w:val="20"/>
            <w:u w:val="none"/>
            <w:shd w:val="clear" w:color="auto" w:fill="FFFFFF"/>
            <w:lang w:val="en-CA"/>
          </w:rPr>
          <w:t>constitutional</w:t>
        </w:r>
        <w:proofErr w:type="gramEnd"/>
      </w:hyperlink>
      <w:hyperlink r:id="rId15" w:anchor="cite_note-magnet-1" w:history="1">
        <w:r w:rsidR="00B35866" w:rsidRPr="005023CC">
          <w:rPr>
            <w:rStyle w:val="Hyperlink"/>
            <w:rFonts w:cstheme="minorHAnsi"/>
            <w:color w:val="auto"/>
            <w:sz w:val="20"/>
            <w:szCs w:val="20"/>
            <w:u w:val="none"/>
            <w:shd w:val="clear" w:color="auto" w:fill="FFFFFF"/>
            <w:vertAlign w:val="superscript"/>
            <w:lang w:val="en-CA"/>
          </w:rPr>
          <w:t>[2]</w:t>
        </w:r>
      </w:hyperlink>
      <w:r w:rsidR="00B35866" w:rsidRPr="005023CC">
        <w:rPr>
          <w:rStyle w:val="apple-converted-space"/>
          <w:rFonts w:cstheme="minorHAnsi"/>
          <w:sz w:val="20"/>
          <w:szCs w:val="20"/>
          <w:shd w:val="clear" w:color="auto" w:fill="FFFFFF"/>
          <w:lang w:val="en-CA"/>
        </w:rPr>
        <w:t> </w:t>
      </w:r>
      <w:r w:rsidR="00B35866" w:rsidRPr="005023CC">
        <w:rPr>
          <w:rFonts w:cstheme="minorHAnsi"/>
          <w:sz w:val="20"/>
          <w:szCs w:val="20"/>
          <w:shd w:val="clear" w:color="auto" w:fill="FFFFFF"/>
          <w:lang w:val="en-CA"/>
        </w:rPr>
        <w:t>rights in relation to other federal statutes. It was the earliest expression of human rights law at the federal level in Canada, though an</w:t>
      </w:r>
      <w:r w:rsidR="00B35866" w:rsidRPr="005023CC">
        <w:rPr>
          <w:rStyle w:val="apple-converted-space"/>
          <w:rFonts w:cstheme="minorHAnsi"/>
          <w:sz w:val="20"/>
          <w:szCs w:val="20"/>
          <w:shd w:val="clear" w:color="auto" w:fill="FFFFFF"/>
          <w:lang w:val="en-CA"/>
        </w:rPr>
        <w:t> </w:t>
      </w:r>
      <w:hyperlink r:id="rId16" w:tooltip="Implied Bill of Rights" w:history="1">
        <w:r w:rsidR="00B35866" w:rsidRPr="005023CC">
          <w:rPr>
            <w:rStyle w:val="Hyperlink"/>
            <w:rFonts w:cstheme="minorHAnsi"/>
            <w:color w:val="auto"/>
            <w:sz w:val="20"/>
            <w:szCs w:val="20"/>
            <w:u w:val="none"/>
            <w:shd w:val="clear" w:color="auto" w:fill="FFFFFF"/>
            <w:lang w:val="en-CA"/>
          </w:rPr>
          <w:t>Implied Bill of Rights</w:t>
        </w:r>
      </w:hyperlink>
      <w:r w:rsidR="00B35866" w:rsidRPr="005023CC">
        <w:rPr>
          <w:rStyle w:val="apple-converted-space"/>
          <w:rFonts w:cstheme="minorHAnsi"/>
          <w:sz w:val="20"/>
          <w:szCs w:val="20"/>
          <w:shd w:val="clear" w:color="auto" w:fill="FFFFFF"/>
          <w:lang w:val="en-CA"/>
        </w:rPr>
        <w:t> </w:t>
      </w:r>
      <w:r w:rsidR="00B35866" w:rsidRPr="005023CC">
        <w:rPr>
          <w:rFonts w:cstheme="minorHAnsi"/>
          <w:sz w:val="20"/>
          <w:szCs w:val="20"/>
          <w:shd w:val="clear" w:color="auto" w:fill="FFFFFF"/>
          <w:lang w:val="en-CA"/>
        </w:rPr>
        <w:t>had already been recognized.</w:t>
      </w:r>
      <w:hyperlink r:id="rId17" w:anchor="cite_note-magnet-1" w:history="1">
        <w:r w:rsidR="00B35866" w:rsidRPr="005023CC">
          <w:rPr>
            <w:rStyle w:val="Hyperlink"/>
            <w:rFonts w:cstheme="minorHAnsi"/>
            <w:color w:val="auto"/>
            <w:sz w:val="20"/>
            <w:szCs w:val="20"/>
            <w:u w:val="none"/>
            <w:shd w:val="clear" w:color="auto" w:fill="FFFFFF"/>
            <w:vertAlign w:val="superscript"/>
            <w:lang w:val="en-CA"/>
          </w:rPr>
          <w:t>[2]</w:t>
        </w:r>
      </w:hyperlink>
      <w:r w:rsidR="00B35866" w:rsidRPr="005023CC">
        <w:rPr>
          <w:rStyle w:val="apple-converted-space"/>
          <w:rFonts w:cstheme="minorHAnsi"/>
          <w:sz w:val="20"/>
          <w:szCs w:val="20"/>
          <w:shd w:val="clear" w:color="auto" w:fill="FFFFFF"/>
          <w:lang w:val="en-CA"/>
        </w:rPr>
        <w:t> </w:t>
      </w:r>
      <w:r w:rsidR="00B35866" w:rsidRPr="005023CC">
        <w:rPr>
          <w:rFonts w:cstheme="minorHAnsi"/>
          <w:sz w:val="20"/>
          <w:szCs w:val="20"/>
          <w:shd w:val="clear" w:color="auto" w:fill="FFFFFF"/>
          <w:lang w:val="en-CA"/>
        </w:rPr>
        <w:t>The</w:t>
      </w:r>
      <w:r w:rsidR="00B35866" w:rsidRPr="005023CC">
        <w:rPr>
          <w:rStyle w:val="apple-converted-space"/>
          <w:rFonts w:cstheme="minorHAnsi"/>
          <w:sz w:val="20"/>
          <w:szCs w:val="20"/>
          <w:shd w:val="clear" w:color="auto" w:fill="FFFFFF"/>
          <w:lang w:val="en-CA"/>
        </w:rPr>
        <w:t> </w:t>
      </w:r>
      <w:r w:rsidR="00B35866" w:rsidRPr="005023CC">
        <w:rPr>
          <w:rFonts w:cstheme="minorHAnsi"/>
          <w:i/>
          <w:iCs/>
          <w:sz w:val="20"/>
          <w:szCs w:val="20"/>
          <w:shd w:val="clear" w:color="auto" w:fill="FFFFFF"/>
          <w:lang w:val="en-CA"/>
        </w:rPr>
        <w:t>Canadian Bill of Rights</w:t>
      </w:r>
      <w:r w:rsidR="00B35866" w:rsidRPr="005023CC">
        <w:rPr>
          <w:rStyle w:val="apple-converted-space"/>
          <w:rFonts w:cstheme="minorHAnsi"/>
          <w:sz w:val="20"/>
          <w:szCs w:val="20"/>
          <w:shd w:val="clear" w:color="auto" w:fill="FFFFFF"/>
          <w:lang w:val="en-CA"/>
        </w:rPr>
        <w:t> </w:t>
      </w:r>
      <w:r w:rsidR="00B35866" w:rsidRPr="005023CC">
        <w:rPr>
          <w:rFonts w:cstheme="minorHAnsi"/>
          <w:sz w:val="20"/>
          <w:szCs w:val="20"/>
          <w:shd w:val="clear" w:color="auto" w:fill="FFFFFF"/>
          <w:lang w:val="en-CA"/>
        </w:rPr>
        <w:t>remains in effect, but its widely acknowledged ineffectiveness was the main reason that the</w:t>
      </w:r>
      <w:r w:rsidR="00B35866" w:rsidRPr="005023CC">
        <w:rPr>
          <w:rStyle w:val="apple-converted-space"/>
          <w:rFonts w:cstheme="minorHAnsi"/>
          <w:sz w:val="20"/>
          <w:szCs w:val="20"/>
          <w:shd w:val="clear" w:color="auto" w:fill="FFFFFF"/>
          <w:lang w:val="en-CA"/>
        </w:rPr>
        <w:t> </w:t>
      </w:r>
      <w:hyperlink r:id="rId18" w:tooltip="Canadian Charter of Rights and Freedoms" w:history="1">
        <w:r w:rsidR="00B35866" w:rsidRPr="005023CC">
          <w:rPr>
            <w:rStyle w:val="Hyperlink"/>
            <w:rFonts w:cstheme="minorHAnsi"/>
            <w:i/>
            <w:iCs/>
            <w:color w:val="auto"/>
            <w:sz w:val="20"/>
            <w:szCs w:val="20"/>
            <w:u w:val="none"/>
            <w:shd w:val="clear" w:color="auto" w:fill="FFFFFF"/>
            <w:lang w:val="en-CA"/>
          </w:rPr>
          <w:t>Canadian Charter of Rights and Freedoms</w:t>
        </w:r>
      </w:hyperlink>
      <w:r w:rsidR="00B35866" w:rsidRPr="005023CC">
        <w:rPr>
          <w:rStyle w:val="apple-converted-space"/>
          <w:rFonts w:cstheme="minorHAnsi"/>
          <w:sz w:val="20"/>
          <w:szCs w:val="20"/>
          <w:shd w:val="clear" w:color="auto" w:fill="FFFFFF"/>
          <w:lang w:val="en-CA"/>
        </w:rPr>
        <w:t> </w:t>
      </w:r>
      <w:r w:rsidR="00B35866" w:rsidRPr="005023CC">
        <w:rPr>
          <w:rFonts w:cstheme="minorHAnsi"/>
          <w:sz w:val="20"/>
          <w:szCs w:val="20"/>
          <w:shd w:val="clear" w:color="auto" w:fill="FFFFFF"/>
          <w:lang w:val="en-CA"/>
        </w:rPr>
        <w:t xml:space="preserve">was adopted in 1982. </w:t>
      </w:r>
    </w:p>
    <w:p w:rsidR="00BE7712" w:rsidRPr="005023CC" w:rsidRDefault="00BE7712" w:rsidP="00BE7712">
      <w:pPr>
        <w:pStyle w:val="ListParagraph"/>
        <w:numPr>
          <w:ilvl w:val="0"/>
          <w:numId w:val="1"/>
        </w:numPr>
        <w:rPr>
          <w:rFonts w:cstheme="minorHAnsi"/>
          <w:sz w:val="20"/>
          <w:szCs w:val="20"/>
          <w:shd w:val="clear" w:color="auto" w:fill="FFFFFF"/>
          <w:lang w:val="en-CA"/>
        </w:rPr>
      </w:pPr>
      <w:r w:rsidRPr="005023CC">
        <w:rPr>
          <w:rFonts w:cstheme="minorHAnsi"/>
          <w:sz w:val="20"/>
          <w:szCs w:val="20"/>
          <w:shd w:val="clear" w:color="auto" w:fill="FFFFFF"/>
          <w:lang w:val="en-CA"/>
        </w:rPr>
        <w:t xml:space="preserve">Constitutional entrenchment does not protect property rights therefore this is a matter which is left in the hands of the provinces and </w:t>
      </w:r>
      <w:proofErr w:type="spellStart"/>
      <w:r w:rsidRPr="005023CC">
        <w:rPr>
          <w:rFonts w:cstheme="minorHAnsi"/>
          <w:sz w:val="20"/>
          <w:szCs w:val="20"/>
          <w:shd w:val="clear" w:color="auto" w:fill="FFFFFF"/>
          <w:lang w:val="en-CA"/>
        </w:rPr>
        <w:t>terrotiries</w:t>
      </w:r>
      <w:proofErr w:type="spellEnd"/>
      <w:r w:rsidRPr="005023CC">
        <w:rPr>
          <w:rFonts w:cstheme="minorHAnsi"/>
          <w:sz w:val="20"/>
          <w:szCs w:val="20"/>
          <w:shd w:val="clear" w:color="auto" w:fill="FFFFFF"/>
          <w:lang w:val="en-CA"/>
        </w:rPr>
        <w:t xml:space="preserve"> </w:t>
      </w:r>
    </w:p>
    <w:p w:rsidR="00BE7712" w:rsidRPr="005023CC" w:rsidRDefault="00BE7712" w:rsidP="00BE7712">
      <w:pPr>
        <w:pStyle w:val="ListParagraph"/>
        <w:numPr>
          <w:ilvl w:val="0"/>
          <w:numId w:val="1"/>
        </w:numPr>
        <w:rPr>
          <w:rFonts w:cstheme="minorHAnsi"/>
          <w:sz w:val="20"/>
          <w:szCs w:val="20"/>
          <w:shd w:val="clear" w:color="auto" w:fill="FFFFFF"/>
          <w:lang w:val="en-CA"/>
        </w:rPr>
      </w:pPr>
      <w:r w:rsidRPr="005023CC">
        <w:rPr>
          <w:rFonts w:cstheme="minorHAnsi"/>
          <w:sz w:val="20"/>
          <w:szCs w:val="20"/>
          <w:shd w:val="clear" w:color="auto" w:fill="FFFFFF"/>
          <w:lang w:val="en-CA"/>
        </w:rPr>
        <w:t xml:space="preserve">Sec 132-britain has the power to implement treaties but it was destroyed after the treaty of west minister </w:t>
      </w:r>
    </w:p>
    <w:p w:rsidR="00D66368" w:rsidRPr="00BF46F3" w:rsidRDefault="00BE7712" w:rsidP="00BF46F3">
      <w:pPr>
        <w:pStyle w:val="ListParagraph"/>
        <w:numPr>
          <w:ilvl w:val="0"/>
          <w:numId w:val="1"/>
        </w:numPr>
        <w:rPr>
          <w:rFonts w:cstheme="minorHAnsi"/>
          <w:sz w:val="20"/>
          <w:szCs w:val="20"/>
          <w:shd w:val="clear" w:color="auto" w:fill="FFFFFF"/>
          <w:lang w:val="en-CA"/>
        </w:rPr>
      </w:pPr>
      <w:r w:rsidRPr="005023CC">
        <w:rPr>
          <w:rFonts w:cstheme="minorHAnsi"/>
          <w:sz w:val="20"/>
          <w:szCs w:val="20"/>
          <w:shd w:val="clear" w:color="auto" w:fill="FFFFFF"/>
          <w:lang w:val="en-CA"/>
        </w:rPr>
        <w:t xml:space="preserve">POGG- peace order good government </w:t>
      </w:r>
      <w:r w:rsidR="00D66368" w:rsidRPr="00BF46F3">
        <w:rPr>
          <w:rFonts w:cstheme="minorHAnsi"/>
          <w:sz w:val="20"/>
          <w:szCs w:val="20"/>
          <w:shd w:val="clear" w:color="auto" w:fill="FFFFFF"/>
          <w:lang w:val="en-CA"/>
        </w:rPr>
        <w:t xml:space="preserve">charter </w:t>
      </w:r>
    </w:p>
    <w:p w:rsidR="00D66368" w:rsidRPr="005023CC" w:rsidRDefault="00D66368" w:rsidP="00BE7712">
      <w:pPr>
        <w:pStyle w:val="ListParagraph"/>
        <w:numPr>
          <w:ilvl w:val="0"/>
          <w:numId w:val="1"/>
        </w:numPr>
        <w:rPr>
          <w:rFonts w:cstheme="minorHAnsi"/>
          <w:sz w:val="20"/>
          <w:szCs w:val="20"/>
          <w:shd w:val="clear" w:color="auto" w:fill="FFFFFF"/>
          <w:lang w:val="en-CA"/>
        </w:rPr>
      </w:pPr>
      <w:r w:rsidRPr="005023CC">
        <w:rPr>
          <w:rFonts w:cstheme="minorHAnsi"/>
          <w:sz w:val="20"/>
          <w:szCs w:val="20"/>
          <w:shd w:val="clear" w:color="auto" w:fill="FFFFFF"/>
          <w:lang w:val="en-CA"/>
        </w:rPr>
        <w:t xml:space="preserve">Old </w:t>
      </w:r>
      <w:proofErr w:type="spellStart"/>
      <w:r w:rsidRPr="005023CC">
        <w:rPr>
          <w:rFonts w:cstheme="minorHAnsi"/>
          <w:sz w:val="20"/>
          <w:szCs w:val="20"/>
          <w:shd w:val="clear" w:color="auto" w:fill="FFFFFF"/>
          <w:lang w:val="en-CA"/>
        </w:rPr>
        <w:t>gradey</w:t>
      </w:r>
      <w:proofErr w:type="spellEnd"/>
      <w:r w:rsidRPr="005023CC">
        <w:rPr>
          <w:rFonts w:cstheme="minorHAnsi"/>
          <w:sz w:val="20"/>
          <w:szCs w:val="20"/>
          <w:shd w:val="clear" w:color="auto" w:fill="FFFFFF"/>
          <w:lang w:val="en-CA"/>
        </w:rPr>
        <w:t xml:space="preserve"> and </w:t>
      </w:r>
      <w:proofErr w:type="spellStart"/>
      <w:r w:rsidRPr="005023CC">
        <w:rPr>
          <w:rFonts w:cstheme="minorHAnsi"/>
          <w:sz w:val="20"/>
          <w:szCs w:val="20"/>
          <w:shd w:val="clear" w:color="auto" w:fill="FFFFFF"/>
          <w:lang w:val="en-CA"/>
        </w:rPr>
        <w:t>spiry</w:t>
      </w:r>
      <w:proofErr w:type="spellEnd"/>
      <w:r w:rsidRPr="005023CC">
        <w:rPr>
          <w:rFonts w:cstheme="minorHAnsi"/>
          <w:sz w:val="20"/>
          <w:szCs w:val="20"/>
          <w:shd w:val="clear" w:color="auto" w:fill="FFFFFF"/>
          <w:lang w:val="en-CA"/>
        </w:rPr>
        <w:t xml:space="preserve"> You can be prosecuted by two sets of legislation and POGG</w:t>
      </w:r>
    </w:p>
    <w:p w:rsidR="00D66368" w:rsidRPr="005023CC" w:rsidRDefault="00D66368" w:rsidP="00BE7712">
      <w:pPr>
        <w:pStyle w:val="ListParagraph"/>
        <w:numPr>
          <w:ilvl w:val="0"/>
          <w:numId w:val="1"/>
        </w:numPr>
        <w:rPr>
          <w:rFonts w:cstheme="minorHAnsi"/>
          <w:sz w:val="20"/>
          <w:szCs w:val="20"/>
          <w:shd w:val="clear" w:color="auto" w:fill="FFFFFF"/>
          <w:lang w:val="en-CA"/>
        </w:rPr>
      </w:pPr>
      <w:r w:rsidRPr="005023CC">
        <w:rPr>
          <w:rFonts w:cstheme="minorHAnsi"/>
          <w:sz w:val="20"/>
          <w:szCs w:val="20"/>
          <w:shd w:val="clear" w:color="auto" w:fill="FFFFFF"/>
          <w:lang w:val="en-CA"/>
        </w:rPr>
        <w:t xml:space="preserve">Old man river case build a dam to get water they had problems and took a federal environmental assessment rather than provincial natives were not important </w:t>
      </w:r>
    </w:p>
    <w:p w:rsidR="00D66368" w:rsidRPr="005023CC" w:rsidRDefault="00D66368" w:rsidP="00BE7712">
      <w:pPr>
        <w:pStyle w:val="ListParagraph"/>
        <w:numPr>
          <w:ilvl w:val="0"/>
          <w:numId w:val="1"/>
        </w:numPr>
        <w:rPr>
          <w:rFonts w:cstheme="minorHAnsi"/>
          <w:sz w:val="20"/>
          <w:szCs w:val="20"/>
          <w:shd w:val="clear" w:color="auto" w:fill="FFFFFF"/>
          <w:lang w:val="en-CA"/>
        </w:rPr>
      </w:pPr>
      <w:r w:rsidRPr="005023CC">
        <w:rPr>
          <w:rFonts w:cstheme="minorHAnsi"/>
          <w:sz w:val="20"/>
          <w:szCs w:val="20"/>
          <w:shd w:val="clear" w:color="auto" w:fill="FFFFFF"/>
          <w:lang w:val="en-CA"/>
        </w:rPr>
        <w:t xml:space="preserve">Sec 41-uniaminity formula- covers amendments to the constitution of Canada </w:t>
      </w:r>
    </w:p>
    <w:p w:rsidR="00D66368" w:rsidRPr="005023CC" w:rsidRDefault="00B35866" w:rsidP="00BE7712">
      <w:pPr>
        <w:pStyle w:val="ListParagraph"/>
        <w:numPr>
          <w:ilvl w:val="0"/>
          <w:numId w:val="1"/>
        </w:numPr>
        <w:rPr>
          <w:rFonts w:cstheme="minorHAnsi"/>
          <w:sz w:val="20"/>
          <w:szCs w:val="20"/>
          <w:shd w:val="clear" w:color="auto" w:fill="FFFFFF"/>
          <w:lang w:val="en-CA"/>
        </w:rPr>
      </w:pPr>
      <w:r w:rsidRPr="005023CC">
        <w:rPr>
          <w:rFonts w:cstheme="minorHAnsi"/>
          <w:sz w:val="20"/>
          <w:szCs w:val="20"/>
          <w:shd w:val="clear" w:color="auto" w:fill="FFFFFF"/>
          <w:lang w:val="en-CA"/>
        </w:rPr>
        <w:t>BNA act -The</w:t>
      </w:r>
      <w:r w:rsidRPr="005023CC">
        <w:rPr>
          <w:rStyle w:val="apple-converted-space"/>
          <w:rFonts w:cstheme="minorHAnsi"/>
          <w:sz w:val="20"/>
          <w:szCs w:val="20"/>
          <w:shd w:val="clear" w:color="auto" w:fill="FFFFFF"/>
          <w:lang w:val="en-CA"/>
        </w:rPr>
        <w:t> </w:t>
      </w:r>
      <w:r w:rsidRPr="005023CC">
        <w:rPr>
          <w:rFonts w:cstheme="minorHAnsi"/>
          <w:bCs/>
          <w:sz w:val="20"/>
          <w:szCs w:val="20"/>
          <w:shd w:val="clear" w:color="auto" w:fill="FFFFFF"/>
          <w:lang w:val="en-CA"/>
        </w:rPr>
        <w:t>British North America Acts 1867–1975</w:t>
      </w:r>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are the original names of a series of</w:t>
      </w:r>
      <w:r w:rsidRPr="005023CC">
        <w:rPr>
          <w:rStyle w:val="apple-converted-space"/>
          <w:rFonts w:cstheme="minorHAnsi"/>
          <w:sz w:val="20"/>
          <w:szCs w:val="20"/>
          <w:shd w:val="clear" w:color="auto" w:fill="FFFFFF"/>
          <w:lang w:val="en-CA"/>
        </w:rPr>
        <w:t> </w:t>
      </w:r>
      <w:hyperlink r:id="rId19" w:tooltip="Act of Parliament" w:history="1">
        <w:r w:rsidRPr="005023CC">
          <w:rPr>
            <w:rStyle w:val="Hyperlink"/>
            <w:rFonts w:cstheme="minorHAnsi"/>
            <w:color w:val="auto"/>
            <w:sz w:val="20"/>
            <w:szCs w:val="20"/>
            <w:u w:val="none"/>
            <w:shd w:val="clear" w:color="auto" w:fill="FFFFFF"/>
            <w:lang w:val="en-CA"/>
          </w:rPr>
          <w:t>Acts</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at the core of the</w:t>
      </w:r>
      <w:r w:rsidRPr="005023CC">
        <w:rPr>
          <w:rStyle w:val="apple-converted-space"/>
          <w:rFonts w:cstheme="minorHAnsi"/>
          <w:sz w:val="20"/>
          <w:szCs w:val="20"/>
          <w:shd w:val="clear" w:color="auto" w:fill="FFFFFF"/>
          <w:lang w:val="en-CA"/>
        </w:rPr>
        <w:t> </w:t>
      </w:r>
      <w:hyperlink r:id="rId20" w:tooltip="Constitution" w:history="1">
        <w:r w:rsidRPr="005023CC">
          <w:rPr>
            <w:rStyle w:val="Hyperlink"/>
            <w:rFonts w:cstheme="minorHAnsi"/>
            <w:color w:val="auto"/>
            <w:sz w:val="20"/>
            <w:szCs w:val="20"/>
            <w:u w:val="none"/>
            <w:shd w:val="clear" w:color="auto" w:fill="FFFFFF"/>
            <w:lang w:val="en-CA"/>
          </w:rPr>
          <w:t>constitution</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of</w:t>
      </w:r>
      <w:r w:rsidRPr="005023CC">
        <w:rPr>
          <w:rStyle w:val="apple-converted-space"/>
          <w:rFonts w:cstheme="minorHAnsi"/>
          <w:sz w:val="20"/>
          <w:szCs w:val="20"/>
          <w:shd w:val="clear" w:color="auto" w:fill="FFFFFF"/>
          <w:lang w:val="en-CA"/>
        </w:rPr>
        <w:t> </w:t>
      </w:r>
      <w:hyperlink r:id="rId21" w:tooltip="Canada" w:history="1">
        <w:r w:rsidRPr="005023CC">
          <w:rPr>
            <w:rStyle w:val="Hyperlink"/>
            <w:rFonts w:cstheme="minorHAnsi"/>
            <w:color w:val="auto"/>
            <w:sz w:val="20"/>
            <w:szCs w:val="20"/>
            <w:u w:val="none"/>
            <w:shd w:val="clear" w:color="auto" w:fill="FFFFFF"/>
            <w:lang w:val="en-CA"/>
          </w:rPr>
          <w:t>Canada</w:t>
        </w:r>
      </w:hyperlink>
      <w:r w:rsidRPr="005023CC">
        <w:rPr>
          <w:rFonts w:cstheme="minorHAnsi"/>
          <w:sz w:val="20"/>
          <w:szCs w:val="20"/>
          <w:shd w:val="clear" w:color="auto" w:fill="FFFFFF"/>
          <w:lang w:val="en-CA"/>
        </w:rPr>
        <w:t>. They were enacted by the</w:t>
      </w:r>
      <w:r w:rsidRPr="005023CC">
        <w:rPr>
          <w:rStyle w:val="apple-converted-space"/>
          <w:rFonts w:cstheme="minorHAnsi"/>
          <w:sz w:val="20"/>
          <w:szCs w:val="20"/>
          <w:shd w:val="clear" w:color="auto" w:fill="FFFFFF"/>
          <w:lang w:val="en-CA"/>
        </w:rPr>
        <w:t> </w:t>
      </w:r>
      <w:hyperlink r:id="rId22" w:tooltip="Parliament of the United Kingdom" w:history="1">
        <w:r w:rsidRPr="005023CC">
          <w:rPr>
            <w:rStyle w:val="Hyperlink"/>
            <w:rFonts w:cstheme="minorHAnsi"/>
            <w:color w:val="auto"/>
            <w:sz w:val="20"/>
            <w:szCs w:val="20"/>
            <w:u w:val="none"/>
            <w:shd w:val="clear" w:color="auto" w:fill="FFFFFF"/>
            <w:lang w:val="en-CA"/>
          </w:rPr>
          <w:t>Parliament of the United Kingdom</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and the</w:t>
      </w:r>
      <w:r w:rsidRPr="005023CC">
        <w:rPr>
          <w:rStyle w:val="apple-converted-space"/>
          <w:rFonts w:cstheme="minorHAnsi"/>
          <w:sz w:val="20"/>
          <w:szCs w:val="20"/>
          <w:shd w:val="clear" w:color="auto" w:fill="FFFFFF"/>
          <w:lang w:val="en-CA"/>
        </w:rPr>
        <w:t> </w:t>
      </w:r>
      <w:hyperlink r:id="rId23" w:tooltip="Parliament of Canada" w:history="1">
        <w:r w:rsidRPr="005023CC">
          <w:rPr>
            <w:rStyle w:val="Hyperlink"/>
            <w:rFonts w:cstheme="minorHAnsi"/>
            <w:color w:val="auto"/>
            <w:sz w:val="20"/>
            <w:szCs w:val="20"/>
            <w:u w:val="none"/>
            <w:shd w:val="clear" w:color="auto" w:fill="FFFFFF"/>
            <w:lang w:val="en-CA"/>
          </w:rPr>
          <w:t>Parliament of Canada</w:t>
        </w:r>
      </w:hyperlink>
      <w:r w:rsidRPr="005023CC">
        <w:rPr>
          <w:rFonts w:cstheme="minorHAnsi"/>
          <w:sz w:val="20"/>
          <w:szCs w:val="20"/>
          <w:shd w:val="clear" w:color="auto" w:fill="FFFFFF"/>
          <w:lang w:val="en-CA"/>
        </w:rPr>
        <w:t xml:space="preserve">. In Canada, some of the Acts were amended or repealed by </w:t>
      </w:r>
      <w:proofErr w:type="spellStart"/>
      <w:r w:rsidRPr="005023CC">
        <w:rPr>
          <w:rFonts w:cstheme="minorHAnsi"/>
          <w:sz w:val="20"/>
          <w:szCs w:val="20"/>
          <w:shd w:val="clear" w:color="auto" w:fill="FFFFFF"/>
          <w:lang w:val="en-CA"/>
        </w:rPr>
        <w:t>the</w:t>
      </w:r>
      <w:hyperlink r:id="rId24" w:tooltip="Constitution Act, 1982" w:history="1">
        <w:r w:rsidRPr="005023CC">
          <w:rPr>
            <w:rStyle w:val="Hyperlink"/>
            <w:rFonts w:cstheme="minorHAnsi"/>
            <w:color w:val="auto"/>
            <w:sz w:val="20"/>
            <w:szCs w:val="20"/>
            <w:u w:val="none"/>
            <w:shd w:val="clear" w:color="auto" w:fill="FFFFFF"/>
            <w:lang w:val="en-CA"/>
          </w:rPr>
          <w:t>Constitution</w:t>
        </w:r>
        <w:proofErr w:type="spellEnd"/>
        <w:r w:rsidRPr="005023CC">
          <w:rPr>
            <w:rStyle w:val="Hyperlink"/>
            <w:rFonts w:cstheme="minorHAnsi"/>
            <w:color w:val="auto"/>
            <w:sz w:val="20"/>
            <w:szCs w:val="20"/>
            <w:u w:val="none"/>
            <w:shd w:val="clear" w:color="auto" w:fill="FFFFFF"/>
            <w:lang w:val="en-CA"/>
          </w:rPr>
          <w:t xml:space="preserve"> Act, 1982</w:t>
        </w:r>
      </w:hyperlink>
      <w:r w:rsidRPr="005023CC">
        <w:rPr>
          <w:rFonts w:cstheme="minorHAnsi"/>
          <w:sz w:val="20"/>
          <w:szCs w:val="20"/>
          <w:shd w:val="clear" w:color="auto" w:fill="FFFFFF"/>
          <w:lang w:val="en-CA"/>
        </w:rPr>
        <w:t>. The rest were renamed in Canada as the</w:t>
      </w:r>
      <w:r w:rsidRPr="005023CC">
        <w:rPr>
          <w:rStyle w:val="apple-converted-space"/>
          <w:rFonts w:cstheme="minorHAnsi"/>
          <w:sz w:val="20"/>
          <w:szCs w:val="20"/>
          <w:shd w:val="clear" w:color="auto" w:fill="FFFFFF"/>
          <w:lang w:val="en-CA"/>
        </w:rPr>
        <w:t> </w:t>
      </w:r>
      <w:r w:rsidRPr="005023CC">
        <w:rPr>
          <w:rFonts w:cstheme="minorHAnsi"/>
          <w:i/>
          <w:iCs/>
          <w:sz w:val="20"/>
          <w:szCs w:val="20"/>
          <w:shd w:val="clear" w:color="auto" w:fill="FFFFFF"/>
          <w:lang w:val="en-CA"/>
        </w:rPr>
        <w:t>Constitution Acts</w:t>
      </w:r>
      <w:r w:rsidRPr="005023CC">
        <w:rPr>
          <w:rFonts w:cstheme="minorHAnsi"/>
          <w:sz w:val="20"/>
          <w:szCs w:val="20"/>
          <w:shd w:val="clear" w:color="auto" w:fill="FFFFFF"/>
          <w:lang w:val="en-CA"/>
        </w:rPr>
        <w:t>. In the</w:t>
      </w:r>
      <w:r w:rsidRPr="005023CC">
        <w:rPr>
          <w:rStyle w:val="apple-converted-space"/>
          <w:rFonts w:cstheme="minorHAnsi"/>
          <w:sz w:val="20"/>
          <w:szCs w:val="20"/>
          <w:shd w:val="clear" w:color="auto" w:fill="FFFFFF"/>
          <w:lang w:val="en-CA"/>
        </w:rPr>
        <w:t> </w:t>
      </w:r>
      <w:hyperlink r:id="rId25" w:tooltip="United Kingdom" w:history="1">
        <w:r w:rsidRPr="005023CC">
          <w:rPr>
            <w:rStyle w:val="Hyperlink"/>
            <w:rFonts w:cstheme="minorHAnsi"/>
            <w:color w:val="auto"/>
            <w:sz w:val="20"/>
            <w:szCs w:val="20"/>
            <w:u w:val="none"/>
            <w:shd w:val="clear" w:color="auto" w:fill="FFFFFF"/>
            <w:lang w:val="en-CA"/>
          </w:rPr>
          <w:t>United Kingdom</w:t>
        </w:r>
      </w:hyperlink>
      <w:r w:rsidRPr="005023CC">
        <w:rPr>
          <w:rFonts w:cstheme="minorHAnsi"/>
          <w:sz w:val="20"/>
          <w:szCs w:val="20"/>
          <w:shd w:val="clear" w:color="auto" w:fill="FFFFFF"/>
          <w:lang w:val="en-CA"/>
        </w:rPr>
        <w:t>, those Acts that were passed by the British Parliament remain under their original names. The term "</w:t>
      </w:r>
      <w:hyperlink r:id="rId26" w:tooltip="British North America" w:history="1">
        <w:r w:rsidRPr="005023CC">
          <w:rPr>
            <w:rStyle w:val="Hyperlink"/>
            <w:rFonts w:cstheme="minorHAnsi"/>
            <w:color w:val="auto"/>
            <w:sz w:val="20"/>
            <w:szCs w:val="20"/>
            <w:u w:val="none"/>
            <w:shd w:val="clear" w:color="auto" w:fill="FFFFFF"/>
            <w:lang w:val="en-CA"/>
          </w:rPr>
          <w:t>British North America</w:t>
        </w:r>
      </w:hyperlink>
      <w:r w:rsidRPr="005023CC">
        <w:rPr>
          <w:rFonts w:cstheme="minorHAnsi"/>
          <w:sz w:val="20"/>
          <w:szCs w:val="20"/>
          <w:shd w:val="clear" w:color="auto" w:fill="FFFFFF"/>
          <w:lang w:val="en-CA"/>
        </w:rPr>
        <w:t>" (BNA) refers to the</w:t>
      </w:r>
      <w:r w:rsidRPr="005023CC">
        <w:rPr>
          <w:rStyle w:val="apple-converted-space"/>
          <w:rFonts w:cstheme="minorHAnsi"/>
          <w:sz w:val="20"/>
          <w:szCs w:val="20"/>
          <w:shd w:val="clear" w:color="auto" w:fill="FFFFFF"/>
          <w:lang w:val="en-CA"/>
        </w:rPr>
        <w:t> </w:t>
      </w:r>
      <w:hyperlink r:id="rId27" w:tooltip="British Empire" w:history="1">
        <w:r w:rsidRPr="005023CC">
          <w:rPr>
            <w:rStyle w:val="Hyperlink"/>
            <w:rFonts w:cstheme="minorHAnsi"/>
            <w:color w:val="auto"/>
            <w:sz w:val="20"/>
            <w:szCs w:val="20"/>
            <w:u w:val="none"/>
            <w:shd w:val="clear" w:color="auto" w:fill="FFFFFF"/>
            <w:lang w:val="en-CA"/>
          </w:rPr>
          <w:t>British colonies</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in North America. Canada dates its history as a country to the</w:t>
      </w:r>
      <w:r w:rsidRPr="005023CC">
        <w:rPr>
          <w:rStyle w:val="apple-converted-space"/>
          <w:rFonts w:cstheme="minorHAnsi"/>
          <w:sz w:val="20"/>
          <w:szCs w:val="20"/>
          <w:shd w:val="clear" w:color="auto" w:fill="FFFFFF"/>
          <w:lang w:val="en-CA"/>
        </w:rPr>
        <w:t> </w:t>
      </w:r>
      <w:hyperlink r:id="rId28" w:tooltip="Constitution Act, 1867" w:history="1">
        <w:r w:rsidRPr="005023CC">
          <w:rPr>
            <w:rStyle w:val="Hyperlink"/>
            <w:rFonts w:cstheme="minorHAnsi"/>
            <w:color w:val="auto"/>
            <w:sz w:val="20"/>
            <w:szCs w:val="20"/>
            <w:u w:val="none"/>
            <w:shd w:val="clear" w:color="auto" w:fill="FFFFFF"/>
            <w:lang w:val="en-CA"/>
          </w:rPr>
          <w:t>British North America Act, 1867</w:t>
        </w:r>
      </w:hyperlink>
      <w:r w:rsidRPr="005023CC">
        <w:rPr>
          <w:rFonts w:cstheme="minorHAnsi"/>
          <w:sz w:val="20"/>
          <w:szCs w:val="20"/>
          <w:shd w:val="clear" w:color="auto" w:fill="FFFFFF"/>
          <w:lang w:val="en-CA"/>
        </w:rPr>
        <w:t>, which came into effect on July 1, 1867. However, Canada was not established as fully independent, since the United Kingdom retained legislative control over Canada and full control over Canadian foreign policy. Canada did not have any foreign embassies until its first one was established in</w:t>
      </w:r>
      <w:r w:rsidRPr="005023CC">
        <w:rPr>
          <w:rStyle w:val="apple-converted-space"/>
          <w:rFonts w:cstheme="minorHAnsi"/>
          <w:sz w:val="20"/>
          <w:szCs w:val="20"/>
          <w:shd w:val="clear" w:color="auto" w:fill="FFFFFF"/>
          <w:lang w:val="en-CA"/>
        </w:rPr>
        <w:t> </w:t>
      </w:r>
      <w:hyperlink r:id="rId29" w:tooltip="Washington, D.C." w:history="1">
        <w:r w:rsidRPr="005023CC">
          <w:rPr>
            <w:rStyle w:val="Hyperlink"/>
            <w:rFonts w:cstheme="minorHAnsi"/>
            <w:color w:val="auto"/>
            <w:sz w:val="20"/>
            <w:szCs w:val="20"/>
            <w:u w:val="none"/>
            <w:shd w:val="clear" w:color="auto" w:fill="FFFFFF"/>
            <w:lang w:val="en-CA"/>
          </w:rPr>
          <w:t>Washington, D.C.</w:t>
        </w:r>
      </w:hyperlink>
      <w:r w:rsidRPr="005023CC">
        <w:rPr>
          <w:rFonts w:cstheme="minorHAnsi"/>
          <w:sz w:val="20"/>
          <w:szCs w:val="20"/>
          <w:shd w:val="clear" w:color="auto" w:fill="FFFFFF"/>
          <w:lang w:val="en-CA"/>
        </w:rPr>
        <w:t>, in 1931. Until 1949, changes to the British North America Acts could be made only by the British parliament. The French Constitutional Drafting Committee produced translations of all the British North America Acts, pursuant to section 55 of the Constitution Act, 1982, but these were never enacted by Parliament to make them official.</w:t>
      </w:r>
      <w:r w:rsidRPr="005023CC">
        <w:rPr>
          <w:rFonts w:cstheme="minorHAnsi"/>
          <w:sz w:val="20"/>
          <w:szCs w:val="20"/>
          <w:shd w:val="clear" w:color="auto" w:fill="FFFFFF"/>
          <w:vertAlign w:val="superscript"/>
          <w:lang w:val="en-CA"/>
        </w:rPr>
        <w:t>[</w:t>
      </w:r>
    </w:p>
    <w:p w:rsidR="005023CC" w:rsidRDefault="005023CC" w:rsidP="005023CC">
      <w:pPr>
        <w:ind w:left="360"/>
        <w:rPr>
          <w:rFonts w:cstheme="minorHAnsi"/>
          <w:sz w:val="20"/>
          <w:szCs w:val="20"/>
          <w:shd w:val="clear" w:color="auto" w:fill="FFFFFF"/>
          <w:lang w:val="en-CA"/>
        </w:rPr>
      </w:pPr>
    </w:p>
    <w:p w:rsidR="005023CC" w:rsidRDefault="005023CC" w:rsidP="005023CC">
      <w:pPr>
        <w:ind w:left="360"/>
        <w:rPr>
          <w:rFonts w:cstheme="minorHAnsi"/>
          <w:sz w:val="20"/>
          <w:szCs w:val="20"/>
          <w:shd w:val="clear" w:color="auto" w:fill="FFFFFF"/>
          <w:lang w:val="en-CA"/>
        </w:rPr>
      </w:pPr>
    </w:p>
    <w:p w:rsidR="005023CC" w:rsidRDefault="005023CC" w:rsidP="005023CC">
      <w:pPr>
        <w:ind w:left="360"/>
        <w:rPr>
          <w:rFonts w:cstheme="minorHAnsi"/>
          <w:sz w:val="20"/>
          <w:szCs w:val="20"/>
          <w:shd w:val="clear" w:color="auto" w:fill="FFFFFF"/>
          <w:lang w:val="en-CA"/>
        </w:rPr>
      </w:pPr>
    </w:p>
    <w:p w:rsidR="005023CC" w:rsidRDefault="005023CC" w:rsidP="005023CC">
      <w:pPr>
        <w:ind w:left="360"/>
        <w:rPr>
          <w:rFonts w:cstheme="minorHAnsi"/>
          <w:sz w:val="20"/>
          <w:szCs w:val="20"/>
          <w:shd w:val="clear" w:color="auto" w:fill="FFFFFF"/>
          <w:lang w:val="en-CA"/>
        </w:rPr>
      </w:pPr>
    </w:p>
    <w:p w:rsidR="00B35866" w:rsidRPr="005023CC" w:rsidRDefault="00FC5230" w:rsidP="005023CC">
      <w:pPr>
        <w:pStyle w:val="ListParagraph"/>
        <w:numPr>
          <w:ilvl w:val="0"/>
          <w:numId w:val="1"/>
        </w:numPr>
        <w:rPr>
          <w:rFonts w:cstheme="minorHAnsi"/>
          <w:sz w:val="20"/>
          <w:szCs w:val="20"/>
          <w:shd w:val="clear" w:color="auto" w:fill="FFFFFF"/>
          <w:lang w:val="en-CA"/>
        </w:rPr>
      </w:pPr>
      <w:proofErr w:type="spellStart"/>
      <w:r w:rsidRPr="005023CC">
        <w:rPr>
          <w:rFonts w:cstheme="minorHAnsi"/>
          <w:b/>
          <w:bCs/>
          <w:i/>
          <w:iCs/>
          <w:sz w:val="20"/>
          <w:szCs w:val="20"/>
          <w:shd w:val="clear" w:color="auto" w:fill="FFFFFF"/>
          <w:lang w:val="en-CA"/>
        </w:rPr>
        <w:lastRenderedPageBreak/>
        <w:t>Roncarelli</w:t>
      </w:r>
      <w:proofErr w:type="spellEnd"/>
      <w:r w:rsidRPr="005023CC">
        <w:rPr>
          <w:rFonts w:cstheme="minorHAnsi"/>
          <w:b/>
          <w:bCs/>
          <w:i/>
          <w:iCs/>
          <w:sz w:val="20"/>
          <w:szCs w:val="20"/>
          <w:shd w:val="clear" w:color="auto" w:fill="FFFFFF"/>
          <w:lang w:val="en-CA"/>
        </w:rPr>
        <w:t xml:space="preserve"> v. </w:t>
      </w:r>
      <w:proofErr w:type="spellStart"/>
      <w:r w:rsidRPr="005023CC">
        <w:rPr>
          <w:rFonts w:cstheme="minorHAnsi"/>
          <w:b/>
          <w:bCs/>
          <w:i/>
          <w:iCs/>
          <w:sz w:val="20"/>
          <w:szCs w:val="20"/>
          <w:shd w:val="clear" w:color="auto" w:fill="FFFFFF"/>
          <w:lang w:val="en-CA"/>
        </w:rPr>
        <w:t>Duplessis</w:t>
      </w:r>
      <w:proofErr w:type="spellEnd"/>
      <w:r w:rsidRPr="005023CC">
        <w:rPr>
          <w:rFonts w:cstheme="minorHAnsi"/>
          <w:sz w:val="20"/>
          <w:szCs w:val="20"/>
          <w:shd w:val="clear" w:color="auto" w:fill="FFFFFF"/>
          <w:lang w:val="en-CA"/>
        </w:rPr>
        <w:t>, [1959] S.C.R. 121, was a landmark constitutional decision of the</w:t>
      </w:r>
      <w:r w:rsidRPr="005023CC">
        <w:rPr>
          <w:rStyle w:val="apple-converted-space"/>
          <w:rFonts w:cstheme="minorHAnsi"/>
          <w:sz w:val="20"/>
          <w:szCs w:val="20"/>
          <w:shd w:val="clear" w:color="auto" w:fill="FFFFFF"/>
          <w:lang w:val="en-CA"/>
        </w:rPr>
        <w:t> </w:t>
      </w:r>
      <w:hyperlink r:id="rId30" w:tooltip="Supreme Court of Canada" w:history="1">
        <w:r w:rsidRPr="005023CC">
          <w:rPr>
            <w:rStyle w:val="Hyperlink"/>
            <w:rFonts w:cstheme="minorHAnsi"/>
            <w:color w:val="auto"/>
            <w:sz w:val="20"/>
            <w:szCs w:val="20"/>
            <w:u w:val="none"/>
            <w:shd w:val="clear" w:color="auto" w:fill="FFFFFF"/>
            <w:lang w:val="en-CA"/>
          </w:rPr>
          <w:t>Supreme Court of Canada</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where the Court held that</w:t>
      </w:r>
      <w:r w:rsidR="00C9192B">
        <w:rPr>
          <w:rFonts w:cstheme="minorHAnsi"/>
          <w:sz w:val="20"/>
          <w:szCs w:val="20"/>
          <w:shd w:val="clear" w:color="auto" w:fill="FFFFFF"/>
          <w:lang w:val="en-CA"/>
        </w:rPr>
        <w:t xml:space="preserve"> </w:t>
      </w:r>
      <w:hyperlink r:id="rId31" w:tooltip="Maurice Duplessis" w:history="1">
        <w:r w:rsidRPr="005023CC">
          <w:rPr>
            <w:rStyle w:val="Hyperlink"/>
            <w:rFonts w:cstheme="minorHAnsi"/>
            <w:color w:val="auto"/>
            <w:sz w:val="20"/>
            <w:szCs w:val="20"/>
            <w:u w:val="none"/>
            <w:shd w:val="clear" w:color="auto" w:fill="FFFFFF"/>
            <w:lang w:val="en-CA"/>
          </w:rPr>
          <w:t xml:space="preserve">Maurice </w:t>
        </w:r>
        <w:proofErr w:type="spellStart"/>
        <w:r w:rsidRPr="005023CC">
          <w:rPr>
            <w:rStyle w:val="Hyperlink"/>
            <w:rFonts w:cstheme="minorHAnsi"/>
            <w:color w:val="auto"/>
            <w:sz w:val="20"/>
            <w:szCs w:val="20"/>
            <w:u w:val="none"/>
            <w:shd w:val="clear" w:color="auto" w:fill="FFFFFF"/>
            <w:lang w:val="en-CA"/>
          </w:rPr>
          <w:t>Duplessis</w:t>
        </w:r>
        <w:proofErr w:type="spellEnd"/>
      </w:hyperlink>
      <w:r w:rsidRPr="005023CC">
        <w:rPr>
          <w:rFonts w:cstheme="minorHAnsi"/>
          <w:sz w:val="20"/>
          <w:szCs w:val="20"/>
          <w:shd w:val="clear" w:color="auto" w:fill="FFFFFF"/>
          <w:lang w:val="en-CA"/>
        </w:rPr>
        <w:t>, the premier of Quebec, had overstepped his authority by revoking the liquor licence of a</w:t>
      </w:r>
      <w:r w:rsidRPr="005023CC">
        <w:rPr>
          <w:rStyle w:val="apple-converted-space"/>
          <w:rFonts w:cstheme="minorHAnsi"/>
          <w:sz w:val="20"/>
          <w:szCs w:val="20"/>
          <w:shd w:val="clear" w:color="auto" w:fill="FFFFFF"/>
          <w:lang w:val="en-CA"/>
        </w:rPr>
        <w:t> </w:t>
      </w:r>
      <w:hyperlink r:id="rId32" w:tooltip="Jehovah's Witness" w:history="1">
        <w:r w:rsidRPr="005023CC">
          <w:rPr>
            <w:rStyle w:val="Hyperlink"/>
            <w:rFonts w:cstheme="minorHAnsi"/>
            <w:color w:val="auto"/>
            <w:sz w:val="20"/>
            <w:szCs w:val="20"/>
            <w:u w:val="none"/>
            <w:shd w:val="clear" w:color="auto" w:fill="FFFFFF"/>
            <w:lang w:val="en-CA"/>
          </w:rPr>
          <w:t>Jehovah's Witness</w:t>
        </w:r>
      </w:hyperlink>
      <w:r w:rsidRPr="005023CC">
        <w:rPr>
          <w:rFonts w:cstheme="minorHAnsi"/>
          <w:sz w:val="20"/>
          <w:szCs w:val="20"/>
          <w:shd w:val="clear" w:color="auto" w:fill="FFFFFF"/>
          <w:lang w:val="en-CA"/>
        </w:rPr>
        <w:t>. Justice Rand wrote in his often-quoted reasons that the unwritten constitutional principle of the "</w:t>
      </w:r>
      <w:hyperlink r:id="rId33" w:tooltip="Rule of law" w:history="1">
        <w:r w:rsidRPr="005023CC">
          <w:rPr>
            <w:rStyle w:val="Hyperlink"/>
            <w:rFonts w:cstheme="minorHAnsi"/>
            <w:color w:val="auto"/>
            <w:sz w:val="20"/>
            <w:szCs w:val="20"/>
            <w:u w:val="none"/>
            <w:shd w:val="clear" w:color="auto" w:fill="FFFFFF"/>
            <w:lang w:val="en-CA"/>
          </w:rPr>
          <w:t>rule of law</w:t>
        </w:r>
      </w:hyperlink>
      <w:r w:rsidRPr="005023CC">
        <w:rPr>
          <w:rFonts w:cstheme="minorHAnsi"/>
          <w:sz w:val="20"/>
          <w:szCs w:val="20"/>
          <w:shd w:val="clear" w:color="auto" w:fill="FFFFFF"/>
          <w:lang w:val="en-CA"/>
        </w:rPr>
        <w:t xml:space="preserve">" meant no public official was above the law, that is, they could </w:t>
      </w:r>
      <w:proofErr w:type="gramStart"/>
      <w:r w:rsidRPr="005023CC">
        <w:rPr>
          <w:rFonts w:cstheme="minorHAnsi"/>
          <w:sz w:val="20"/>
          <w:szCs w:val="20"/>
          <w:shd w:val="clear" w:color="auto" w:fill="FFFFFF"/>
          <w:lang w:val="en-CA"/>
        </w:rPr>
        <w:t>neither suspend it or</w:t>
      </w:r>
      <w:proofErr w:type="gramEnd"/>
      <w:r w:rsidRPr="005023CC">
        <w:rPr>
          <w:rFonts w:cstheme="minorHAnsi"/>
          <w:sz w:val="20"/>
          <w:szCs w:val="20"/>
          <w:shd w:val="clear" w:color="auto" w:fill="FFFFFF"/>
          <w:lang w:val="en-CA"/>
        </w:rPr>
        <w:t xml:space="preserve"> dispense it. Though he had the authority to do this by the law granting him the discretion, he overstepped the reasons why he held this. It is held as an example of a ruling showing we need, and have, rules governing the granting of authority.</w:t>
      </w:r>
      <w:r w:rsidRPr="005023CC">
        <w:rPr>
          <w:rFonts w:cstheme="minorHAnsi"/>
          <w:sz w:val="20"/>
          <w:szCs w:val="20"/>
          <w:shd w:val="clear" w:color="auto" w:fill="FFFFFF"/>
          <w:lang w:val="en-CA"/>
        </w:rPr>
        <w:br/>
      </w:r>
      <w:r w:rsidR="00B35866" w:rsidRPr="005023CC">
        <w:rPr>
          <w:rFonts w:cstheme="minorHAnsi"/>
          <w:sz w:val="20"/>
          <w:szCs w:val="20"/>
          <w:shd w:val="clear" w:color="auto" w:fill="FFFFFF"/>
          <w:lang w:val="en-CA"/>
        </w:rPr>
        <w:t xml:space="preserve"> issue: did the premier of </w:t>
      </w:r>
      <w:proofErr w:type="spellStart"/>
      <w:r w:rsidR="00B35866" w:rsidRPr="005023CC">
        <w:rPr>
          <w:rFonts w:cstheme="minorHAnsi"/>
          <w:sz w:val="20"/>
          <w:szCs w:val="20"/>
          <w:shd w:val="clear" w:color="auto" w:fill="FFFFFF"/>
          <w:lang w:val="en-CA"/>
        </w:rPr>
        <w:t>quebec</w:t>
      </w:r>
      <w:proofErr w:type="spellEnd"/>
      <w:r w:rsidR="00B35866" w:rsidRPr="005023CC">
        <w:rPr>
          <w:rFonts w:cstheme="minorHAnsi"/>
          <w:sz w:val="20"/>
          <w:szCs w:val="20"/>
          <w:shd w:val="clear" w:color="auto" w:fill="FFFFFF"/>
          <w:lang w:val="en-CA"/>
        </w:rPr>
        <w:t xml:space="preserve"> overstep his authority in revoking  the liquor license  of </w:t>
      </w:r>
      <w:proofErr w:type="spellStart"/>
      <w:r w:rsidR="00B35866" w:rsidRPr="005023CC">
        <w:rPr>
          <w:rFonts w:cstheme="minorHAnsi"/>
          <w:sz w:val="20"/>
          <w:szCs w:val="20"/>
          <w:shd w:val="clear" w:color="auto" w:fill="FFFFFF"/>
          <w:lang w:val="en-CA"/>
        </w:rPr>
        <w:t>Reconcelli</w:t>
      </w:r>
      <w:proofErr w:type="spellEnd"/>
      <w:r w:rsidR="00B35866" w:rsidRPr="005023CC">
        <w:rPr>
          <w:rFonts w:cstheme="minorHAnsi"/>
          <w:sz w:val="20"/>
          <w:szCs w:val="20"/>
          <w:shd w:val="clear" w:color="auto" w:fill="FFFFFF"/>
          <w:lang w:val="en-CA"/>
        </w:rPr>
        <w:t xml:space="preserve">  </w:t>
      </w:r>
      <w:r w:rsidR="00B35866" w:rsidRPr="005023CC">
        <w:rPr>
          <w:rFonts w:cstheme="minorHAnsi"/>
          <w:sz w:val="20"/>
          <w:szCs w:val="20"/>
          <w:shd w:val="clear" w:color="auto" w:fill="FFFFFF"/>
          <w:lang w:val="en-CA"/>
        </w:rPr>
        <w:br/>
        <w:t xml:space="preserve">Ratio: the unwritten constitution of the rule of law means no public official is above the law, that is , they can neither suspend it or dispense it </w:t>
      </w:r>
    </w:p>
    <w:p w:rsidR="00FC5230" w:rsidRPr="005023CC" w:rsidRDefault="00FC5230" w:rsidP="00BE7712">
      <w:pPr>
        <w:pStyle w:val="ListParagraph"/>
        <w:numPr>
          <w:ilvl w:val="0"/>
          <w:numId w:val="1"/>
        </w:numPr>
        <w:rPr>
          <w:rFonts w:cstheme="minorHAnsi"/>
          <w:sz w:val="20"/>
          <w:szCs w:val="20"/>
          <w:shd w:val="clear" w:color="auto" w:fill="FFFFFF"/>
          <w:lang w:val="en-CA"/>
        </w:rPr>
      </w:pPr>
      <w:r w:rsidRPr="005023CC">
        <w:rPr>
          <w:rFonts w:cstheme="minorHAnsi"/>
          <w:b/>
          <w:sz w:val="20"/>
          <w:szCs w:val="20"/>
          <w:shd w:val="clear" w:color="auto" w:fill="FFFFFF"/>
          <w:lang w:val="en-CA"/>
        </w:rPr>
        <w:t>In</w:t>
      </w:r>
      <w:r w:rsidRPr="005023CC">
        <w:rPr>
          <w:rStyle w:val="apple-converted-space"/>
          <w:rFonts w:cstheme="minorHAnsi"/>
          <w:b/>
          <w:sz w:val="20"/>
          <w:szCs w:val="20"/>
          <w:shd w:val="clear" w:color="auto" w:fill="FFFFFF"/>
          <w:lang w:val="en-CA"/>
        </w:rPr>
        <w:t> </w:t>
      </w:r>
      <w:r w:rsidRPr="005023CC">
        <w:rPr>
          <w:rFonts w:cstheme="minorHAnsi"/>
          <w:b/>
          <w:i/>
          <w:iCs/>
          <w:sz w:val="20"/>
          <w:szCs w:val="20"/>
          <w:shd w:val="clear" w:color="auto" w:fill="FFFFFF"/>
          <w:lang w:val="en-CA"/>
        </w:rPr>
        <w:t xml:space="preserve">R v </w:t>
      </w:r>
      <w:proofErr w:type="spellStart"/>
      <w:r w:rsidRPr="005023CC">
        <w:rPr>
          <w:rFonts w:cstheme="minorHAnsi"/>
          <w:b/>
          <w:i/>
          <w:iCs/>
          <w:sz w:val="20"/>
          <w:szCs w:val="20"/>
          <w:shd w:val="clear" w:color="auto" w:fill="FFFFFF"/>
          <w:lang w:val="en-CA"/>
        </w:rPr>
        <w:t>Drybones</w:t>
      </w:r>
      <w:proofErr w:type="spellEnd"/>
      <w:r w:rsidRPr="005023CC">
        <w:rPr>
          <w:rFonts w:cstheme="minorHAnsi"/>
          <w:b/>
          <w:i/>
          <w:iCs/>
          <w:sz w:val="20"/>
          <w:szCs w:val="20"/>
          <w:shd w:val="clear" w:color="auto" w:fill="FFFFFF"/>
          <w:lang w:val="en-CA"/>
        </w:rPr>
        <w:t xml:space="preserve"> 1970</w:t>
      </w:r>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 xml:space="preserve">the Supreme Court of Canada, in a divided judgment called by some the decision of the century, rendered inoperative a provision of the Indian Act, basing its judgment on the "equality before the law" clause of the Canadian Bill of Rights. The Indian Act had made it illegal for aboriginals to be intoxicated while not on reserve lands. The court ruled that if a federal statute cannot be reasonably interpreted and applied without abolishing, limiting or infringing upon one of the rights or liberties recognized in the Bill of Rights, it is inoperative unless Parliament expressly declares that it is to apply notwithstanding the Bill of Rights. The court concluded that J. </w:t>
      </w:r>
      <w:proofErr w:type="spellStart"/>
      <w:r w:rsidRPr="005023CC">
        <w:rPr>
          <w:rFonts w:cstheme="minorHAnsi"/>
          <w:sz w:val="20"/>
          <w:szCs w:val="20"/>
          <w:shd w:val="clear" w:color="auto" w:fill="FFFFFF"/>
          <w:lang w:val="en-CA"/>
        </w:rPr>
        <w:t>Drybones</w:t>
      </w:r>
      <w:proofErr w:type="spellEnd"/>
      <w:r w:rsidRPr="005023CC">
        <w:rPr>
          <w:rFonts w:cstheme="minorHAnsi"/>
          <w:sz w:val="20"/>
          <w:szCs w:val="20"/>
          <w:shd w:val="clear" w:color="auto" w:fill="FFFFFF"/>
          <w:lang w:val="en-CA"/>
        </w:rPr>
        <w:t>, who had been found drunk off reserve land in a lobby of a Yellowknife hotel, had been punished because of his race under a law whose scope and penalty differs from that governing other Canadians.</w:t>
      </w:r>
    </w:p>
    <w:p w:rsidR="005023CC" w:rsidRPr="005023CC" w:rsidRDefault="005023CC" w:rsidP="005023CC">
      <w:pPr>
        <w:pStyle w:val="NormalWeb"/>
        <w:numPr>
          <w:ilvl w:val="0"/>
          <w:numId w:val="1"/>
        </w:numPr>
        <w:shd w:val="clear" w:color="auto" w:fill="FFFFFF"/>
        <w:spacing w:before="96" w:beforeAutospacing="0" w:after="120" w:afterAutospacing="0" w:line="240" w:lineRule="atLeast"/>
        <w:rPr>
          <w:rFonts w:asciiTheme="minorHAnsi" w:hAnsiTheme="minorHAnsi" w:cstheme="minorHAnsi"/>
          <w:sz w:val="20"/>
          <w:szCs w:val="20"/>
        </w:rPr>
      </w:pPr>
      <w:r w:rsidRPr="005023CC">
        <w:rPr>
          <w:rFonts w:asciiTheme="minorHAnsi" w:hAnsiTheme="minorHAnsi" w:cstheme="minorHAnsi"/>
          <w:b/>
          <w:bCs/>
          <w:i/>
          <w:iCs/>
          <w:sz w:val="20"/>
          <w:szCs w:val="20"/>
        </w:rPr>
        <w:t xml:space="preserve">Attorney General of Canada v. </w:t>
      </w:r>
      <w:proofErr w:type="spellStart"/>
      <w:r w:rsidRPr="005023CC">
        <w:rPr>
          <w:rFonts w:asciiTheme="minorHAnsi" w:hAnsiTheme="minorHAnsi" w:cstheme="minorHAnsi"/>
          <w:b/>
          <w:bCs/>
          <w:i/>
          <w:iCs/>
          <w:sz w:val="20"/>
          <w:szCs w:val="20"/>
        </w:rPr>
        <w:t>Lavell</w:t>
      </w:r>
      <w:proofErr w:type="spellEnd"/>
      <w:r w:rsidRPr="005023CC">
        <w:rPr>
          <w:rFonts w:asciiTheme="minorHAnsi" w:hAnsiTheme="minorHAnsi" w:cstheme="minorHAnsi"/>
          <w:b/>
          <w:bCs/>
          <w:i/>
          <w:iCs/>
          <w:sz w:val="20"/>
          <w:szCs w:val="20"/>
        </w:rPr>
        <w:t xml:space="preserve">; Isaac v. </w:t>
      </w:r>
      <w:proofErr w:type="spellStart"/>
      <w:r w:rsidRPr="005023CC">
        <w:rPr>
          <w:rFonts w:asciiTheme="minorHAnsi" w:hAnsiTheme="minorHAnsi" w:cstheme="minorHAnsi"/>
          <w:b/>
          <w:bCs/>
          <w:i/>
          <w:iCs/>
          <w:sz w:val="20"/>
          <w:szCs w:val="20"/>
        </w:rPr>
        <w:t>Bédard</w:t>
      </w:r>
      <w:proofErr w:type="spellEnd"/>
      <w:r w:rsidRPr="005023CC">
        <w:rPr>
          <w:rFonts w:asciiTheme="minorHAnsi" w:hAnsiTheme="minorHAnsi" w:cstheme="minorHAnsi"/>
          <w:sz w:val="20"/>
          <w:szCs w:val="20"/>
        </w:rPr>
        <w:t>, [1974] S.C.R. 1349, was a landmark 5–4</w:t>
      </w:r>
      <w:r w:rsidRPr="005023CC">
        <w:rPr>
          <w:rStyle w:val="apple-converted-space"/>
          <w:rFonts w:asciiTheme="minorHAnsi" w:hAnsiTheme="minorHAnsi" w:cstheme="minorHAnsi"/>
          <w:sz w:val="20"/>
          <w:szCs w:val="20"/>
        </w:rPr>
        <w:t> </w:t>
      </w:r>
      <w:hyperlink r:id="rId34" w:tooltip="Supreme Court of Canada" w:history="1">
        <w:r w:rsidRPr="005023CC">
          <w:rPr>
            <w:rStyle w:val="Hyperlink"/>
            <w:rFonts w:asciiTheme="minorHAnsi" w:hAnsiTheme="minorHAnsi" w:cstheme="minorHAnsi"/>
            <w:color w:val="auto"/>
            <w:sz w:val="20"/>
            <w:szCs w:val="20"/>
            <w:u w:val="none"/>
          </w:rPr>
          <w:t>Supreme Court of Canada</w:t>
        </w:r>
      </w:hyperlink>
      <w:r w:rsidRPr="005023CC">
        <w:rPr>
          <w:rStyle w:val="apple-converted-space"/>
          <w:rFonts w:asciiTheme="minorHAnsi" w:hAnsiTheme="minorHAnsi" w:cstheme="minorHAnsi"/>
          <w:sz w:val="20"/>
          <w:szCs w:val="20"/>
        </w:rPr>
        <w:t> </w:t>
      </w:r>
      <w:r w:rsidRPr="005023CC">
        <w:rPr>
          <w:rFonts w:asciiTheme="minorHAnsi" w:hAnsiTheme="minorHAnsi" w:cstheme="minorHAnsi"/>
          <w:sz w:val="20"/>
          <w:szCs w:val="20"/>
        </w:rPr>
        <w:t>decision holding that Section 12(1)(b) of the</w:t>
      </w:r>
      <w:r w:rsidRPr="005023CC">
        <w:rPr>
          <w:rStyle w:val="apple-converted-space"/>
          <w:rFonts w:asciiTheme="minorHAnsi" w:hAnsiTheme="minorHAnsi" w:cstheme="minorHAnsi"/>
          <w:sz w:val="20"/>
          <w:szCs w:val="20"/>
        </w:rPr>
        <w:t> </w:t>
      </w:r>
      <w:hyperlink r:id="rId35" w:tooltip="Indian Act" w:history="1">
        <w:r w:rsidRPr="005023CC">
          <w:rPr>
            <w:rStyle w:val="Hyperlink"/>
            <w:rFonts w:asciiTheme="minorHAnsi" w:hAnsiTheme="minorHAnsi" w:cstheme="minorHAnsi"/>
            <w:i/>
            <w:iCs/>
            <w:color w:val="auto"/>
            <w:sz w:val="20"/>
            <w:szCs w:val="20"/>
            <w:u w:val="none"/>
          </w:rPr>
          <w:t>Indian Act</w:t>
        </w:r>
      </w:hyperlink>
      <w:hyperlink r:id="rId36" w:anchor="cite_note-0" w:history="1">
        <w:r w:rsidRPr="005023CC">
          <w:rPr>
            <w:rStyle w:val="Hyperlink"/>
            <w:rFonts w:asciiTheme="minorHAnsi" w:hAnsiTheme="minorHAnsi" w:cstheme="minorHAnsi"/>
            <w:color w:val="auto"/>
            <w:sz w:val="20"/>
            <w:szCs w:val="20"/>
            <w:u w:val="none"/>
            <w:vertAlign w:val="superscript"/>
          </w:rPr>
          <w:t>[1]</w:t>
        </w:r>
      </w:hyperlink>
      <w:r w:rsidRPr="005023CC">
        <w:rPr>
          <w:rStyle w:val="apple-converted-space"/>
          <w:rFonts w:asciiTheme="minorHAnsi" w:hAnsiTheme="minorHAnsi" w:cstheme="minorHAnsi"/>
          <w:sz w:val="20"/>
          <w:szCs w:val="20"/>
        </w:rPr>
        <w:t> </w:t>
      </w:r>
      <w:r w:rsidRPr="005023CC">
        <w:rPr>
          <w:rFonts w:asciiTheme="minorHAnsi" w:hAnsiTheme="minorHAnsi" w:cstheme="minorHAnsi"/>
          <w:sz w:val="20"/>
          <w:szCs w:val="20"/>
        </w:rPr>
        <w:t>did not violate the respondents' right to "equality before the law" under Section 1 (b) of the</w:t>
      </w:r>
      <w:r w:rsidRPr="005023CC">
        <w:rPr>
          <w:rStyle w:val="apple-converted-space"/>
          <w:rFonts w:asciiTheme="minorHAnsi" w:hAnsiTheme="minorHAnsi" w:cstheme="minorHAnsi"/>
          <w:sz w:val="20"/>
          <w:szCs w:val="20"/>
        </w:rPr>
        <w:t> </w:t>
      </w:r>
      <w:hyperlink r:id="rId37" w:tooltip="Canadian Bill of Rights" w:history="1">
        <w:r w:rsidRPr="005023CC">
          <w:rPr>
            <w:rStyle w:val="Hyperlink"/>
            <w:rFonts w:asciiTheme="minorHAnsi" w:hAnsiTheme="minorHAnsi" w:cstheme="minorHAnsi"/>
            <w:color w:val="auto"/>
            <w:sz w:val="20"/>
            <w:szCs w:val="20"/>
            <w:u w:val="none"/>
          </w:rPr>
          <w:t>Canadian Bill of Rights</w:t>
        </w:r>
      </w:hyperlink>
      <w:r w:rsidRPr="005023CC">
        <w:rPr>
          <w:rFonts w:asciiTheme="minorHAnsi" w:hAnsiTheme="minorHAnsi" w:cstheme="minorHAnsi"/>
          <w:sz w:val="20"/>
          <w:szCs w:val="20"/>
        </w:rPr>
        <w:t xml:space="preserve">. The two respondents, </w:t>
      </w:r>
      <w:proofErr w:type="spellStart"/>
      <w:r w:rsidRPr="005023CC">
        <w:rPr>
          <w:rFonts w:asciiTheme="minorHAnsi" w:hAnsiTheme="minorHAnsi" w:cstheme="minorHAnsi"/>
          <w:sz w:val="20"/>
          <w:szCs w:val="20"/>
        </w:rPr>
        <w:t>Lavell</w:t>
      </w:r>
      <w:proofErr w:type="spellEnd"/>
      <w:r w:rsidRPr="005023CC">
        <w:rPr>
          <w:rFonts w:asciiTheme="minorHAnsi" w:hAnsiTheme="minorHAnsi" w:cstheme="minorHAnsi"/>
          <w:sz w:val="20"/>
          <w:szCs w:val="20"/>
        </w:rPr>
        <w:t xml:space="preserve"> and </w:t>
      </w:r>
      <w:proofErr w:type="spellStart"/>
      <w:r w:rsidRPr="005023CC">
        <w:rPr>
          <w:rFonts w:asciiTheme="minorHAnsi" w:hAnsiTheme="minorHAnsi" w:cstheme="minorHAnsi"/>
          <w:sz w:val="20"/>
          <w:szCs w:val="20"/>
        </w:rPr>
        <w:t>Bédard</w:t>
      </w:r>
      <w:proofErr w:type="spellEnd"/>
      <w:r w:rsidRPr="005023CC">
        <w:rPr>
          <w:rFonts w:asciiTheme="minorHAnsi" w:hAnsiTheme="minorHAnsi" w:cstheme="minorHAnsi"/>
          <w:sz w:val="20"/>
          <w:szCs w:val="20"/>
        </w:rPr>
        <w:t>, had alleged that the impugned section was discriminatory under the</w:t>
      </w:r>
      <w:r w:rsidRPr="005023CC">
        <w:rPr>
          <w:rStyle w:val="apple-converted-space"/>
          <w:rFonts w:asciiTheme="minorHAnsi" w:hAnsiTheme="minorHAnsi" w:cstheme="minorHAnsi"/>
          <w:sz w:val="20"/>
          <w:szCs w:val="20"/>
        </w:rPr>
        <w:t> </w:t>
      </w:r>
      <w:r w:rsidRPr="005023CC">
        <w:rPr>
          <w:rFonts w:asciiTheme="minorHAnsi" w:hAnsiTheme="minorHAnsi" w:cstheme="minorHAnsi"/>
          <w:i/>
          <w:iCs/>
          <w:sz w:val="20"/>
          <w:szCs w:val="20"/>
        </w:rPr>
        <w:t>Canadian Bill of Rights</w:t>
      </w:r>
      <w:r w:rsidRPr="005023CC">
        <w:rPr>
          <w:rStyle w:val="apple-converted-space"/>
          <w:rFonts w:asciiTheme="minorHAnsi" w:hAnsiTheme="minorHAnsi" w:cstheme="minorHAnsi"/>
          <w:sz w:val="20"/>
          <w:szCs w:val="20"/>
        </w:rPr>
        <w:t> </w:t>
      </w:r>
      <w:r w:rsidRPr="005023CC">
        <w:rPr>
          <w:rFonts w:asciiTheme="minorHAnsi" w:hAnsiTheme="minorHAnsi" w:cstheme="minorHAnsi"/>
          <w:sz w:val="20"/>
          <w:szCs w:val="20"/>
        </w:rPr>
        <w:t>by virtue of the fact that it deprived Indian women of their status for marrying a non-Indian, but not Indian-</w:t>
      </w:r>
      <w:proofErr w:type="spellStart"/>
      <w:r w:rsidRPr="005023CC">
        <w:rPr>
          <w:rFonts w:asciiTheme="minorHAnsi" w:hAnsiTheme="minorHAnsi" w:cstheme="minorHAnsi"/>
          <w:sz w:val="20"/>
          <w:szCs w:val="20"/>
        </w:rPr>
        <w:t>men.The</w:t>
      </w:r>
      <w:proofErr w:type="spellEnd"/>
      <w:r w:rsidRPr="005023CC">
        <w:rPr>
          <w:rFonts w:asciiTheme="minorHAnsi" w:hAnsiTheme="minorHAnsi" w:cstheme="minorHAnsi"/>
          <w:sz w:val="20"/>
          <w:szCs w:val="20"/>
        </w:rPr>
        <w:t xml:space="preserve"> Supreme Court's decision proved very controversial, later influencing the wording of</w:t>
      </w:r>
      <w:r w:rsidRPr="005023CC">
        <w:rPr>
          <w:rStyle w:val="apple-converted-space"/>
          <w:rFonts w:asciiTheme="minorHAnsi" w:hAnsiTheme="minorHAnsi" w:cstheme="minorHAnsi"/>
          <w:sz w:val="20"/>
          <w:szCs w:val="20"/>
        </w:rPr>
        <w:t> </w:t>
      </w:r>
      <w:hyperlink r:id="rId38" w:tooltip="Section 15 of the Canadian Charter of Rights and Freedoms" w:history="1">
        <w:r w:rsidRPr="005023CC">
          <w:rPr>
            <w:rStyle w:val="Hyperlink"/>
            <w:rFonts w:asciiTheme="minorHAnsi" w:hAnsiTheme="minorHAnsi" w:cstheme="minorHAnsi"/>
            <w:color w:val="auto"/>
            <w:sz w:val="20"/>
            <w:szCs w:val="20"/>
            <w:u w:val="none"/>
          </w:rPr>
          <w:t>Section 15 of the Canadian Charter of Rights and Freedoms</w:t>
        </w:r>
      </w:hyperlink>
      <w:r w:rsidRPr="005023CC">
        <w:rPr>
          <w:rFonts w:asciiTheme="minorHAnsi" w:hAnsiTheme="minorHAnsi" w:cstheme="minorHAnsi"/>
          <w:sz w:val="20"/>
          <w:szCs w:val="20"/>
        </w:rPr>
        <w:t xml:space="preserve"> during the drafting process.</w:t>
      </w:r>
    </w:p>
    <w:p w:rsidR="00FC5230" w:rsidRPr="005023CC" w:rsidRDefault="005023CC" w:rsidP="00BE7712">
      <w:pPr>
        <w:pStyle w:val="ListParagraph"/>
        <w:numPr>
          <w:ilvl w:val="0"/>
          <w:numId w:val="1"/>
        </w:numPr>
        <w:rPr>
          <w:rFonts w:cstheme="minorHAnsi"/>
          <w:sz w:val="20"/>
          <w:szCs w:val="20"/>
          <w:shd w:val="clear" w:color="auto" w:fill="FFFFFF"/>
          <w:lang w:val="en-CA"/>
        </w:rPr>
      </w:pPr>
      <w:r w:rsidRPr="005023CC">
        <w:rPr>
          <w:rFonts w:cstheme="minorHAnsi"/>
          <w:b/>
          <w:bCs/>
          <w:i/>
          <w:iCs/>
          <w:sz w:val="20"/>
          <w:szCs w:val="20"/>
          <w:shd w:val="clear" w:color="auto" w:fill="FFFFFF"/>
          <w:lang w:val="en-CA"/>
        </w:rPr>
        <w:t>R. v. Sparrow</w:t>
      </w:r>
      <w:r w:rsidRPr="005023CC">
        <w:rPr>
          <w:rFonts w:cstheme="minorHAnsi"/>
          <w:sz w:val="20"/>
          <w:szCs w:val="20"/>
          <w:shd w:val="clear" w:color="auto" w:fill="FFFFFF"/>
          <w:lang w:val="en-CA"/>
        </w:rPr>
        <w:t>, [1990] 1 S.C.R. 1075 was an important decision of the</w:t>
      </w:r>
      <w:r w:rsidRPr="005023CC">
        <w:rPr>
          <w:rStyle w:val="apple-converted-space"/>
          <w:rFonts w:cstheme="minorHAnsi"/>
          <w:sz w:val="20"/>
          <w:szCs w:val="20"/>
          <w:shd w:val="clear" w:color="auto" w:fill="FFFFFF"/>
          <w:lang w:val="en-CA"/>
        </w:rPr>
        <w:t> </w:t>
      </w:r>
      <w:hyperlink r:id="rId39" w:tooltip="Supreme Court of Canada" w:history="1">
        <w:r w:rsidRPr="005023CC">
          <w:rPr>
            <w:rStyle w:val="Hyperlink"/>
            <w:rFonts w:cstheme="minorHAnsi"/>
            <w:color w:val="auto"/>
            <w:sz w:val="20"/>
            <w:szCs w:val="20"/>
            <w:u w:val="none"/>
            <w:shd w:val="clear" w:color="auto" w:fill="FFFFFF"/>
            <w:lang w:val="en-CA"/>
          </w:rPr>
          <w:t>Supreme Court of Canada</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concerning the application of</w:t>
      </w:r>
      <w:r w:rsidRPr="005023CC">
        <w:rPr>
          <w:rStyle w:val="apple-converted-space"/>
          <w:rFonts w:cstheme="minorHAnsi"/>
          <w:sz w:val="20"/>
          <w:szCs w:val="20"/>
          <w:shd w:val="clear" w:color="auto" w:fill="FFFFFF"/>
          <w:lang w:val="en-CA"/>
        </w:rPr>
        <w:t> </w:t>
      </w:r>
      <w:hyperlink r:id="rId40" w:tooltip="Aboriginal peoples in Canada" w:history="1">
        <w:r w:rsidRPr="005023CC">
          <w:rPr>
            <w:rStyle w:val="Hyperlink"/>
            <w:rFonts w:cstheme="minorHAnsi"/>
            <w:color w:val="auto"/>
            <w:sz w:val="20"/>
            <w:szCs w:val="20"/>
            <w:u w:val="none"/>
            <w:shd w:val="clear" w:color="auto" w:fill="FFFFFF"/>
            <w:lang w:val="en-CA"/>
          </w:rPr>
          <w:t>Aboriginal</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 xml:space="preserve">rights </w:t>
      </w:r>
      <w:proofErr w:type="spellStart"/>
      <w:r w:rsidRPr="005023CC">
        <w:rPr>
          <w:rFonts w:cstheme="minorHAnsi"/>
          <w:sz w:val="20"/>
          <w:szCs w:val="20"/>
          <w:shd w:val="clear" w:color="auto" w:fill="FFFFFF"/>
          <w:lang w:val="en-CA"/>
        </w:rPr>
        <w:t>under</w:t>
      </w:r>
      <w:hyperlink r:id="rId41" w:tooltip="Section Thirty-five of the Constitution Act, 1982" w:history="1">
        <w:r w:rsidRPr="005023CC">
          <w:rPr>
            <w:rStyle w:val="Hyperlink"/>
            <w:rFonts w:cstheme="minorHAnsi"/>
            <w:color w:val="auto"/>
            <w:sz w:val="20"/>
            <w:szCs w:val="20"/>
            <w:u w:val="none"/>
            <w:shd w:val="clear" w:color="auto" w:fill="FFFFFF"/>
            <w:lang w:val="en-CA"/>
          </w:rPr>
          <w:t>section</w:t>
        </w:r>
        <w:proofErr w:type="spellEnd"/>
        <w:r w:rsidRPr="005023CC">
          <w:rPr>
            <w:rStyle w:val="Hyperlink"/>
            <w:rFonts w:cstheme="minorHAnsi"/>
            <w:color w:val="auto"/>
            <w:sz w:val="20"/>
            <w:szCs w:val="20"/>
            <w:u w:val="none"/>
            <w:shd w:val="clear" w:color="auto" w:fill="FFFFFF"/>
            <w:lang w:val="en-CA"/>
          </w:rPr>
          <w:t xml:space="preserve"> 35(1)</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of the</w:t>
      </w:r>
      <w:r w:rsidRPr="005023CC">
        <w:rPr>
          <w:rStyle w:val="apple-converted-space"/>
          <w:rFonts w:cstheme="minorHAnsi"/>
          <w:sz w:val="20"/>
          <w:szCs w:val="20"/>
          <w:shd w:val="clear" w:color="auto" w:fill="FFFFFF"/>
          <w:lang w:val="en-CA"/>
        </w:rPr>
        <w:t> </w:t>
      </w:r>
      <w:hyperlink r:id="rId42" w:tooltip="Constitution Act, 1982" w:history="1">
        <w:r w:rsidRPr="005023CC">
          <w:rPr>
            <w:rStyle w:val="Hyperlink"/>
            <w:rFonts w:cstheme="minorHAnsi"/>
            <w:color w:val="auto"/>
            <w:sz w:val="20"/>
            <w:szCs w:val="20"/>
            <w:u w:val="none"/>
            <w:shd w:val="clear" w:color="auto" w:fill="FFFFFF"/>
            <w:lang w:val="en-CA"/>
          </w:rPr>
          <w:t>Constitution Act, 1982</w:t>
        </w:r>
      </w:hyperlink>
      <w:r w:rsidRPr="005023CC">
        <w:rPr>
          <w:rFonts w:cstheme="minorHAnsi"/>
          <w:sz w:val="20"/>
          <w:szCs w:val="20"/>
          <w:shd w:val="clear" w:color="auto" w:fill="FFFFFF"/>
          <w:lang w:val="en-CA"/>
        </w:rPr>
        <w:t>. The Court held that aboriginal rights, such as</w:t>
      </w:r>
      <w:r w:rsidRPr="005023CC">
        <w:rPr>
          <w:rStyle w:val="apple-converted-space"/>
          <w:rFonts w:cstheme="minorHAnsi"/>
          <w:sz w:val="20"/>
          <w:szCs w:val="20"/>
          <w:shd w:val="clear" w:color="auto" w:fill="FFFFFF"/>
          <w:lang w:val="en-CA"/>
        </w:rPr>
        <w:t> </w:t>
      </w:r>
      <w:hyperlink r:id="rId43" w:tooltip="Fishing" w:history="1">
        <w:r w:rsidRPr="005023CC">
          <w:rPr>
            <w:rStyle w:val="Hyperlink"/>
            <w:rFonts w:cstheme="minorHAnsi"/>
            <w:color w:val="auto"/>
            <w:sz w:val="20"/>
            <w:szCs w:val="20"/>
            <w:u w:val="none"/>
            <w:shd w:val="clear" w:color="auto" w:fill="FFFFFF"/>
            <w:lang w:val="en-CA"/>
          </w:rPr>
          <w:t>fishing</w:t>
        </w:r>
      </w:hyperlink>
      <w:r w:rsidRPr="005023CC">
        <w:rPr>
          <w:rFonts w:cstheme="minorHAnsi"/>
          <w:sz w:val="20"/>
          <w:szCs w:val="20"/>
          <w:shd w:val="clear" w:color="auto" w:fill="FFFFFF"/>
          <w:lang w:val="en-CA"/>
        </w:rPr>
        <w:t>, that were in existence in 1982 are protected under the</w:t>
      </w:r>
      <w:r w:rsidRPr="005023CC">
        <w:rPr>
          <w:rStyle w:val="apple-converted-space"/>
          <w:rFonts w:cstheme="minorHAnsi"/>
          <w:sz w:val="20"/>
          <w:szCs w:val="20"/>
          <w:shd w:val="clear" w:color="auto" w:fill="FFFFFF"/>
          <w:lang w:val="en-CA"/>
        </w:rPr>
        <w:t> </w:t>
      </w:r>
      <w:hyperlink r:id="rId44" w:tooltip="Constitution of Canada" w:history="1">
        <w:r w:rsidRPr="005023CC">
          <w:rPr>
            <w:rStyle w:val="Hyperlink"/>
            <w:rFonts w:cstheme="minorHAnsi"/>
            <w:color w:val="auto"/>
            <w:sz w:val="20"/>
            <w:szCs w:val="20"/>
            <w:u w:val="none"/>
            <w:shd w:val="clear" w:color="auto" w:fill="FFFFFF"/>
            <w:lang w:val="en-CA"/>
          </w:rPr>
          <w:t>Constitution of Canada</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and cannot be infringed without justification on account of the government's</w:t>
      </w:r>
      <w:r w:rsidRPr="005023CC">
        <w:rPr>
          <w:rStyle w:val="apple-converted-space"/>
          <w:rFonts w:cstheme="minorHAnsi"/>
          <w:sz w:val="20"/>
          <w:szCs w:val="20"/>
          <w:shd w:val="clear" w:color="auto" w:fill="FFFFFF"/>
          <w:lang w:val="en-CA"/>
        </w:rPr>
        <w:t> </w:t>
      </w:r>
      <w:hyperlink r:id="rId45" w:tooltip="Fiduciary" w:history="1">
        <w:r w:rsidRPr="005023CC">
          <w:rPr>
            <w:rStyle w:val="Hyperlink"/>
            <w:rFonts w:cstheme="minorHAnsi"/>
            <w:color w:val="auto"/>
            <w:sz w:val="20"/>
            <w:szCs w:val="20"/>
            <w:u w:val="none"/>
            <w:shd w:val="clear" w:color="auto" w:fill="FFFFFF"/>
            <w:lang w:val="en-CA"/>
          </w:rPr>
          <w:t>fiduciary</w:t>
        </w:r>
      </w:hyperlink>
      <w:r w:rsidRPr="005023CC">
        <w:rPr>
          <w:rStyle w:val="apple-converted-space"/>
          <w:rFonts w:cstheme="minorHAnsi"/>
          <w:sz w:val="20"/>
          <w:szCs w:val="20"/>
          <w:shd w:val="clear" w:color="auto" w:fill="FFFFFF"/>
          <w:lang w:val="en-CA"/>
        </w:rPr>
        <w:t> </w:t>
      </w:r>
      <w:r w:rsidRPr="005023CC">
        <w:rPr>
          <w:rFonts w:cstheme="minorHAnsi"/>
          <w:sz w:val="20"/>
          <w:szCs w:val="20"/>
          <w:shd w:val="clear" w:color="auto" w:fill="FFFFFF"/>
          <w:lang w:val="en-CA"/>
        </w:rPr>
        <w:t>duty to the Aboriginal peoples of Canada.</w:t>
      </w:r>
    </w:p>
    <w:p w:rsidR="005023CC" w:rsidRDefault="005023CC" w:rsidP="00BE7712">
      <w:pPr>
        <w:pStyle w:val="ListParagraph"/>
        <w:numPr>
          <w:ilvl w:val="0"/>
          <w:numId w:val="1"/>
        </w:numPr>
        <w:rPr>
          <w:rFonts w:cstheme="minorHAnsi"/>
          <w:sz w:val="20"/>
          <w:szCs w:val="20"/>
          <w:shd w:val="clear" w:color="auto" w:fill="FFFFFF"/>
          <w:lang w:val="en-CA"/>
        </w:rPr>
      </w:pPr>
      <w:r w:rsidRPr="005023CC">
        <w:rPr>
          <w:rFonts w:cstheme="minorHAnsi"/>
          <w:b/>
          <w:sz w:val="20"/>
          <w:szCs w:val="20"/>
          <w:shd w:val="clear" w:color="auto" w:fill="FFFFFF"/>
          <w:lang w:val="en-CA"/>
        </w:rPr>
        <w:t xml:space="preserve">Friends of the </w:t>
      </w:r>
      <w:proofErr w:type="spellStart"/>
      <w:r w:rsidRPr="005023CC">
        <w:rPr>
          <w:rFonts w:cstheme="minorHAnsi"/>
          <w:b/>
          <w:sz w:val="20"/>
          <w:szCs w:val="20"/>
          <w:shd w:val="clear" w:color="auto" w:fill="FFFFFF"/>
          <w:lang w:val="en-CA"/>
        </w:rPr>
        <w:t>Oldman</w:t>
      </w:r>
      <w:proofErr w:type="spellEnd"/>
      <w:r w:rsidRPr="005023CC">
        <w:rPr>
          <w:rFonts w:cstheme="minorHAnsi"/>
          <w:b/>
          <w:sz w:val="20"/>
          <w:szCs w:val="20"/>
          <w:shd w:val="clear" w:color="auto" w:fill="FFFFFF"/>
          <w:lang w:val="en-CA"/>
        </w:rPr>
        <w:t xml:space="preserve"> River Society v. Canada</w:t>
      </w:r>
      <w:r w:rsidRPr="005023CC">
        <w:rPr>
          <w:rFonts w:cstheme="minorHAnsi"/>
          <w:sz w:val="20"/>
          <w:szCs w:val="20"/>
          <w:shd w:val="clear" w:color="auto" w:fill="FFFFFF"/>
          <w:lang w:val="en-CA"/>
        </w:rPr>
        <w:t xml:space="preserve"> (Minister of Transport), [1992] 1 S.C.R. 3. Province of Alberta applied to construct a dam on the </w:t>
      </w:r>
      <w:proofErr w:type="spellStart"/>
      <w:r w:rsidRPr="005023CC">
        <w:rPr>
          <w:rFonts w:cstheme="minorHAnsi"/>
          <w:sz w:val="20"/>
          <w:szCs w:val="20"/>
          <w:shd w:val="clear" w:color="auto" w:fill="FFFFFF"/>
          <w:lang w:val="en-CA"/>
        </w:rPr>
        <w:t>Oldman</w:t>
      </w:r>
      <w:proofErr w:type="spellEnd"/>
      <w:r w:rsidRPr="005023CC">
        <w:rPr>
          <w:rFonts w:cstheme="minorHAnsi"/>
          <w:sz w:val="20"/>
          <w:szCs w:val="20"/>
          <w:shd w:val="clear" w:color="auto" w:fill="FFFFFF"/>
          <w:lang w:val="en-CA"/>
        </w:rPr>
        <w:t xml:space="preserve"> River. Environmental Assessment and Review Process (EARP) Guidelines order stated that a federal Environmental Assessment must be conducted, and environmental effects must be considered before any licence to proceed with the dam could be issued. The Minister of Transport gave a permit under Navigable Waters Protection Act without considering environmental effects of the proposed dam. The </w:t>
      </w:r>
      <w:proofErr w:type="spellStart"/>
      <w:r w:rsidRPr="005023CC">
        <w:rPr>
          <w:rFonts w:cstheme="minorHAnsi"/>
          <w:sz w:val="20"/>
          <w:szCs w:val="20"/>
          <w:shd w:val="clear" w:color="auto" w:fill="FFFFFF"/>
          <w:lang w:val="en-CA"/>
        </w:rPr>
        <w:t>Oldman</w:t>
      </w:r>
      <w:proofErr w:type="spellEnd"/>
      <w:r w:rsidRPr="005023CC">
        <w:rPr>
          <w:rFonts w:cstheme="minorHAnsi"/>
          <w:sz w:val="20"/>
          <w:szCs w:val="20"/>
          <w:shd w:val="clear" w:color="auto" w:fill="FFFFFF"/>
          <w:lang w:val="en-CA"/>
        </w:rPr>
        <w:t xml:space="preserve"> River Society applied for a judicial review of the Minister's decision. The proponent and the province argued that requirement of a federal Environmental Assessment before issuing a permit was beyond federal jurisdiction. The federal Crown and the </w:t>
      </w:r>
      <w:proofErr w:type="spellStart"/>
      <w:r w:rsidRPr="005023CC">
        <w:rPr>
          <w:rFonts w:cstheme="minorHAnsi"/>
          <w:sz w:val="20"/>
          <w:szCs w:val="20"/>
          <w:shd w:val="clear" w:color="auto" w:fill="FFFFFF"/>
          <w:lang w:val="en-CA"/>
        </w:rPr>
        <w:t>Oldman</w:t>
      </w:r>
      <w:proofErr w:type="spellEnd"/>
      <w:r w:rsidRPr="005023CC">
        <w:rPr>
          <w:rFonts w:cstheme="minorHAnsi"/>
          <w:sz w:val="20"/>
          <w:szCs w:val="20"/>
          <w:shd w:val="clear" w:color="auto" w:fill="FFFFFF"/>
          <w:lang w:val="en-CA"/>
        </w:rPr>
        <w:t xml:space="preserve"> River Society argued that the pith and substance of the EARP guidelines is to facilitate federal decision making, so as long as there was federal jurisdiction for those decisions the scheme was within federal jurisdiction. The Court sided with the federal Crown and held that federal jurisdiction must be established first before a decision can be made on a project. In this case, the federal Crown had jurisdiction with respect to the dam under the triggering head of navigation and shipping. Once federal jurisdiction has been established the federal government is free to consider all environmental impacts under federal jurisdiction (not merely the ones limited to the triggering head,) before making a final decision with </w:t>
      </w:r>
      <w:r w:rsidRPr="005023CC">
        <w:rPr>
          <w:rFonts w:cstheme="minorHAnsi"/>
          <w:sz w:val="20"/>
          <w:szCs w:val="20"/>
          <w:shd w:val="clear" w:color="auto" w:fill="FFFFFF"/>
          <w:lang w:val="en-CA"/>
        </w:rPr>
        <w:lastRenderedPageBreak/>
        <w:t>respect to a project. Not</w:t>
      </w:r>
      <w:r>
        <w:rPr>
          <w:rFonts w:cstheme="minorHAnsi"/>
          <w:sz w:val="20"/>
          <w:szCs w:val="20"/>
          <w:shd w:val="clear" w:color="auto" w:fill="FFFFFF"/>
          <w:lang w:val="en-CA"/>
        </w:rPr>
        <w:t xml:space="preserve">e that the EARP Guidelines </w:t>
      </w:r>
      <w:proofErr w:type="gramStart"/>
      <w:r>
        <w:rPr>
          <w:rFonts w:cstheme="minorHAnsi"/>
          <w:sz w:val="20"/>
          <w:szCs w:val="20"/>
          <w:shd w:val="clear" w:color="auto" w:fill="FFFFFF"/>
          <w:lang w:val="en-CA"/>
        </w:rPr>
        <w:t xml:space="preserve">order </w:t>
      </w:r>
      <w:r w:rsidRPr="005023CC">
        <w:rPr>
          <w:rFonts w:cstheme="minorHAnsi"/>
          <w:sz w:val="20"/>
          <w:szCs w:val="20"/>
          <w:shd w:val="clear" w:color="auto" w:fill="FFFFFF"/>
          <w:lang w:val="en-CA"/>
        </w:rPr>
        <w:t>are</w:t>
      </w:r>
      <w:proofErr w:type="gramEnd"/>
      <w:r w:rsidRPr="005023CC">
        <w:rPr>
          <w:rFonts w:cstheme="minorHAnsi"/>
          <w:sz w:val="20"/>
          <w:szCs w:val="20"/>
          <w:shd w:val="clear" w:color="auto" w:fill="FFFFFF"/>
          <w:lang w:val="en-CA"/>
        </w:rPr>
        <w:t xml:space="preserve"> no longer in force and have been replaced by the Canadian Environmental Assessment Act (CEAA).</w:t>
      </w:r>
    </w:p>
    <w:p w:rsidR="005023CC" w:rsidRPr="00D802E2" w:rsidRDefault="005023CC" w:rsidP="005023CC">
      <w:pPr>
        <w:pStyle w:val="NormalWeb"/>
        <w:numPr>
          <w:ilvl w:val="0"/>
          <w:numId w:val="1"/>
        </w:numPr>
        <w:shd w:val="clear" w:color="auto" w:fill="FFFFFF"/>
        <w:spacing w:before="96" w:beforeAutospacing="0" w:after="120" w:afterAutospacing="0" w:line="240" w:lineRule="atLeast"/>
        <w:rPr>
          <w:rFonts w:asciiTheme="minorHAnsi" w:hAnsiTheme="minorHAnsi" w:cstheme="minorHAnsi"/>
          <w:sz w:val="20"/>
          <w:szCs w:val="16"/>
        </w:rPr>
      </w:pPr>
      <w:r>
        <w:rPr>
          <w:rFonts w:ascii="Arial" w:hAnsi="Arial" w:cs="Arial"/>
          <w:b/>
          <w:bCs/>
          <w:i/>
          <w:iCs/>
          <w:color w:val="000000"/>
          <w:sz w:val="16"/>
          <w:szCs w:val="16"/>
        </w:rPr>
        <w:t>Eldridge v. British Columbia (Attorney General</w:t>
      </w:r>
      <w:r w:rsidRPr="00D802E2">
        <w:rPr>
          <w:rFonts w:asciiTheme="minorHAnsi" w:hAnsiTheme="minorHAnsi" w:cstheme="minorHAnsi"/>
          <w:b/>
          <w:bCs/>
          <w:i/>
          <w:iCs/>
          <w:sz w:val="20"/>
          <w:szCs w:val="16"/>
        </w:rPr>
        <w:t>)</w:t>
      </w:r>
      <w:r w:rsidRPr="00D802E2">
        <w:rPr>
          <w:rStyle w:val="apple-converted-space"/>
          <w:rFonts w:asciiTheme="minorHAnsi" w:hAnsiTheme="minorHAnsi" w:cstheme="minorHAnsi"/>
          <w:sz w:val="20"/>
          <w:szCs w:val="16"/>
        </w:rPr>
        <w:t> </w:t>
      </w:r>
      <w:hyperlink r:id="rId46" w:anchor="Canada" w:tooltip="Case citation" w:history="1">
        <w:r w:rsidRPr="00D802E2">
          <w:rPr>
            <w:rStyle w:val="Hyperlink"/>
            <w:rFonts w:asciiTheme="minorHAnsi" w:hAnsiTheme="minorHAnsi" w:cstheme="minorHAnsi"/>
            <w:color w:val="auto"/>
            <w:sz w:val="20"/>
            <w:szCs w:val="16"/>
            <w:u w:val="none"/>
          </w:rPr>
          <w:t>[1997] 2 S.C.R. 624</w:t>
        </w:r>
      </w:hyperlink>
      <w:r w:rsidRPr="00D802E2">
        <w:rPr>
          <w:rFonts w:asciiTheme="minorHAnsi" w:hAnsiTheme="minorHAnsi" w:cstheme="minorHAnsi"/>
          <w:sz w:val="20"/>
          <w:szCs w:val="16"/>
        </w:rPr>
        <w:t>, is a leading decision by the</w:t>
      </w:r>
      <w:r w:rsidRPr="00D802E2">
        <w:rPr>
          <w:rStyle w:val="apple-converted-space"/>
          <w:rFonts w:asciiTheme="minorHAnsi" w:hAnsiTheme="minorHAnsi" w:cstheme="minorHAnsi"/>
          <w:sz w:val="20"/>
          <w:szCs w:val="16"/>
        </w:rPr>
        <w:t> </w:t>
      </w:r>
      <w:hyperlink r:id="rId47" w:tooltip="Supreme Court of Canada" w:history="1">
        <w:r w:rsidRPr="00D802E2">
          <w:rPr>
            <w:rStyle w:val="Hyperlink"/>
            <w:rFonts w:asciiTheme="minorHAnsi" w:hAnsiTheme="minorHAnsi" w:cstheme="minorHAnsi"/>
            <w:color w:val="auto"/>
            <w:sz w:val="20"/>
            <w:szCs w:val="16"/>
            <w:u w:val="none"/>
          </w:rPr>
          <w:t>Supreme Court of Canada</w:t>
        </w:r>
      </w:hyperlink>
      <w:r w:rsidRPr="00D802E2">
        <w:rPr>
          <w:rStyle w:val="apple-converted-space"/>
          <w:rFonts w:asciiTheme="minorHAnsi" w:hAnsiTheme="minorHAnsi" w:cstheme="minorHAnsi"/>
          <w:sz w:val="20"/>
          <w:szCs w:val="16"/>
        </w:rPr>
        <w:t> </w:t>
      </w:r>
      <w:r w:rsidRPr="00D802E2">
        <w:rPr>
          <w:rFonts w:asciiTheme="minorHAnsi" w:hAnsiTheme="minorHAnsi" w:cstheme="minorHAnsi"/>
          <w:sz w:val="20"/>
          <w:szCs w:val="16"/>
        </w:rPr>
        <w:t>that expanded the application of the charter under</w:t>
      </w:r>
      <w:r w:rsidRPr="00D802E2">
        <w:rPr>
          <w:rStyle w:val="apple-converted-space"/>
          <w:rFonts w:asciiTheme="minorHAnsi" w:hAnsiTheme="minorHAnsi" w:cstheme="minorHAnsi"/>
          <w:sz w:val="20"/>
          <w:szCs w:val="16"/>
        </w:rPr>
        <w:t> </w:t>
      </w:r>
      <w:hyperlink r:id="rId48" w:tooltip="Section Thirty-two of the Canadian Charter of Rights and Freedoms" w:history="1">
        <w:r w:rsidRPr="00D802E2">
          <w:rPr>
            <w:rStyle w:val="Hyperlink"/>
            <w:rFonts w:asciiTheme="minorHAnsi" w:hAnsiTheme="minorHAnsi" w:cstheme="minorHAnsi"/>
            <w:color w:val="auto"/>
            <w:sz w:val="20"/>
            <w:szCs w:val="16"/>
            <w:u w:val="none"/>
          </w:rPr>
          <w:t>section 32</w:t>
        </w:r>
      </w:hyperlink>
      <w:r w:rsidRPr="00D802E2">
        <w:rPr>
          <w:rStyle w:val="apple-converted-space"/>
          <w:rFonts w:asciiTheme="minorHAnsi" w:hAnsiTheme="minorHAnsi" w:cstheme="minorHAnsi"/>
          <w:sz w:val="20"/>
          <w:szCs w:val="16"/>
        </w:rPr>
        <w:t> </w:t>
      </w:r>
      <w:r w:rsidRPr="00D802E2">
        <w:rPr>
          <w:rFonts w:asciiTheme="minorHAnsi" w:hAnsiTheme="minorHAnsi" w:cstheme="minorHAnsi"/>
          <w:sz w:val="20"/>
          <w:szCs w:val="16"/>
        </w:rPr>
        <w:t>of the</w:t>
      </w:r>
      <w:r w:rsidRPr="00D802E2">
        <w:rPr>
          <w:rStyle w:val="apple-converted-space"/>
          <w:rFonts w:asciiTheme="minorHAnsi" w:hAnsiTheme="minorHAnsi" w:cstheme="minorHAnsi"/>
          <w:sz w:val="20"/>
          <w:szCs w:val="16"/>
        </w:rPr>
        <w:t> </w:t>
      </w:r>
      <w:hyperlink r:id="rId49" w:tooltip="Canadian Charter of Rights and Freedoms" w:history="1">
        <w:r w:rsidRPr="00D802E2">
          <w:rPr>
            <w:rStyle w:val="Hyperlink"/>
            <w:rFonts w:asciiTheme="minorHAnsi" w:hAnsiTheme="minorHAnsi" w:cstheme="minorHAnsi"/>
            <w:color w:val="auto"/>
            <w:sz w:val="20"/>
            <w:szCs w:val="16"/>
            <w:u w:val="none"/>
          </w:rPr>
          <w:t>Canadian Charter of Rights and Freedoms</w:t>
        </w:r>
      </w:hyperlink>
      <w:r w:rsidRPr="00D802E2">
        <w:rPr>
          <w:rStyle w:val="apple-converted-space"/>
          <w:rFonts w:asciiTheme="minorHAnsi" w:hAnsiTheme="minorHAnsi" w:cstheme="minorHAnsi"/>
          <w:sz w:val="20"/>
          <w:szCs w:val="16"/>
        </w:rPr>
        <w:t> </w:t>
      </w:r>
      <w:r w:rsidRPr="00D802E2">
        <w:rPr>
          <w:rFonts w:asciiTheme="minorHAnsi" w:hAnsiTheme="minorHAnsi" w:cstheme="minorHAnsi"/>
          <w:sz w:val="20"/>
          <w:szCs w:val="16"/>
        </w:rPr>
        <w:t>and was one of the first four rulings proceeding where the Court was sharply divided on the interpretation of</w:t>
      </w:r>
      <w:r w:rsidRPr="00D802E2">
        <w:rPr>
          <w:rStyle w:val="apple-converted-space"/>
          <w:rFonts w:asciiTheme="minorHAnsi" w:hAnsiTheme="minorHAnsi" w:cstheme="minorHAnsi"/>
          <w:sz w:val="20"/>
          <w:szCs w:val="16"/>
        </w:rPr>
        <w:t> </w:t>
      </w:r>
      <w:hyperlink r:id="rId50" w:tooltip="Section Fifteen of the Canadian Charter of Rights and Freedoms" w:history="1">
        <w:r w:rsidRPr="00D802E2">
          <w:rPr>
            <w:rStyle w:val="Hyperlink"/>
            <w:rFonts w:asciiTheme="minorHAnsi" w:hAnsiTheme="minorHAnsi" w:cstheme="minorHAnsi"/>
            <w:color w:val="auto"/>
            <w:sz w:val="20"/>
            <w:szCs w:val="16"/>
            <w:u w:val="none"/>
          </w:rPr>
          <w:t>section 15</w:t>
        </w:r>
      </w:hyperlink>
      <w:r w:rsidRPr="00D802E2">
        <w:rPr>
          <w:rStyle w:val="apple-converted-space"/>
          <w:rFonts w:asciiTheme="minorHAnsi" w:hAnsiTheme="minorHAnsi" w:cstheme="minorHAnsi"/>
          <w:sz w:val="20"/>
          <w:szCs w:val="16"/>
        </w:rPr>
        <w:t> </w:t>
      </w:r>
      <w:r w:rsidRPr="00D802E2">
        <w:rPr>
          <w:rFonts w:asciiTheme="minorHAnsi" w:hAnsiTheme="minorHAnsi" w:cstheme="minorHAnsi"/>
          <w:sz w:val="20"/>
          <w:szCs w:val="16"/>
        </w:rPr>
        <w:t>of the Charter. Each of the appellants in this case was born Deaf and their preferred means of communication were sign language. They contended that the absence of interpreters impaired their ability to communicate with their doctors and other health care providers, and thus increased the risk of misdiagnosis and ineffective treatment. The Supreme Court of Canada ruled that sign language interpreters must be provided in the delivery of medical services where doing so is necessary to ensure effective communication.</w:t>
      </w:r>
    </w:p>
    <w:p w:rsidR="00D802E2" w:rsidRDefault="00D802E2" w:rsidP="00D802E2">
      <w:pPr>
        <w:pStyle w:val="ListParagraph"/>
        <w:numPr>
          <w:ilvl w:val="0"/>
          <w:numId w:val="1"/>
        </w:numPr>
        <w:rPr>
          <w:rFonts w:cstheme="minorHAnsi"/>
          <w:lang w:val="en-CA"/>
        </w:rPr>
      </w:pPr>
      <w:r w:rsidRPr="00D802E2">
        <w:rPr>
          <w:rFonts w:eastAsia="Times New Roman" w:cstheme="minorHAnsi"/>
          <w:b/>
          <w:bCs/>
          <w:i/>
          <w:iCs/>
          <w:lang w:val="en-CA" w:eastAsia="en-CA"/>
        </w:rPr>
        <w:t xml:space="preserve">Margarine Reference Case 1949 </w:t>
      </w:r>
      <w:r w:rsidRPr="00D802E2">
        <w:rPr>
          <w:rFonts w:cstheme="minorHAnsi"/>
          <w:b/>
          <w:lang w:val="en-CA"/>
        </w:rPr>
        <w:t xml:space="preserve">- </w:t>
      </w:r>
      <w:r w:rsidRPr="00D802E2">
        <w:rPr>
          <w:rFonts w:ascii="Calibri" w:eastAsia="Calibri" w:hAnsi="Calibri" w:cs="Calibri"/>
          <w:lang w:val="en-CA"/>
        </w:rPr>
        <w:t>Prohibition on the sale of margarine; assumption was that it was dangerous to health; in 1949, not seen as dangerous anymore. Margarine producers argued that underlying public purpose not present anymore.</w:t>
      </w:r>
      <w:r w:rsidRPr="00D802E2">
        <w:rPr>
          <w:rFonts w:cstheme="minorHAnsi"/>
          <w:lang w:val="en-CA"/>
        </w:rPr>
        <w:t xml:space="preserve"> </w:t>
      </w:r>
      <w:r w:rsidRPr="00D802E2">
        <w:rPr>
          <w:rFonts w:ascii="Calibri" w:eastAsia="Calibri" w:hAnsi="Calibri" w:cs="Calibri"/>
          <w:b/>
          <w:lang w:val="en-CA"/>
        </w:rPr>
        <w:t xml:space="preserve">I: </w:t>
      </w:r>
      <w:r w:rsidRPr="00D802E2">
        <w:rPr>
          <w:rFonts w:ascii="Calibri" w:eastAsia="Calibri" w:hAnsi="Calibri" w:cs="Calibri"/>
          <w:lang w:val="en-CA"/>
        </w:rPr>
        <w:t xml:space="preserve">Was the act valid criminal law under </w:t>
      </w:r>
      <w:r w:rsidRPr="00D802E2">
        <w:rPr>
          <w:rFonts w:ascii="Calibri" w:eastAsia="Calibri" w:hAnsi="Calibri" w:cs="Calibri"/>
          <w:b/>
          <w:i/>
          <w:lang w:val="en-CA"/>
        </w:rPr>
        <w:t>s.91 (27)</w:t>
      </w:r>
      <w:r w:rsidRPr="00D802E2">
        <w:rPr>
          <w:rFonts w:ascii="Calibri" w:eastAsia="Calibri" w:hAnsi="Calibri" w:cs="Calibri"/>
          <w:lang w:val="en-CA"/>
        </w:rPr>
        <w:t>?</w:t>
      </w:r>
      <w:r w:rsidRPr="00D802E2">
        <w:rPr>
          <w:rFonts w:cstheme="minorHAnsi"/>
          <w:lang w:val="en-CA"/>
        </w:rPr>
        <w:t xml:space="preserve"> </w:t>
      </w:r>
      <w:r w:rsidRPr="00D802E2">
        <w:rPr>
          <w:rFonts w:ascii="Calibri" w:eastAsia="Calibri" w:hAnsi="Calibri" w:cs="Calibri"/>
          <w:lang w:val="en-CA"/>
        </w:rPr>
        <w:t>No b/c no valid public purpose anymore - Act only around to protect dairy industry</w:t>
      </w:r>
    </w:p>
    <w:p w:rsidR="00D802E2" w:rsidRDefault="00D802E2" w:rsidP="003F637E">
      <w:pPr>
        <w:rPr>
          <w:rFonts w:ascii="Calibri" w:eastAsia="Calibri" w:hAnsi="Calibri" w:cs="Calibri"/>
          <w:lang w:val="en-CA"/>
        </w:rPr>
      </w:pPr>
    </w:p>
    <w:p w:rsidR="000C7C38" w:rsidRPr="000C7C38" w:rsidRDefault="003F637E" w:rsidP="000C7C38">
      <w:pPr>
        <w:pStyle w:val="ListParagraph"/>
        <w:numPr>
          <w:ilvl w:val="0"/>
          <w:numId w:val="3"/>
        </w:numPr>
        <w:rPr>
          <w:rFonts w:ascii="Calibri" w:eastAsia="Calibri" w:hAnsi="Calibri" w:cs="Calibri"/>
          <w:lang w:val="en-CA"/>
        </w:rPr>
      </w:pPr>
      <w:r>
        <w:rPr>
          <w:rFonts w:ascii="Calibri" w:eastAsia="Calibri" w:hAnsi="Calibri" w:cs="Calibri"/>
          <w:lang w:val="en-CA"/>
        </w:rPr>
        <w:t xml:space="preserve">Sec 1. Limitation clause </w:t>
      </w:r>
      <w:r>
        <w:rPr>
          <w:rFonts w:ascii="Calibri" w:eastAsia="Calibri" w:hAnsi="Calibri" w:cs="Calibri"/>
          <w:lang w:val="en-CA"/>
        </w:rPr>
        <w:br/>
        <w:t xml:space="preserve">sec 33 notwithstanding clause </w:t>
      </w:r>
      <w:r>
        <w:rPr>
          <w:rFonts w:ascii="Calibri" w:eastAsia="Calibri" w:hAnsi="Calibri" w:cs="Calibri"/>
          <w:lang w:val="en-CA"/>
        </w:rPr>
        <w:br/>
        <w:t xml:space="preserve">sec 52 </w:t>
      </w:r>
      <w:r w:rsidRPr="003F637E">
        <w:rPr>
          <w:rFonts w:ascii="Arial" w:hAnsi="Arial" w:cs="Arial"/>
          <w:color w:val="000000"/>
          <w:sz w:val="20"/>
          <w:szCs w:val="20"/>
          <w:shd w:val="clear" w:color="auto" w:fill="FFFFFF"/>
          <w:lang w:val="en-CA"/>
        </w:rPr>
        <w:t>Section 52(1) of the</w:t>
      </w:r>
      <w:r w:rsidRPr="003F637E">
        <w:rPr>
          <w:rStyle w:val="apple-converted-space"/>
          <w:rFonts w:ascii="Arial" w:hAnsi="Arial" w:cs="Arial"/>
          <w:color w:val="000000"/>
          <w:sz w:val="20"/>
          <w:szCs w:val="20"/>
          <w:shd w:val="clear" w:color="auto" w:fill="FFFFFF"/>
          <w:lang w:val="en-CA"/>
        </w:rPr>
        <w:t> </w:t>
      </w:r>
      <w:r w:rsidRPr="003F637E">
        <w:rPr>
          <w:rFonts w:ascii="Arial" w:hAnsi="Arial" w:cs="Arial"/>
          <w:i/>
          <w:iCs/>
          <w:color w:val="000000"/>
          <w:sz w:val="20"/>
          <w:szCs w:val="20"/>
          <w:shd w:val="clear" w:color="auto" w:fill="FFFFFF"/>
          <w:lang w:val="en-CA"/>
        </w:rPr>
        <w:t>Constitution Act, 1982</w:t>
      </w:r>
      <w:r w:rsidRPr="003F637E">
        <w:rPr>
          <w:rStyle w:val="apple-converted-space"/>
          <w:rFonts w:ascii="Arial" w:hAnsi="Arial" w:cs="Arial"/>
          <w:color w:val="000000"/>
          <w:sz w:val="20"/>
          <w:szCs w:val="20"/>
          <w:shd w:val="clear" w:color="auto" w:fill="FFFFFF"/>
          <w:lang w:val="en-CA"/>
        </w:rPr>
        <w:t> </w:t>
      </w:r>
      <w:r w:rsidRPr="003F637E">
        <w:rPr>
          <w:rFonts w:ascii="Arial" w:hAnsi="Arial" w:cs="Arial"/>
          <w:color w:val="000000"/>
          <w:sz w:val="20"/>
          <w:szCs w:val="20"/>
          <w:shd w:val="clear" w:color="auto" w:fill="FFFFFF"/>
          <w:lang w:val="en-CA"/>
        </w:rPr>
        <w:t>states that any law that is inconsistent with the provisions of the Constitution is of no force or effect. Statutes which conflict with the Constitution are invalid in the most radical sense; they do not become law</w:t>
      </w:r>
      <w:r w:rsidR="00E47BF4">
        <w:rPr>
          <w:rFonts w:ascii="Arial" w:hAnsi="Arial" w:cs="Arial"/>
          <w:color w:val="000000"/>
          <w:sz w:val="20"/>
          <w:szCs w:val="20"/>
          <w:shd w:val="clear" w:color="auto" w:fill="FFFFFF"/>
          <w:lang w:val="en-CA"/>
        </w:rPr>
        <w:tab/>
      </w:r>
      <w:r w:rsidR="000C7C38">
        <w:rPr>
          <w:rFonts w:ascii="Arial" w:hAnsi="Arial" w:cs="Arial"/>
          <w:color w:val="000000"/>
          <w:sz w:val="20"/>
          <w:szCs w:val="20"/>
          <w:shd w:val="clear" w:color="auto" w:fill="FFFFFF"/>
          <w:lang w:val="en-CA"/>
        </w:rPr>
        <w:t xml:space="preserve"> </w:t>
      </w:r>
    </w:p>
    <w:p w:rsidR="000C7C38" w:rsidRPr="000C7C38" w:rsidRDefault="000C7C38" w:rsidP="000C7C38">
      <w:pPr>
        <w:pStyle w:val="ListParagraph"/>
        <w:numPr>
          <w:ilvl w:val="0"/>
          <w:numId w:val="3"/>
        </w:numPr>
        <w:rPr>
          <w:rFonts w:ascii="Calibri" w:eastAsia="Calibri" w:hAnsi="Calibri" w:cs="Calibri"/>
          <w:lang w:val="en-CA"/>
        </w:rPr>
      </w:pPr>
    </w:p>
    <w:p w:rsidR="005023CC" w:rsidRPr="00D802E2" w:rsidRDefault="005023CC" w:rsidP="00D802E2">
      <w:pPr>
        <w:rPr>
          <w:rFonts w:cstheme="minorHAnsi"/>
          <w:sz w:val="20"/>
          <w:szCs w:val="20"/>
          <w:shd w:val="clear" w:color="auto" w:fill="FFFFFF"/>
          <w:lang w:val="en-CA"/>
        </w:rPr>
      </w:pPr>
    </w:p>
    <w:sectPr w:rsidR="005023CC" w:rsidRPr="00D802E2" w:rsidSect="00B84D5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17BCB"/>
    <w:multiLevelType w:val="hybridMultilevel"/>
    <w:tmpl w:val="E4B484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FE4688C"/>
    <w:multiLevelType w:val="hybridMultilevel"/>
    <w:tmpl w:val="13A863FC"/>
    <w:lvl w:ilvl="0" w:tplc="A2F0514A">
      <w:start w:val="91"/>
      <w:numFmt w:val="bullet"/>
      <w:lvlText w:val="-"/>
      <w:lvlJc w:val="left"/>
      <w:pPr>
        <w:ind w:left="720" w:hanging="360"/>
      </w:pPr>
      <w:rPr>
        <w:rFonts w:ascii="Arial" w:eastAsiaTheme="minorHAnsi" w:hAnsi="Arial" w:cs="Aria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B371DE2"/>
    <w:multiLevelType w:val="hybridMultilevel"/>
    <w:tmpl w:val="3AFC66A8"/>
    <w:lvl w:ilvl="0" w:tplc="A2F0514A">
      <w:start w:val="91"/>
      <w:numFmt w:val="bullet"/>
      <w:lvlText w:val="-"/>
      <w:lvlJc w:val="left"/>
      <w:pPr>
        <w:ind w:left="720" w:hanging="360"/>
      </w:pPr>
      <w:rPr>
        <w:rFonts w:ascii="Arial" w:eastAsiaTheme="minorHAnsi" w:hAnsi="Arial" w:cs="Aria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E7712"/>
    <w:rsid w:val="000C7C38"/>
    <w:rsid w:val="00234332"/>
    <w:rsid w:val="002922CD"/>
    <w:rsid w:val="003F637E"/>
    <w:rsid w:val="005023CC"/>
    <w:rsid w:val="005D46B9"/>
    <w:rsid w:val="006536D5"/>
    <w:rsid w:val="009975C5"/>
    <w:rsid w:val="00A91A79"/>
    <w:rsid w:val="00AE65CB"/>
    <w:rsid w:val="00B35866"/>
    <w:rsid w:val="00B84D58"/>
    <w:rsid w:val="00BE7712"/>
    <w:rsid w:val="00BF46F3"/>
    <w:rsid w:val="00C9192B"/>
    <w:rsid w:val="00D66368"/>
    <w:rsid w:val="00D802E2"/>
    <w:rsid w:val="00E47BF4"/>
    <w:rsid w:val="00FC5230"/>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D58"/>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E7712"/>
  </w:style>
  <w:style w:type="character" w:styleId="Hyperlink">
    <w:name w:val="Hyperlink"/>
    <w:basedOn w:val="DefaultParagraphFont"/>
    <w:uiPriority w:val="99"/>
    <w:semiHidden/>
    <w:unhideWhenUsed/>
    <w:rsid w:val="00BE7712"/>
    <w:rPr>
      <w:color w:val="0000FF"/>
      <w:u w:val="single"/>
    </w:rPr>
  </w:style>
  <w:style w:type="paragraph" w:styleId="ListParagraph">
    <w:name w:val="List Paragraph"/>
    <w:basedOn w:val="Normal"/>
    <w:uiPriority w:val="34"/>
    <w:qFormat/>
    <w:rsid w:val="00BE7712"/>
    <w:pPr>
      <w:ind w:left="720"/>
      <w:contextualSpacing/>
    </w:pPr>
  </w:style>
  <w:style w:type="paragraph" w:styleId="NormalWeb">
    <w:name w:val="Normal (Web)"/>
    <w:basedOn w:val="Normal"/>
    <w:uiPriority w:val="99"/>
    <w:semiHidden/>
    <w:unhideWhenUsed/>
    <w:rsid w:val="005023CC"/>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webSettings.xml><?xml version="1.0" encoding="utf-8"?>
<w:webSettings xmlns:r="http://schemas.openxmlformats.org/officeDocument/2006/relationships" xmlns:w="http://schemas.openxmlformats.org/wordprocessingml/2006/main">
  <w:divs>
    <w:div w:id="60445398">
      <w:bodyDiv w:val="1"/>
      <w:marLeft w:val="0"/>
      <w:marRight w:val="0"/>
      <w:marTop w:val="0"/>
      <w:marBottom w:val="0"/>
      <w:divBdr>
        <w:top w:val="none" w:sz="0" w:space="0" w:color="auto"/>
        <w:left w:val="none" w:sz="0" w:space="0" w:color="auto"/>
        <w:bottom w:val="none" w:sz="0" w:space="0" w:color="auto"/>
        <w:right w:val="none" w:sz="0" w:space="0" w:color="auto"/>
      </w:divBdr>
    </w:div>
    <w:div w:id="508566084">
      <w:bodyDiv w:val="1"/>
      <w:marLeft w:val="0"/>
      <w:marRight w:val="0"/>
      <w:marTop w:val="0"/>
      <w:marBottom w:val="0"/>
      <w:divBdr>
        <w:top w:val="none" w:sz="0" w:space="0" w:color="auto"/>
        <w:left w:val="none" w:sz="0" w:space="0" w:color="auto"/>
        <w:bottom w:val="none" w:sz="0" w:space="0" w:color="auto"/>
        <w:right w:val="none" w:sz="0" w:space="0" w:color="auto"/>
      </w:divBdr>
    </w:div>
    <w:div w:id="162588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Canadians" TargetMode="External"/><Relationship Id="rId18" Type="http://schemas.openxmlformats.org/officeDocument/2006/relationships/hyperlink" Target="http://en.wikipedia.org/wiki/Canadian_Charter_of_Rights_and_Freedoms" TargetMode="External"/><Relationship Id="rId26" Type="http://schemas.openxmlformats.org/officeDocument/2006/relationships/hyperlink" Target="http://en.wikipedia.org/wiki/British_North_America" TargetMode="External"/><Relationship Id="rId39" Type="http://schemas.openxmlformats.org/officeDocument/2006/relationships/hyperlink" Target="http://en.wikipedia.org/wiki/Supreme_Court_of_Canada" TargetMode="External"/><Relationship Id="rId3" Type="http://schemas.openxmlformats.org/officeDocument/2006/relationships/settings" Target="settings.xml"/><Relationship Id="rId21" Type="http://schemas.openxmlformats.org/officeDocument/2006/relationships/hyperlink" Target="http://en.wikipedia.org/wiki/Canada" TargetMode="External"/><Relationship Id="rId34" Type="http://schemas.openxmlformats.org/officeDocument/2006/relationships/hyperlink" Target="http://en.wikipedia.org/wiki/Supreme_Court_of_Canada" TargetMode="External"/><Relationship Id="rId42" Type="http://schemas.openxmlformats.org/officeDocument/2006/relationships/hyperlink" Target="http://en.wikipedia.org/wiki/Constitution_Act,_1982" TargetMode="External"/><Relationship Id="rId47" Type="http://schemas.openxmlformats.org/officeDocument/2006/relationships/hyperlink" Target="http://en.wikipedia.org/wiki/Supreme_Court_of_Canada" TargetMode="External"/><Relationship Id="rId50" Type="http://schemas.openxmlformats.org/officeDocument/2006/relationships/hyperlink" Target="http://en.wikipedia.org/wiki/Section_Fifteen_of_the_Canadian_Charter_of_Rights_and_Freedoms" TargetMode="External"/><Relationship Id="rId7" Type="http://schemas.openxmlformats.org/officeDocument/2006/relationships/hyperlink" Target="http://en.wikipedia.org/wiki/Dominion" TargetMode="External"/><Relationship Id="rId12" Type="http://schemas.openxmlformats.org/officeDocument/2006/relationships/hyperlink" Target="http://en.wikipedia.org/wiki/Parliament_of_Canada" TargetMode="External"/><Relationship Id="rId17" Type="http://schemas.openxmlformats.org/officeDocument/2006/relationships/hyperlink" Target="http://en.wikipedia.org/wiki/Canadian_Bill_of_Rights" TargetMode="External"/><Relationship Id="rId25" Type="http://schemas.openxmlformats.org/officeDocument/2006/relationships/hyperlink" Target="http://en.wikipedia.org/wiki/United_Kingdom" TargetMode="External"/><Relationship Id="rId33" Type="http://schemas.openxmlformats.org/officeDocument/2006/relationships/hyperlink" Target="http://en.wikipedia.org/wiki/Rule_of_law" TargetMode="External"/><Relationship Id="rId38" Type="http://schemas.openxmlformats.org/officeDocument/2006/relationships/hyperlink" Target="http://en.wikipedia.org/wiki/Section_15_of_the_Canadian_Charter_of_Rights_and_Freedoms" TargetMode="External"/><Relationship Id="rId46" Type="http://schemas.openxmlformats.org/officeDocument/2006/relationships/hyperlink" Target="http://en.wikipedia.org/wiki/Case_citation" TargetMode="External"/><Relationship Id="rId2" Type="http://schemas.openxmlformats.org/officeDocument/2006/relationships/styles" Target="styles.xml"/><Relationship Id="rId16" Type="http://schemas.openxmlformats.org/officeDocument/2006/relationships/hyperlink" Target="http://en.wikipedia.org/wiki/Implied_Bill_of_Rights" TargetMode="External"/><Relationship Id="rId20" Type="http://schemas.openxmlformats.org/officeDocument/2006/relationships/hyperlink" Target="http://en.wikipedia.org/wiki/Constitution" TargetMode="External"/><Relationship Id="rId29" Type="http://schemas.openxmlformats.org/officeDocument/2006/relationships/hyperlink" Target="http://en.wikipedia.org/wiki/Washington,_D.C." TargetMode="External"/><Relationship Id="rId41" Type="http://schemas.openxmlformats.org/officeDocument/2006/relationships/hyperlink" Target="http://en.wikipedia.org/wiki/Section_Thirty-five_of_the_Constitution_Act,_1982" TargetMode="External"/><Relationship Id="rId1" Type="http://schemas.openxmlformats.org/officeDocument/2006/relationships/numbering" Target="numbering.xml"/><Relationship Id="rId6" Type="http://schemas.openxmlformats.org/officeDocument/2006/relationships/hyperlink" Target="http://en.wikipedia.org/wiki/Parliament_of_the_United_Kingdom" TargetMode="External"/><Relationship Id="rId11" Type="http://schemas.openxmlformats.org/officeDocument/2006/relationships/hyperlink" Target="http://en.wikipedia.org/wiki/Implied_repeal" TargetMode="External"/><Relationship Id="rId24" Type="http://schemas.openxmlformats.org/officeDocument/2006/relationships/hyperlink" Target="http://en.wikipedia.org/wiki/Constitution_Act,_1982" TargetMode="External"/><Relationship Id="rId32" Type="http://schemas.openxmlformats.org/officeDocument/2006/relationships/hyperlink" Target="http://en.wikipedia.org/wiki/Jehovah%27s_Witness" TargetMode="External"/><Relationship Id="rId37" Type="http://schemas.openxmlformats.org/officeDocument/2006/relationships/hyperlink" Target="http://en.wikipedia.org/wiki/Canadian_Bill_of_Rights" TargetMode="External"/><Relationship Id="rId40" Type="http://schemas.openxmlformats.org/officeDocument/2006/relationships/hyperlink" Target="http://en.wikipedia.org/wiki/Aboriginal_peoples_in_Canada" TargetMode="External"/><Relationship Id="rId45" Type="http://schemas.openxmlformats.org/officeDocument/2006/relationships/hyperlink" Target="http://en.wikipedia.org/wiki/Fiduciary" TargetMode="External"/><Relationship Id="rId5" Type="http://schemas.openxmlformats.org/officeDocument/2006/relationships/hyperlink" Target="http://en.wikipedia.org/wiki/Act_of_Parliament" TargetMode="External"/><Relationship Id="rId15" Type="http://schemas.openxmlformats.org/officeDocument/2006/relationships/hyperlink" Target="http://en.wikipedia.org/wiki/Canadian_Bill_of_Rights" TargetMode="External"/><Relationship Id="rId23" Type="http://schemas.openxmlformats.org/officeDocument/2006/relationships/hyperlink" Target="http://en.wikipedia.org/wiki/Parliament_of_Canada" TargetMode="External"/><Relationship Id="rId28" Type="http://schemas.openxmlformats.org/officeDocument/2006/relationships/hyperlink" Target="http://en.wikipedia.org/wiki/Constitution_Act,_1867" TargetMode="External"/><Relationship Id="rId36" Type="http://schemas.openxmlformats.org/officeDocument/2006/relationships/hyperlink" Target="http://en.wikipedia.org/wiki/Attorney_General_of_Canada_v._Lavell" TargetMode="External"/><Relationship Id="rId49" Type="http://schemas.openxmlformats.org/officeDocument/2006/relationships/hyperlink" Target="http://en.wikipedia.org/wiki/Canadian_Charter_of_Rights_and_Freedoms" TargetMode="External"/><Relationship Id="rId10" Type="http://schemas.openxmlformats.org/officeDocument/2006/relationships/hyperlink" Target="http://en.wikipedia.org/wiki/Commonwealth_realm" TargetMode="External"/><Relationship Id="rId19" Type="http://schemas.openxmlformats.org/officeDocument/2006/relationships/hyperlink" Target="http://en.wikipedia.org/wiki/Act_of_Parliament" TargetMode="External"/><Relationship Id="rId31" Type="http://schemas.openxmlformats.org/officeDocument/2006/relationships/hyperlink" Target="http://en.wikipedia.org/wiki/Maurice_Duplessis" TargetMode="External"/><Relationship Id="rId44" Type="http://schemas.openxmlformats.org/officeDocument/2006/relationships/hyperlink" Target="http://en.wikipedia.org/wiki/Constitution_of_Canada"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n.wikipedia.org/wiki/United_Kingdom" TargetMode="External"/><Relationship Id="rId14" Type="http://schemas.openxmlformats.org/officeDocument/2006/relationships/hyperlink" Target="http://en.wikipedia.org/wiki/Quasi-constitutionality_(Canada)" TargetMode="External"/><Relationship Id="rId22" Type="http://schemas.openxmlformats.org/officeDocument/2006/relationships/hyperlink" Target="http://en.wikipedia.org/wiki/Parliament_of_the_United_Kingdom" TargetMode="External"/><Relationship Id="rId27" Type="http://schemas.openxmlformats.org/officeDocument/2006/relationships/hyperlink" Target="http://en.wikipedia.org/wiki/British_Empire" TargetMode="External"/><Relationship Id="rId30" Type="http://schemas.openxmlformats.org/officeDocument/2006/relationships/hyperlink" Target="http://en.wikipedia.org/wiki/Supreme_Court_of_Canada" TargetMode="External"/><Relationship Id="rId35" Type="http://schemas.openxmlformats.org/officeDocument/2006/relationships/hyperlink" Target="http://en.wikipedia.org/wiki/Indian_Act" TargetMode="External"/><Relationship Id="rId43" Type="http://schemas.openxmlformats.org/officeDocument/2006/relationships/hyperlink" Target="http://en.wikipedia.org/wiki/Fishing" TargetMode="External"/><Relationship Id="rId48" Type="http://schemas.openxmlformats.org/officeDocument/2006/relationships/hyperlink" Target="http://en.wikipedia.org/wiki/Section_Thirty-two_of_the_Canadian_Charter_of_Rights_and_Freedoms" TargetMode="External"/><Relationship Id="rId8" Type="http://schemas.openxmlformats.org/officeDocument/2006/relationships/hyperlink" Target="http://en.wikipedia.org/wiki/British_Empire"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3</Pages>
  <Words>2077</Words>
  <Characters>11841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Alloush</dc:creator>
  <cp:lastModifiedBy>Alloush</cp:lastModifiedBy>
  <cp:revision>6</cp:revision>
  <dcterms:created xsi:type="dcterms:W3CDTF">2012-10-18T01:53:00Z</dcterms:created>
  <dcterms:modified xsi:type="dcterms:W3CDTF">2012-10-18T15:22:00Z</dcterms:modified>
</cp:coreProperties>
</file>