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49DC3" w14:textId="77777777" w:rsidR="00C578A2" w:rsidRPr="00C578A2" w:rsidRDefault="00C578A2" w:rsidP="00C578A2">
      <w:pPr>
        <w:tabs>
          <w:tab w:val="left" w:pos="1045"/>
        </w:tabs>
        <w:jc w:val="center"/>
        <w:rPr>
          <w:b/>
          <w:u w:val="single"/>
        </w:rPr>
      </w:pPr>
      <w:r w:rsidRPr="00C578A2">
        <w:rPr>
          <w:b/>
          <w:u w:val="single"/>
        </w:rPr>
        <w:t>CHAPTER 29</w:t>
      </w:r>
      <w:r w:rsidRPr="00C578A2">
        <w:rPr>
          <w:b/>
          <w:u w:val="single"/>
        </w:rPr>
        <w:t xml:space="preserve"> – </w:t>
      </w:r>
      <w:r w:rsidRPr="00C578A2">
        <w:rPr>
          <w:b/>
          <w:u w:val="single"/>
        </w:rPr>
        <w:t>DUTY TO ACCOMMODATE</w:t>
      </w:r>
    </w:p>
    <w:p w14:paraId="6DB52D96" w14:textId="77777777" w:rsidR="00C578A2" w:rsidRDefault="00C578A2" w:rsidP="00C578A2">
      <w:pPr>
        <w:tabs>
          <w:tab w:val="left" w:pos="1045"/>
        </w:tabs>
      </w:pPr>
    </w:p>
    <w:p w14:paraId="5AA2B51F" w14:textId="77777777" w:rsidR="00C578A2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Introduction</w:t>
      </w:r>
    </w:p>
    <w:p w14:paraId="2F0B5A2D" w14:textId="77777777" w:rsidR="00C578A2" w:rsidRPr="00F63EAF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At the heart of the prohibitions against discrimination in employment is the employer duty to accommodate. In particular:</w:t>
      </w:r>
    </w:p>
    <w:p w14:paraId="618F4A1C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The disabled</w:t>
      </w:r>
    </w:p>
    <w:p w14:paraId="511B053D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 xml:space="preserve">Parents </w:t>
      </w:r>
    </w:p>
    <w:p w14:paraId="14A4D2AC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 xml:space="preserve">Women </w:t>
      </w:r>
    </w:p>
    <w:p w14:paraId="1232DE57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Religious beliefs and practices</w:t>
      </w:r>
    </w:p>
    <w:p w14:paraId="44885884" w14:textId="77777777" w:rsidR="00C578A2" w:rsidRPr="00F63EAF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The duty is to accommodate to the point of “undue hardship.”</w:t>
      </w:r>
    </w:p>
    <w:p w14:paraId="3DB8A089" w14:textId="77777777" w:rsidR="00C578A2" w:rsidRPr="00C578A2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>
        <w:t xml:space="preserve">The duty to accommodate has required employers to proactively ensure that barriers to employee’s equal participation in the workplace are removed. </w:t>
      </w:r>
    </w:p>
    <w:p w14:paraId="6EF386C7" w14:textId="77777777" w:rsidR="00C578A2" w:rsidRPr="00C578A2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The duty to accommodate was established and elaborated in a series of SCC decisions in the 1980s and 90s.</w:t>
      </w:r>
    </w:p>
    <w:p w14:paraId="0F86666C" w14:textId="77777777" w:rsidR="00C578A2" w:rsidRDefault="00C578A2" w:rsidP="00C578A2">
      <w:pPr>
        <w:tabs>
          <w:tab w:val="left" w:pos="1045"/>
        </w:tabs>
      </w:pPr>
    </w:p>
    <w:p w14:paraId="321406E4" w14:textId="77777777" w:rsidR="00C578A2" w:rsidRPr="00C578A2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A (Very) Brief History of the Duty to Accommodate</w:t>
      </w:r>
    </w:p>
    <w:p w14:paraId="45592182" w14:textId="77777777" w:rsidR="00C578A2" w:rsidRPr="00C578A2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>
        <w:rPr>
          <w:b/>
        </w:rPr>
        <w:t xml:space="preserve">Duty to accommodate: </w:t>
      </w:r>
      <w:r>
        <w:t>a legal requirement in human rights law to take steps to remove discriminatory barriers employment, including altering schedules, rules or work patterns, or changing the physical design of a workplace.</w:t>
      </w:r>
    </w:p>
    <w:p w14:paraId="0767596A" w14:textId="77777777" w:rsidR="00C578A2" w:rsidRPr="00F63EAF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Ref. Box 29.1 [“</w:t>
      </w:r>
      <w:r w:rsidRPr="00F63EAF">
        <w:rPr>
          <w:i/>
          <w:iCs/>
          <w:lang w:val="en-CA"/>
        </w:rPr>
        <w:t>O’Malley</w:t>
      </w:r>
      <w:r w:rsidRPr="00F63EAF">
        <w:rPr>
          <w:lang w:val="en-CA"/>
        </w:rPr>
        <w:t>”]</w:t>
      </w:r>
    </w:p>
    <w:p w14:paraId="22DDDB2D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>
        <w:rPr>
          <w:lang w:val="en-CA"/>
        </w:rPr>
        <w:t xml:space="preserve">Ruled that </w:t>
      </w:r>
      <w:r w:rsidRPr="00F63EAF">
        <w:rPr>
          <w:lang w:val="en-CA"/>
        </w:rPr>
        <w:t xml:space="preserve">Indirect </w:t>
      </w:r>
      <w:r>
        <w:rPr>
          <w:lang w:val="en-CA"/>
        </w:rPr>
        <w:t>(</w:t>
      </w:r>
      <w:r w:rsidRPr="00F63EAF">
        <w:rPr>
          <w:lang w:val="en-CA"/>
        </w:rPr>
        <w:t>or not intentional</w:t>
      </w:r>
      <w:r>
        <w:rPr>
          <w:lang w:val="en-CA"/>
        </w:rPr>
        <w:t>)</w:t>
      </w:r>
      <w:r w:rsidRPr="00F63EAF">
        <w:rPr>
          <w:lang w:val="en-CA"/>
        </w:rPr>
        <w:t xml:space="preserve"> discrimination </w:t>
      </w:r>
      <w:r w:rsidRPr="00F63EAF">
        <w:rPr>
          <w:i/>
          <w:iCs/>
          <w:lang w:val="en-CA"/>
        </w:rPr>
        <w:t>is</w:t>
      </w:r>
      <w:r w:rsidRPr="00F63EAF">
        <w:rPr>
          <w:lang w:val="en-CA"/>
        </w:rPr>
        <w:t xml:space="preserve"> prohibited.</w:t>
      </w:r>
    </w:p>
    <w:p w14:paraId="342E1282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Employer obliged to accommodate an employee who is a victim of indirect discrimination to the point of undue hardship.</w:t>
      </w:r>
    </w:p>
    <w:p w14:paraId="6688D1CD" w14:textId="77777777" w:rsidR="0073793F" w:rsidRDefault="0073793F" w:rsidP="0073793F">
      <w:pPr>
        <w:tabs>
          <w:tab w:val="left" w:pos="1045"/>
        </w:tabs>
        <w:rPr>
          <w:b/>
          <w:u w:val="single"/>
        </w:rPr>
      </w:pPr>
    </w:p>
    <w:p w14:paraId="29E597BD" w14:textId="77777777" w:rsidR="0073793F" w:rsidRPr="0073793F" w:rsidRDefault="0073793F" w:rsidP="0073793F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The Development of the Duty to Accommodate by the Supreme Court of Canada in the 1990s</w:t>
      </w:r>
    </w:p>
    <w:p w14:paraId="67FB0792" w14:textId="77777777" w:rsidR="0073793F" w:rsidRDefault="0073793F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>
        <w:t xml:space="preserve">In the </w:t>
      </w:r>
      <w:r>
        <w:rPr>
          <w:i/>
        </w:rPr>
        <w:t xml:space="preserve">O’Malley </w:t>
      </w:r>
      <w:r>
        <w:t>case, the SCC did not provide details on the duty to accommodate in its decision.</w:t>
      </w:r>
    </w:p>
    <w:p w14:paraId="245E6B0B" w14:textId="77777777" w:rsidR="0073793F" w:rsidRPr="00F63EAF" w:rsidRDefault="0073793F" w:rsidP="0073793F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 xml:space="preserve">Ref. Box 26.3 </w:t>
      </w:r>
      <w:r w:rsidRPr="00F63EAF">
        <w:rPr>
          <w:i/>
          <w:iCs/>
          <w:lang w:val="en-CA"/>
        </w:rPr>
        <w:t>Central Alberta Dairy Pool v. Alberta (Human Rights Commission)</w:t>
      </w:r>
      <w:r w:rsidRPr="00F63EAF">
        <w:rPr>
          <w:lang w:val="en-CA"/>
        </w:rPr>
        <w:t>, [1990] SCC</w:t>
      </w:r>
    </w:p>
    <w:p w14:paraId="553D5A43" w14:textId="77777777" w:rsidR="0073793F" w:rsidRPr="00F63EAF" w:rsidRDefault="0073793F" w:rsidP="0073793F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Refusal to grant employee time off to observe a religious holiday was indirect discrimination on the ground of religion.</w:t>
      </w:r>
    </w:p>
    <w:p w14:paraId="2DBCB14E" w14:textId="77777777" w:rsidR="0073793F" w:rsidRPr="00F63EAF" w:rsidRDefault="0073793F" w:rsidP="0073793F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Employer must accommodate to point of undue hardship.</w:t>
      </w:r>
    </w:p>
    <w:p w14:paraId="3AEAC591" w14:textId="77777777" w:rsidR="0073793F" w:rsidRPr="00F63EAF" w:rsidRDefault="0073793F" w:rsidP="0073793F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Ref. Box 28.2 [“</w:t>
      </w:r>
      <w:r w:rsidRPr="00F63EAF">
        <w:rPr>
          <w:i/>
          <w:iCs/>
          <w:lang w:val="en-CA"/>
        </w:rPr>
        <w:t>Meiorin</w:t>
      </w:r>
      <w:r w:rsidRPr="00F63EAF">
        <w:rPr>
          <w:lang w:val="en-CA"/>
        </w:rPr>
        <w:t>”]</w:t>
      </w:r>
    </w:p>
    <w:p w14:paraId="5BAA2969" w14:textId="77777777" w:rsidR="0073793F" w:rsidRPr="0073793F" w:rsidRDefault="0073793F" w:rsidP="0073793F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 xml:space="preserve">In arguing for an exemption from a claim of discrimination on the grounds of a </w:t>
      </w:r>
      <w:r w:rsidRPr="00F63EAF">
        <w:rPr>
          <w:i/>
          <w:iCs/>
          <w:lang w:val="en-CA"/>
        </w:rPr>
        <w:t xml:space="preserve">bona fide </w:t>
      </w:r>
      <w:r w:rsidRPr="00F63EAF">
        <w:rPr>
          <w:lang w:val="en-CA"/>
        </w:rPr>
        <w:t>occupational requirement (“BFOQ”), the employer must accommodate the employee to the point of undue hardship.</w:t>
      </w:r>
    </w:p>
    <w:p w14:paraId="2A0383E7" w14:textId="77777777" w:rsidR="00C578A2" w:rsidRPr="00F63EAF" w:rsidRDefault="00C578A2" w:rsidP="00C578A2">
      <w:pPr>
        <w:pStyle w:val="ListParagraph"/>
        <w:numPr>
          <w:ilvl w:val="0"/>
          <w:numId w:val="1"/>
        </w:numPr>
        <w:tabs>
          <w:tab w:val="left" w:pos="1045"/>
        </w:tabs>
      </w:pPr>
      <w:r w:rsidRPr="00F63EAF">
        <w:rPr>
          <w:lang w:val="en-CA"/>
        </w:rPr>
        <w:t>Ref. Boxes 29.2 [“</w:t>
      </w:r>
      <w:r w:rsidRPr="00F63EAF">
        <w:rPr>
          <w:i/>
          <w:iCs/>
          <w:lang w:val="en-CA"/>
        </w:rPr>
        <w:t>Renaud</w:t>
      </w:r>
      <w:r w:rsidRPr="00F63EAF">
        <w:rPr>
          <w:lang w:val="en-CA"/>
        </w:rPr>
        <w:t>”]</w:t>
      </w:r>
    </w:p>
    <w:p w14:paraId="63E7F7D4" w14:textId="77777777" w:rsidR="00C578A2" w:rsidRPr="00F63EA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Can the duty to accommodate override the terms of a collective agreement?</w:t>
      </w:r>
    </w:p>
    <w:p w14:paraId="551B61B9" w14:textId="77777777" w:rsidR="00C578A2" w:rsidRPr="0073793F" w:rsidRDefault="00C578A2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 w:rsidRPr="00F63EAF">
        <w:rPr>
          <w:lang w:val="en-CA"/>
        </w:rPr>
        <w:t>Yes, the terms in a collective agreement cannot negate or absolve the parties from the duty to accommodate.</w:t>
      </w:r>
    </w:p>
    <w:p w14:paraId="1680CAA7" w14:textId="77777777" w:rsidR="0073793F" w:rsidRPr="0073793F" w:rsidRDefault="0073793F" w:rsidP="00C578A2">
      <w:pPr>
        <w:pStyle w:val="ListParagraph"/>
        <w:numPr>
          <w:ilvl w:val="1"/>
          <w:numId w:val="1"/>
        </w:numPr>
        <w:tabs>
          <w:tab w:val="left" w:pos="1045"/>
        </w:tabs>
      </w:pPr>
      <w:r>
        <w:rPr>
          <w:lang w:val="en-CA"/>
        </w:rPr>
        <w:t>Unions can breach their accommodations in two ways:</w:t>
      </w:r>
    </w:p>
    <w:p w14:paraId="65EB3757" w14:textId="77777777" w:rsidR="0073793F" w:rsidRDefault="0073793F" w:rsidP="0073793F">
      <w:pPr>
        <w:pStyle w:val="ListParagraph"/>
        <w:numPr>
          <w:ilvl w:val="2"/>
          <w:numId w:val="1"/>
        </w:numPr>
        <w:tabs>
          <w:tab w:val="left" w:pos="1045"/>
        </w:tabs>
      </w:pPr>
      <w:r>
        <w:t>By signing a collective agreement that contains a discriminatory provision (even if it opposed the provision at the bargaining table).</w:t>
      </w:r>
    </w:p>
    <w:p w14:paraId="0BB6FA2C" w14:textId="77777777" w:rsidR="0073793F" w:rsidRDefault="0073793F" w:rsidP="0073793F">
      <w:pPr>
        <w:pStyle w:val="ListParagraph"/>
        <w:numPr>
          <w:ilvl w:val="2"/>
          <w:numId w:val="1"/>
        </w:numPr>
        <w:tabs>
          <w:tab w:val="left" w:pos="1045"/>
        </w:tabs>
      </w:pPr>
      <w:r>
        <w:lastRenderedPageBreak/>
        <w:t>By standing in the way of a reasonable accommodation proposal.</w:t>
      </w:r>
    </w:p>
    <w:p w14:paraId="05A81D3D" w14:textId="77777777" w:rsidR="0073793F" w:rsidRPr="00F63EAF" w:rsidRDefault="0073793F" w:rsidP="0073793F">
      <w:pPr>
        <w:pStyle w:val="ListParagraph"/>
        <w:numPr>
          <w:ilvl w:val="1"/>
          <w:numId w:val="1"/>
        </w:numPr>
        <w:tabs>
          <w:tab w:val="left" w:pos="1045"/>
        </w:tabs>
      </w:pPr>
      <w:r>
        <w:rPr>
          <w:b/>
        </w:rPr>
        <w:t xml:space="preserve">Duty of fair representation: </w:t>
      </w:r>
      <w:r>
        <w:t>a legal obligation imposed on unions to represent employee who fall within the scope of their representation rights in a manner that is not arbitrary, discriminatory or in bad faith.</w:t>
      </w:r>
    </w:p>
    <w:p w14:paraId="1D7669EE" w14:textId="77777777" w:rsidR="00C578A2" w:rsidRDefault="00C578A2" w:rsidP="00C578A2">
      <w:pPr>
        <w:tabs>
          <w:tab w:val="left" w:pos="1045"/>
        </w:tabs>
        <w:rPr>
          <w:b/>
          <w:u w:val="single"/>
        </w:rPr>
      </w:pPr>
    </w:p>
    <w:p w14:paraId="62CA8ED9" w14:textId="77777777" w:rsidR="0073793F" w:rsidRPr="0073793F" w:rsidRDefault="0073793F" w:rsidP="00C578A2">
      <w:pPr>
        <w:tabs>
          <w:tab w:val="left" w:pos="1045"/>
        </w:tabs>
        <w:rPr>
          <w:u w:val="single"/>
        </w:rPr>
      </w:pPr>
      <w:r>
        <w:rPr>
          <w:b/>
          <w:u w:val="single"/>
        </w:rPr>
        <w:t>What Does the Duty to Accommodate Require?</w:t>
      </w:r>
    </w:p>
    <w:p w14:paraId="0FD70E4D" w14:textId="77777777" w:rsidR="00C578A2" w:rsidRPr="0073793F" w:rsidRDefault="00C578A2" w:rsidP="00C578A2">
      <w:pPr>
        <w:tabs>
          <w:tab w:val="left" w:pos="1045"/>
        </w:tabs>
        <w:rPr>
          <w:b/>
        </w:rPr>
      </w:pPr>
      <w:r w:rsidRPr="0073793F">
        <w:rPr>
          <w:b/>
        </w:rPr>
        <w:t>Accommodating Disability</w:t>
      </w:r>
    </w:p>
    <w:p w14:paraId="484C4FED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Four-point Process</w:t>
      </w:r>
    </w:p>
    <w:p w14:paraId="32A31A87" w14:textId="77777777" w:rsidR="00C578A2" w:rsidRPr="00F63EAF" w:rsidRDefault="00C578A2" w:rsidP="00C578A2">
      <w:pPr>
        <w:numPr>
          <w:ilvl w:val="1"/>
          <w:numId w:val="2"/>
        </w:numPr>
        <w:tabs>
          <w:tab w:val="left" w:pos="1045"/>
        </w:tabs>
      </w:pPr>
      <w:r w:rsidRPr="00F63EAF">
        <w:rPr>
          <w:lang w:val="en-CA"/>
        </w:rPr>
        <w:t>Determine if the employee can perform the job as currently constituted;</w:t>
      </w:r>
    </w:p>
    <w:p w14:paraId="363D884E" w14:textId="77777777" w:rsidR="00C578A2" w:rsidRPr="00F63EAF" w:rsidRDefault="00C578A2" w:rsidP="00C578A2">
      <w:pPr>
        <w:numPr>
          <w:ilvl w:val="1"/>
          <w:numId w:val="2"/>
        </w:numPr>
        <w:tabs>
          <w:tab w:val="left" w:pos="1045"/>
        </w:tabs>
      </w:pPr>
      <w:r w:rsidRPr="00F63EAF">
        <w:rPr>
          <w:lang w:val="en-CA"/>
        </w:rPr>
        <w:t>If not, can the employee perform core functions in a modified form?</w:t>
      </w:r>
    </w:p>
    <w:p w14:paraId="71A2FB50" w14:textId="77777777" w:rsidR="00C578A2" w:rsidRPr="00F63EAF" w:rsidRDefault="00C578A2" w:rsidP="00C578A2">
      <w:pPr>
        <w:numPr>
          <w:ilvl w:val="1"/>
          <w:numId w:val="2"/>
        </w:numPr>
        <w:tabs>
          <w:tab w:val="left" w:pos="1045"/>
        </w:tabs>
      </w:pPr>
      <w:r w:rsidRPr="00F63EAF">
        <w:rPr>
          <w:lang w:val="en-CA"/>
        </w:rPr>
        <w:t>If not, can the employee perform another job in its current form?</w:t>
      </w:r>
    </w:p>
    <w:p w14:paraId="14902A3F" w14:textId="77777777" w:rsidR="00C578A2" w:rsidRDefault="00C578A2" w:rsidP="00C578A2">
      <w:pPr>
        <w:numPr>
          <w:ilvl w:val="1"/>
          <w:numId w:val="2"/>
        </w:numPr>
        <w:tabs>
          <w:tab w:val="left" w:pos="1045"/>
        </w:tabs>
      </w:pPr>
      <w:r w:rsidRPr="00F63EAF">
        <w:rPr>
          <w:lang w:val="en-CA"/>
        </w:rPr>
        <w:t>If not, can the employee perform another job in a modified form?</w:t>
      </w:r>
    </w:p>
    <w:p w14:paraId="79B161DD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If the employer cannot accommodate a disabled employee after following these steps, then the employer has likely met its duty to accommodate.</w:t>
      </w:r>
    </w:p>
    <w:p w14:paraId="25045738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 xml:space="preserve">The employer is </w:t>
      </w:r>
      <w:r w:rsidRPr="00F63EAF">
        <w:rPr>
          <w:i/>
          <w:iCs/>
          <w:lang w:val="en-CA"/>
        </w:rPr>
        <w:t>not</w:t>
      </w:r>
      <w:r w:rsidRPr="00F63EAF">
        <w:rPr>
          <w:lang w:val="en-CA"/>
        </w:rPr>
        <w:t xml:space="preserve"> required to remove the core requirements of the position, create a new position, or hire someone else to perform the tasks.</w:t>
      </w:r>
    </w:p>
    <w:p w14:paraId="3292C39B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Mental Illness and Addiction</w:t>
      </w:r>
    </w:p>
    <w:p w14:paraId="4366D6FE" w14:textId="77777777" w:rsidR="00C578A2" w:rsidRPr="00F63EAF" w:rsidRDefault="00C578A2" w:rsidP="00C578A2">
      <w:pPr>
        <w:pStyle w:val="ListParagraph"/>
        <w:numPr>
          <w:ilvl w:val="1"/>
          <w:numId w:val="3"/>
        </w:numPr>
        <w:tabs>
          <w:tab w:val="left" w:pos="1045"/>
        </w:tabs>
      </w:pPr>
      <w:r w:rsidRPr="00F63EAF">
        <w:rPr>
          <w:lang w:val="en-CA"/>
        </w:rPr>
        <w:t xml:space="preserve">Employers are bound by the duty to accommodate these disabilities; </w:t>
      </w:r>
    </w:p>
    <w:p w14:paraId="5B52A544" w14:textId="77777777" w:rsidR="00C578A2" w:rsidRPr="00F63EAF" w:rsidRDefault="00C578A2" w:rsidP="00C578A2">
      <w:pPr>
        <w:pStyle w:val="ListParagraph"/>
        <w:numPr>
          <w:ilvl w:val="2"/>
          <w:numId w:val="3"/>
        </w:numPr>
        <w:tabs>
          <w:tab w:val="left" w:pos="1045"/>
        </w:tabs>
      </w:pPr>
      <w:r w:rsidRPr="00F63EAF">
        <w:rPr>
          <w:lang w:val="en-CA"/>
        </w:rPr>
        <w:t>Ref. Box 29.4</w:t>
      </w:r>
    </w:p>
    <w:p w14:paraId="0C9AF720" w14:textId="77777777" w:rsidR="00C578A2" w:rsidRPr="00F63EAF" w:rsidRDefault="00C578A2" w:rsidP="00C578A2">
      <w:pPr>
        <w:pStyle w:val="ListParagraph"/>
        <w:numPr>
          <w:ilvl w:val="1"/>
          <w:numId w:val="3"/>
        </w:numPr>
        <w:tabs>
          <w:tab w:val="left" w:pos="1045"/>
        </w:tabs>
      </w:pPr>
      <w:r w:rsidRPr="00F63EAF">
        <w:rPr>
          <w:lang w:val="en-CA"/>
        </w:rPr>
        <w:t>The duty is not limitless. Repeated failure to manage the illness or addiction can be grounds for termination.</w:t>
      </w:r>
    </w:p>
    <w:p w14:paraId="30073CCD" w14:textId="77777777" w:rsidR="00C578A2" w:rsidRPr="00F63EAF" w:rsidRDefault="00C578A2" w:rsidP="00C578A2">
      <w:pPr>
        <w:pStyle w:val="ListParagraph"/>
        <w:numPr>
          <w:ilvl w:val="2"/>
          <w:numId w:val="3"/>
        </w:numPr>
        <w:tabs>
          <w:tab w:val="left" w:pos="1045"/>
        </w:tabs>
      </w:pPr>
      <w:r w:rsidRPr="00F63EAF">
        <w:rPr>
          <w:lang w:val="en-CA"/>
        </w:rPr>
        <w:t xml:space="preserve"> Ref. Fact Scenario 2</w:t>
      </w:r>
    </w:p>
    <w:p w14:paraId="20B44477" w14:textId="77777777" w:rsidR="00C578A2" w:rsidRDefault="00C578A2" w:rsidP="00C578A2">
      <w:pPr>
        <w:tabs>
          <w:tab w:val="left" w:pos="1045"/>
        </w:tabs>
      </w:pPr>
    </w:p>
    <w:p w14:paraId="3EB3415A" w14:textId="77777777" w:rsidR="00C578A2" w:rsidRPr="00F63EAF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Accommodating Religion</w:t>
      </w:r>
    </w:p>
    <w:p w14:paraId="7DDEF567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The employer is required to accommodate the religious beliefs of its employees unless it would result in undue hardship.</w:t>
      </w:r>
    </w:p>
    <w:p w14:paraId="6D797D35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An employee request for accommodation can arise in various forms.</w:t>
      </w:r>
    </w:p>
    <w:p w14:paraId="68C53FC8" w14:textId="77777777" w:rsidR="00C578A2" w:rsidRPr="00F63EAF" w:rsidRDefault="00C578A2" w:rsidP="00C578A2">
      <w:pPr>
        <w:pStyle w:val="ListParagraph"/>
        <w:numPr>
          <w:ilvl w:val="1"/>
          <w:numId w:val="3"/>
        </w:numPr>
        <w:tabs>
          <w:tab w:val="left" w:pos="1045"/>
        </w:tabs>
      </w:pPr>
      <w:r w:rsidRPr="00F63EAF">
        <w:rPr>
          <w:lang w:val="en-CA"/>
        </w:rPr>
        <w:t>Dress, time off, breaks at work</w:t>
      </w:r>
    </w:p>
    <w:p w14:paraId="722CBA4A" w14:textId="77777777" w:rsidR="00C578A2" w:rsidRPr="00F63EAF" w:rsidRDefault="00C578A2" w:rsidP="00C578A2">
      <w:pPr>
        <w:pStyle w:val="ListParagraph"/>
        <w:numPr>
          <w:ilvl w:val="1"/>
          <w:numId w:val="3"/>
        </w:numPr>
        <w:tabs>
          <w:tab w:val="left" w:pos="1045"/>
        </w:tabs>
      </w:pPr>
      <w:r w:rsidRPr="00F63EAF">
        <w:rPr>
          <w:lang w:val="en-CA"/>
        </w:rPr>
        <w:t>Ref. Boxes 26.3 and 29.2</w:t>
      </w:r>
    </w:p>
    <w:p w14:paraId="38F39288" w14:textId="77777777" w:rsidR="00C578A2" w:rsidRDefault="00C578A2" w:rsidP="00C578A2">
      <w:pPr>
        <w:tabs>
          <w:tab w:val="left" w:pos="1045"/>
        </w:tabs>
      </w:pPr>
    </w:p>
    <w:p w14:paraId="734949BD" w14:textId="77777777" w:rsidR="00C578A2" w:rsidRPr="00F63EAF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Accommodating Sex/Gender</w:t>
      </w:r>
    </w:p>
    <w:p w14:paraId="5D9ECBCC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i/>
          <w:iCs/>
          <w:lang w:val="en-CA"/>
        </w:rPr>
        <w:t>British Columbia (Public Service Employee Relations Commission) v. BCGSEU</w:t>
      </w:r>
      <w:r w:rsidRPr="00F63EAF">
        <w:rPr>
          <w:lang w:val="en-CA"/>
        </w:rPr>
        <w:t>, [1999]</w:t>
      </w:r>
      <w:r w:rsidRPr="00F63EAF">
        <w:rPr>
          <w:i/>
          <w:iCs/>
          <w:lang w:val="en-CA"/>
        </w:rPr>
        <w:t xml:space="preserve"> </w:t>
      </w:r>
      <w:r w:rsidRPr="00F63EAF">
        <w:rPr>
          <w:lang w:val="en-CA"/>
        </w:rPr>
        <w:t>(“Meiorin”) (Chapter 28)</w:t>
      </w:r>
    </w:p>
    <w:p w14:paraId="2FFD3FEE" w14:textId="77777777" w:rsidR="00C578A2" w:rsidRPr="00F63EAF" w:rsidRDefault="00C578A2" w:rsidP="00C578A2">
      <w:pPr>
        <w:pStyle w:val="ListParagraph"/>
        <w:numPr>
          <w:ilvl w:val="0"/>
          <w:numId w:val="3"/>
        </w:numPr>
        <w:tabs>
          <w:tab w:val="left" w:pos="1045"/>
        </w:tabs>
      </w:pPr>
      <w:r w:rsidRPr="00F63EAF">
        <w:rPr>
          <w:lang w:val="en-CA"/>
        </w:rPr>
        <w:t>An employee who is pregnant must be accommodated unless it would result in undue hardship.</w:t>
      </w:r>
    </w:p>
    <w:p w14:paraId="218A59BD" w14:textId="77777777" w:rsidR="00C578A2" w:rsidRDefault="00C578A2" w:rsidP="00C578A2">
      <w:pPr>
        <w:tabs>
          <w:tab w:val="left" w:pos="1045"/>
        </w:tabs>
      </w:pPr>
    </w:p>
    <w:p w14:paraId="53A17E0D" w14:textId="77777777" w:rsidR="00C578A2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Accommodating Family Status</w:t>
      </w:r>
    </w:p>
    <w:p w14:paraId="756DA31E" w14:textId="77777777" w:rsidR="00C578A2" w:rsidRPr="00F63EAF" w:rsidRDefault="00C578A2" w:rsidP="00C578A2">
      <w:pPr>
        <w:pStyle w:val="ListParagraph"/>
        <w:numPr>
          <w:ilvl w:val="0"/>
          <w:numId w:val="4"/>
        </w:numPr>
        <w:tabs>
          <w:tab w:val="left" w:pos="1045"/>
        </w:tabs>
      </w:pPr>
      <w:r w:rsidRPr="00F63EAF">
        <w:t xml:space="preserve">Family status was added to the Ontario </w:t>
      </w:r>
      <w:r w:rsidRPr="00F63EAF">
        <w:rPr>
          <w:i/>
          <w:iCs/>
        </w:rPr>
        <w:t>Human Rights Code</w:t>
      </w:r>
      <w:r w:rsidRPr="00F63EAF">
        <w:t xml:space="preserve"> as a prohibited ground of discrimination in 1982.</w:t>
      </w:r>
    </w:p>
    <w:p w14:paraId="0A17B368" w14:textId="77777777" w:rsidR="00C578A2" w:rsidRPr="00F63EAF" w:rsidRDefault="00C578A2" w:rsidP="00C578A2">
      <w:pPr>
        <w:pStyle w:val="ListParagraph"/>
        <w:numPr>
          <w:ilvl w:val="0"/>
          <w:numId w:val="4"/>
        </w:numPr>
        <w:tabs>
          <w:tab w:val="left" w:pos="1045"/>
        </w:tabs>
      </w:pPr>
      <w:r w:rsidRPr="00F63EAF">
        <w:rPr>
          <w:lang w:val="en-CA"/>
        </w:rPr>
        <w:t xml:space="preserve">It is defined in the </w:t>
      </w:r>
      <w:r w:rsidRPr="00F63EAF">
        <w:rPr>
          <w:i/>
          <w:iCs/>
          <w:lang w:val="en-CA"/>
        </w:rPr>
        <w:t xml:space="preserve">Code </w:t>
      </w:r>
      <w:r w:rsidRPr="00F63EAF">
        <w:rPr>
          <w:lang w:val="en-CA"/>
        </w:rPr>
        <w:t>as, “the status of being in a parent and child relationship.”</w:t>
      </w:r>
    </w:p>
    <w:p w14:paraId="4A4A59D9" w14:textId="77777777" w:rsidR="00C578A2" w:rsidRPr="00F63EAF" w:rsidRDefault="00C578A2" w:rsidP="00C578A2">
      <w:pPr>
        <w:pStyle w:val="ListParagraph"/>
        <w:numPr>
          <w:ilvl w:val="0"/>
          <w:numId w:val="4"/>
        </w:numPr>
        <w:tabs>
          <w:tab w:val="left" w:pos="1045"/>
        </w:tabs>
      </w:pPr>
      <w:r w:rsidRPr="00F63EAF">
        <w:rPr>
          <w:lang w:val="en-CA"/>
        </w:rPr>
        <w:t>Alternative Legal Tests for determining discrimination on the ground of Family Status</w:t>
      </w:r>
    </w:p>
    <w:p w14:paraId="2165B519" w14:textId="77777777" w:rsidR="00C578A2" w:rsidRPr="00F63EAF" w:rsidRDefault="00C578A2" w:rsidP="00C578A2">
      <w:pPr>
        <w:pStyle w:val="ListParagraph"/>
        <w:numPr>
          <w:ilvl w:val="1"/>
          <w:numId w:val="4"/>
        </w:numPr>
        <w:tabs>
          <w:tab w:val="left" w:pos="1045"/>
        </w:tabs>
      </w:pPr>
      <w:r w:rsidRPr="00F63EAF">
        <w:rPr>
          <w:lang w:val="en-CA"/>
        </w:rPr>
        <w:t xml:space="preserve">Class 5 Fact Scenario 5, </w:t>
      </w:r>
      <w:r w:rsidRPr="00F63EAF">
        <w:rPr>
          <w:i/>
          <w:iCs/>
          <w:lang w:val="en-CA"/>
        </w:rPr>
        <w:t>“Campbell River”</w:t>
      </w:r>
    </w:p>
    <w:p w14:paraId="55E13CB3" w14:textId="77777777" w:rsidR="00C578A2" w:rsidRPr="00F63EAF" w:rsidRDefault="00C578A2" w:rsidP="00C578A2">
      <w:pPr>
        <w:pStyle w:val="ListParagraph"/>
        <w:numPr>
          <w:ilvl w:val="1"/>
          <w:numId w:val="4"/>
        </w:numPr>
        <w:tabs>
          <w:tab w:val="left" w:pos="1045"/>
        </w:tabs>
      </w:pPr>
      <w:r w:rsidRPr="00F63EAF">
        <w:rPr>
          <w:lang w:val="en-CA"/>
        </w:rPr>
        <w:t>Class 5 Fact Scenario 6, Johnstone v. CBSA</w:t>
      </w:r>
    </w:p>
    <w:p w14:paraId="3CE276D8" w14:textId="77777777" w:rsidR="00C578A2" w:rsidRDefault="00C578A2" w:rsidP="00C578A2">
      <w:pPr>
        <w:tabs>
          <w:tab w:val="left" w:pos="1045"/>
        </w:tabs>
      </w:pPr>
    </w:p>
    <w:p w14:paraId="56F611D0" w14:textId="77777777" w:rsidR="00C578A2" w:rsidRDefault="00C578A2" w:rsidP="00C578A2">
      <w:pPr>
        <w:tabs>
          <w:tab w:val="left" w:pos="1045"/>
        </w:tabs>
        <w:rPr>
          <w:b/>
          <w:u w:val="single"/>
        </w:rPr>
      </w:pPr>
      <w:r>
        <w:rPr>
          <w:b/>
          <w:u w:val="single"/>
        </w:rPr>
        <w:t>Undue Hardship</w:t>
      </w:r>
    </w:p>
    <w:p w14:paraId="39162E22" w14:textId="77777777" w:rsidR="00C578A2" w:rsidRPr="00F63EAF" w:rsidRDefault="00C578A2" w:rsidP="00C578A2">
      <w:pPr>
        <w:pStyle w:val="ListParagraph"/>
        <w:numPr>
          <w:ilvl w:val="0"/>
          <w:numId w:val="5"/>
        </w:numPr>
        <w:tabs>
          <w:tab w:val="left" w:pos="1045"/>
        </w:tabs>
      </w:pPr>
      <w:r w:rsidRPr="00F63EAF">
        <w:rPr>
          <w:lang w:val="en-CA"/>
        </w:rPr>
        <w:t xml:space="preserve">Some level of hardship for the employer is acceptable. (Ref. </w:t>
      </w:r>
      <w:r w:rsidRPr="00F63EAF">
        <w:rPr>
          <w:i/>
          <w:iCs/>
          <w:lang w:val="en-CA"/>
        </w:rPr>
        <w:t>Central Alberta Dairy Pool v. Alberta (Human Rights Commission)</w:t>
      </w:r>
    </w:p>
    <w:p w14:paraId="22F49277" w14:textId="77777777" w:rsidR="00C578A2" w:rsidRPr="00F63EAF" w:rsidRDefault="00C578A2" w:rsidP="00C578A2">
      <w:pPr>
        <w:pStyle w:val="ListParagraph"/>
        <w:numPr>
          <w:ilvl w:val="0"/>
          <w:numId w:val="5"/>
        </w:numPr>
        <w:tabs>
          <w:tab w:val="left" w:pos="1045"/>
        </w:tabs>
      </w:pPr>
      <w:r w:rsidRPr="00F63EAF">
        <w:rPr>
          <w:lang w:val="en-CA"/>
        </w:rPr>
        <w:t>Factors</w:t>
      </w:r>
    </w:p>
    <w:p w14:paraId="1BA396FB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Safety</w:t>
      </w:r>
    </w:p>
    <w:p w14:paraId="6DE3D40D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Infringement of collective agreement</w:t>
      </w:r>
    </w:p>
    <w:p w14:paraId="584AF1C1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Size of employer</w:t>
      </w:r>
    </w:p>
    <w:p w14:paraId="4E295CD8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Employee morale</w:t>
      </w:r>
      <w:bookmarkStart w:id="0" w:name="_GoBack"/>
      <w:bookmarkEnd w:id="0"/>
    </w:p>
    <w:p w14:paraId="23DB9B3E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Workforce and facilities flexibility</w:t>
      </w:r>
    </w:p>
    <w:p w14:paraId="3ADF6C05" w14:textId="77777777" w:rsidR="00C578A2" w:rsidRPr="00F63EAF" w:rsidRDefault="00C578A2" w:rsidP="00C578A2">
      <w:pPr>
        <w:pStyle w:val="ListParagraph"/>
        <w:numPr>
          <w:ilvl w:val="1"/>
          <w:numId w:val="5"/>
        </w:numPr>
        <w:tabs>
          <w:tab w:val="left" w:pos="1045"/>
        </w:tabs>
      </w:pPr>
      <w:r w:rsidRPr="00F63EAF">
        <w:rPr>
          <w:lang w:val="en-CA"/>
        </w:rPr>
        <w:t>Cost</w:t>
      </w:r>
    </w:p>
    <w:p w14:paraId="283FD522" w14:textId="77777777" w:rsidR="006108C5" w:rsidRDefault="006108C5"/>
    <w:sectPr w:rsidR="006108C5" w:rsidSect="000E25CD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3C37F9" w14:textId="77777777" w:rsidR="00205179" w:rsidRDefault="00205179" w:rsidP="00C402F2">
      <w:r>
        <w:separator/>
      </w:r>
    </w:p>
  </w:endnote>
  <w:endnote w:type="continuationSeparator" w:id="0">
    <w:p w14:paraId="58D7FB2D" w14:textId="77777777" w:rsidR="00205179" w:rsidRDefault="00205179" w:rsidP="00C4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A49BF" w14:textId="77777777" w:rsidR="00C402F2" w:rsidRDefault="00C402F2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AE6FF8" w14:textId="77777777" w:rsidR="00C402F2" w:rsidRDefault="00C402F2" w:rsidP="00C402F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18296" w14:textId="77777777" w:rsidR="00C402F2" w:rsidRDefault="00C402F2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5179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0974C5" w14:textId="77777777" w:rsidR="00C402F2" w:rsidRDefault="00C402F2" w:rsidP="00C402F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358E0" w14:textId="77777777" w:rsidR="00205179" w:rsidRDefault="00205179" w:rsidP="00C402F2">
      <w:r>
        <w:separator/>
      </w:r>
    </w:p>
  </w:footnote>
  <w:footnote w:type="continuationSeparator" w:id="0">
    <w:p w14:paraId="5B7E8F80" w14:textId="77777777" w:rsidR="00205179" w:rsidRDefault="00205179" w:rsidP="00C40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96265"/>
    <w:multiLevelType w:val="hybridMultilevel"/>
    <w:tmpl w:val="250C8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5744A"/>
    <w:multiLevelType w:val="hybridMultilevel"/>
    <w:tmpl w:val="567A0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70630"/>
    <w:multiLevelType w:val="hybridMultilevel"/>
    <w:tmpl w:val="1B34F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943DB"/>
    <w:multiLevelType w:val="hybridMultilevel"/>
    <w:tmpl w:val="465A6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41FA1"/>
    <w:multiLevelType w:val="hybridMultilevel"/>
    <w:tmpl w:val="2B78E76E"/>
    <w:lvl w:ilvl="0" w:tplc="FE324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BC6F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5120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69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B4DD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7C4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A85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622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85B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8A2"/>
    <w:rsid w:val="000E25CD"/>
    <w:rsid w:val="00205179"/>
    <w:rsid w:val="004E4146"/>
    <w:rsid w:val="006108C5"/>
    <w:rsid w:val="0073793F"/>
    <w:rsid w:val="00982940"/>
    <w:rsid w:val="00C402F2"/>
    <w:rsid w:val="00C5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65F59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8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8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402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02F2"/>
  </w:style>
  <w:style w:type="character" w:styleId="PageNumber">
    <w:name w:val="page number"/>
    <w:basedOn w:val="DefaultParagraphFont"/>
    <w:uiPriority w:val="99"/>
    <w:semiHidden/>
    <w:unhideWhenUsed/>
    <w:rsid w:val="00C40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660</Words>
  <Characters>3768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Moslehi</dc:creator>
  <cp:keywords/>
  <dc:description/>
  <cp:lastModifiedBy>Nika Moslehi</cp:lastModifiedBy>
  <cp:revision>2</cp:revision>
  <dcterms:created xsi:type="dcterms:W3CDTF">2017-10-16T00:17:00Z</dcterms:created>
  <dcterms:modified xsi:type="dcterms:W3CDTF">2017-10-16T00:39:00Z</dcterms:modified>
</cp:coreProperties>
</file>