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E56E78" w14:textId="77777777" w:rsidR="001B58AC" w:rsidRPr="001B58AC" w:rsidRDefault="001B58AC" w:rsidP="001B58AC">
      <w:pPr>
        <w:jc w:val="center"/>
        <w:rPr>
          <w:b/>
          <w:u w:val="single"/>
          <w:lang w:val="en-CA"/>
        </w:rPr>
      </w:pPr>
      <w:bookmarkStart w:id="0" w:name="_GoBack"/>
      <w:bookmarkEnd w:id="0"/>
      <w:r w:rsidRPr="001B58AC">
        <w:rPr>
          <w:b/>
          <w:bCs/>
          <w:u w:val="single"/>
          <w:lang w:val="en-CA"/>
        </w:rPr>
        <w:t>CHAPTER 27 – PROHIBITED GROUNDS OF DISCRIMINATION</w:t>
      </w:r>
    </w:p>
    <w:p w14:paraId="6CCBB8D9" w14:textId="77777777" w:rsidR="001B58AC" w:rsidRDefault="001B58AC" w:rsidP="001B58AC">
      <w:pPr>
        <w:rPr>
          <w:b/>
          <w:lang w:val="en-CA"/>
        </w:rPr>
      </w:pPr>
      <w:r>
        <w:rPr>
          <w:b/>
          <w:lang w:val="en-CA"/>
        </w:rPr>
        <w:t>General Rule</w:t>
      </w:r>
    </w:p>
    <w:p w14:paraId="5E7F5311" w14:textId="77777777" w:rsidR="001B58AC" w:rsidRPr="008D72A9" w:rsidRDefault="001B58AC" w:rsidP="000F0449">
      <w:pPr>
        <w:pStyle w:val="ListParagraph"/>
        <w:numPr>
          <w:ilvl w:val="0"/>
          <w:numId w:val="9"/>
        </w:numPr>
      </w:pPr>
      <w:r w:rsidRPr="000F0449">
        <w:rPr>
          <w:lang w:val="en-CA"/>
        </w:rPr>
        <w:t>Canadian human rights codes require the employer to maintain a workplace that does not violate any of the prohibited grounds of discrimination and that is free from workplace and sexual harassment.</w:t>
      </w:r>
    </w:p>
    <w:p w14:paraId="55A2A54A" w14:textId="77777777" w:rsidR="000F0449" w:rsidRDefault="000F0449" w:rsidP="001B58AC">
      <w:pPr>
        <w:rPr>
          <w:b/>
          <w:lang w:val="en-CA"/>
        </w:rPr>
      </w:pPr>
    </w:p>
    <w:p w14:paraId="5BABFA39" w14:textId="77777777" w:rsidR="001B58AC" w:rsidRDefault="001B58AC" w:rsidP="001B58AC">
      <w:pPr>
        <w:rPr>
          <w:b/>
          <w:lang w:val="en-CA"/>
        </w:rPr>
      </w:pPr>
      <w:r>
        <w:rPr>
          <w:b/>
          <w:lang w:val="en-CA"/>
        </w:rPr>
        <w:t>What is Discrimination?</w:t>
      </w:r>
    </w:p>
    <w:p w14:paraId="6FAB3D96" w14:textId="77777777" w:rsidR="001B58AC" w:rsidRPr="008D72A9" w:rsidRDefault="001B58AC" w:rsidP="000F0449">
      <w:pPr>
        <w:pStyle w:val="ListParagraph"/>
        <w:numPr>
          <w:ilvl w:val="0"/>
          <w:numId w:val="9"/>
        </w:numPr>
      </w:pPr>
      <w:r w:rsidRPr="000F0449">
        <w:rPr>
          <w:lang w:val="en-CA"/>
        </w:rPr>
        <w:t xml:space="preserve">Discrimination is not defined in the </w:t>
      </w:r>
      <w:r w:rsidRPr="000F0449">
        <w:rPr>
          <w:i/>
          <w:iCs/>
          <w:lang w:val="en-CA"/>
        </w:rPr>
        <w:t>Code</w:t>
      </w:r>
      <w:r w:rsidRPr="000F0449">
        <w:rPr>
          <w:lang w:val="en-CA"/>
        </w:rPr>
        <w:t>.</w:t>
      </w:r>
    </w:p>
    <w:p w14:paraId="17669E61" w14:textId="77777777" w:rsidR="000F0449" w:rsidRPr="000F0449" w:rsidRDefault="001B58AC" w:rsidP="000F0449">
      <w:pPr>
        <w:pStyle w:val="ListParagraph"/>
        <w:numPr>
          <w:ilvl w:val="0"/>
          <w:numId w:val="9"/>
        </w:numPr>
      </w:pPr>
      <w:r w:rsidRPr="000F0449">
        <w:rPr>
          <w:lang w:val="en-CA"/>
        </w:rPr>
        <w:t>The meaning has expanded over time from intentional acts of discrimination to employer standards, requirements, policies or other qualifications that unintentionally result in discriminatory treatment of certain groups or individuals.</w:t>
      </w:r>
    </w:p>
    <w:p w14:paraId="56D69E84" w14:textId="77777777" w:rsidR="001B58AC" w:rsidRPr="008D72A9" w:rsidRDefault="001B58AC" w:rsidP="000F0449">
      <w:pPr>
        <w:pStyle w:val="ListParagraph"/>
        <w:numPr>
          <w:ilvl w:val="1"/>
          <w:numId w:val="9"/>
        </w:numPr>
      </w:pPr>
      <w:r w:rsidRPr="000F0449">
        <w:rPr>
          <w:lang w:val="en-CA"/>
        </w:rPr>
        <w:t xml:space="preserve">This is reflected in the concept of “constructive discrimination.” [S. 11 of the Ontario </w:t>
      </w:r>
      <w:r w:rsidRPr="000F0449">
        <w:rPr>
          <w:i/>
          <w:iCs/>
          <w:lang w:val="en-CA"/>
        </w:rPr>
        <w:t>Code</w:t>
      </w:r>
      <w:r w:rsidRPr="000F0449">
        <w:rPr>
          <w:lang w:val="en-CA"/>
        </w:rPr>
        <w:t>]</w:t>
      </w:r>
    </w:p>
    <w:p w14:paraId="028C1F66" w14:textId="77777777" w:rsidR="001B58AC" w:rsidRDefault="001B58AC" w:rsidP="001B58AC">
      <w:pPr>
        <w:rPr>
          <w:b/>
          <w:bCs/>
          <w:u w:val="single"/>
          <w:lang w:val="en-CA"/>
        </w:rPr>
      </w:pPr>
      <w:r>
        <w:rPr>
          <w:b/>
          <w:bCs/>
          <w:u w:val="single"/>
          <w:lang w:val="en-CA"/>
        </w:rPr>
        <w:t>Introduction</w:t>
      </w:r>
    </w:p>
    <w:p w14:paraId="549D3FAE" w14:textId="77777777" w:rsidR="001B58AC" w:rsidRPr="008D72A9" w:rsidRDefault="001B58AC" w:rsidP="001B58AC">
      <w:pPr>
        <w:pStyle w:val="ListParagraph"/>
        <w:numPr>
          <w:ilvl w:val="0"/>
          <w:numId w:val="3"/>
        </w:numPr>
      </w:pPr>
      <w:r w:rsidRPr="008D72A9">
        <w:rPr>
          <w:lang w:val="en-CA"/>
        </w:rPr>
        <w:t xml:space="preserve">The </w:t>
      </w:r>
      <w:r w:rsidRPr="008D72A9">
        <w:rPr>
          <w:i/>
          <w:iCs/>
          <w:lang w:val="en-CA"/>
        </w:rPr>
        <w:t>Code</w:t>
      </w:r>
      <w:r w:rsidRPr="008D72A9">
        <w:rPr>
          <w:lang w:val="en-CA"/>
        </w:rPr>
        <w:t xml:space="preserve"> prescribes the following prohibited grounds of discrimination in employment:</w:t>
      </w:r>
    </w:p>
    <w:p w14:paraId="2FA0D5D3" w14:textId="77777777" w:rsidR="001B58AC" w:rsidRPr="008D72A9" w:rsidRDefault="001B58AC" w:rsidP="001B58AC">
      <w:pPr>
        <w:pStyle w:val="ListParagraph"/>
        <w:numPr>
          <w:ilvl w:val="1"/>
          <w:numId w:val="3"/>
        </w:numPr>
      </w:pPr>
      <w:r w:rsidRPr="008D72A9">
        <w:rPr>
          <w:lang w:val="en-CA"/>
        </w:rPr>
        <w:t xml:space="preserve">S. 5. (1) Every person has a right to equal treatment with respect to employment without discrimination because of </w:t>
      </w:r>
      <w:r w:rsidRPr="008D72A9">
        <w:rPr>
          <w:i/>
          <w:iCs/>
          <w:lang w:val="en-CA"/>
        </w:rPr>
        <w:t>race, ancestry, place of origin, colour, ethnic origin, citizenship, creed, sex, sexual orientation, gender identity, gender expression, age, record of offences, marital status, family status or disability</w:t>
      </w:r>
      <w:r w:rsidRPr="008D72A9">
        <w:rPr>
          <w:lang w:val="en-CA"/>
        </w:rPr>
        <w:t>.</w:t>
      </w:r>
    </w:p>
    <w:p w14:paraId="4837C170" w14:textId="77777777" w:rsidR="001B58AC" w:rsidRPr="008D72A9" w:rsidRDefault="001B58AC" w:rsidP="001B58AC">
      <w:pPr>
        <w:pStyle w:val="ListParagraph"/>
        <w:numPr>
          <w:ilvl w:val="0"/>
          <w:numId w:val="3"/>
        </w:numPr>
      </w:pPr>
      <w:r w:rsidRPr="008D72A9">
        <w:rPr>
          <w:lang w:val="en-CA"/>
        </w:rPr>
        <w:t xml:space="preserve">These are personal or group characteristics that, </w:t>
      </w:r>
      <w:r w:rsidRPr="008D72A9">
        <w:rPr>
          <w:i/>
          <w:iCs/>
          <w:lang w:val="en-CA"/>
        </w:rPr>
        <w:t xml:space="preserve">prima facie </w:t>
      </w:r>
      <w:r w:rsidRPr="008D72A9">
        <w:rPr>
          <w:lang w:val="en-CA"/>
        </w:rPr>
        <w:t>(at first sight), cannot form the basis for treatment or decision-making in employment.</w:t>
      </w:r>
    </w:p>
    <w:p w14:paraId="1E04D1F6" w14:textId="77777777" w:rsidR="001B58AC" w:rsidRPr="001B58AC" w:rsidRDefault="001B58AC" w:rsidP="001B58AC">
      <w:pPr>
        <w:pStyle w:val="ListParagraph"/>
        <w:numPr>
          <w:ilvl w:val="0"/>
          <w:numId w:val="3"/>
        </w:numPr>
      </w:pPr>
      <w:r w:rsidRPr="008D72A9">
        <w:rPr>
          <w:lang w:val="en-CA"/>
        </w:rPr>
        <w:t xml:space="preserve">A sustainable claim of discrimination </w:t>
      </w:r>
      <w:r w:rsidRPr="008D72A9">
        <w:rPr>
          <w:i/>
          <w:iCs/>
          <w:lang w:val="en-CA"/>
        </w:rPr>
        <w:t xml:space="preserve">must </w:t>
      </w:r>
      <w:r w:rsidRPr="008D72A9">
        <w:rPr>
          <w:lang w:val="en-CA"/>
        </w:rPr>
        <w:t>fall within one of the prohibited grounds.</w:t>
      </w:r>
    </w:p>
    <w:p w14:paraId="39F78FE7" w14:textId="77777777" w:rsidR="001B58AC" w:rsidRPr="001B58AC" w:rsidRDefault="001B58AC" w:rsidP="001B58AC">
      <w:pPr>
        <w:pStyle w:val="ListParagraph"/>
        <w:numPr>
          <w:ilvl w:val="1"/>
          <w:numId w:val="3"/>
        </w:numPr>
      </w:pPr>
      <w:r>
        <w:rPr>
          <w:lang w:val="en-CA"/>
        </w:rPr>
        <w:t>Only discrimination based on prohibited grounds is regulated by human rights statutes; the prohibited grounds are the means by which governments distinguish between acceptable and unacceptable distinctions.</w:t>
      </w:r>
    </w:p>
    <w:p w14:paraId="695859F9" w14:textId="77777777" w:rsidR="001B58AC" w:rsidRPr="001B58AC" w:rsidRDefault="001B58AC" w:rsidP="001B58AC">
      <w:pPr>
        <w:pStyle w:val="ListParagraph"/>
        <w:numPr>
          <w:ilvl w:val="0"/>
          <w:numId w:val="3"/>
        </w:numPr>
      </w:pPr>
      <w:r>
        <w:rPr>
          <w:lang w:val="en-CA"/>
        </w:rPr>
        <w:t xml:space="preserve">The Charter removed some government discretion in determining prohibited grounds by requiring that human rights statutes include the </w:t>
      </w:r>
      <w:r>
        <w:rPr>
          <w:b/>
          <w:lang w:val="en-CA"/>
        </w:rPr>
        <w:t>enumerated grounds</w:t>
      </w:r>
      <w:r>
        <w:rPr>
          <w:lang w:val="en-CA"/>
        </w:rPr>
        <w:t>.</w:t>
      </w:r>
    </w:p>
    <w:p w14:paraId="7D80831D" w14:textId="77777777" w:rsidR="001B58AC" w:rsidRPr="001B58AC" w:rsidRDefault="001B58AC" w:rsidP="001B58AC">
      <w:pPr>
        <w:pStyle w:val="ListParagraph"/>
        <w:numPr>
          <w:ilvl w:val="1"/>
          <w:numId w:val="3"/>
        </w:numPr>
      </w:pPr>
      <w:r>
        <w:rPr>
          <w:b/>
        </w:rPr>
        <w:t xml:space="preserve">Enumerated grounds: </w:t>
      </w:r>
      <w:r>
        <w:t>the characteristics listed in equality legislation (including the Charter) upon which discrimination is prohibited such as sex, age, skin colour and religion.</w:t>
      </w:r>
    </w:p>
    <w:p w14:paraId="4632F1B0" w14:textId="77777777" w:rsidR="001B58AC" w:rsidRPr="008D72A9" w:rsidRDefault="001B58AC" w:rsidP="001B58AC">
      <w:pPr>
        <w:pStyle w:val="ListParagraph"/>
        <w:numPr>
          <w:ilvl w:val="1"/>
          <w:numId w:val="3"/>
        </w:numPr>
      </w:pPr>
      <w:r>
        <w:rPr>
          <w:lang w:val="en-CA"/>
        </w:rPr>
        <w:t xml:space="preserve">New </w:t>
      </w:r>
      <w:r w:rsidRPr="001B58AC">
        <w:rPr>
          <w:b/>
          <w:lang w:val="en-CA"/>
        </w:rPr>
        <w:t>analogous</w:t>
      </w:r>
      <w:r>
        <w:rPr>
          <w:lang w:val="en-CA"/>
        </w:rPr>
        <w:t xml:space="preserve"> </w:t>
      </w:r>
      <w:r w:rsidRPr="001B58AC">
        <w:rPr>
          <w:b/>
          <w:lang w:val="en-CA"/>
        </w:rPr>
        <w:t>grounds</w:t>
      </w:r>
      <w:r>
        <w:rPr>
          <w:lang w:val="en-CA"/>
        </w:rPr>
        <w:t>: prohibited grounds of discrimination in equality legislation that are not enumerated (listed) in the legislation, but which the</w:t>
      </w:r>
      <w:r w:rsidR="006F10D6">
        <w:rPr>
          <w:lang w:val="en-CA"/>
        </w:rPr>
        <w:t xml:space="preserve"> courts have read i</w:t>
      </w:r>
      <w:r>
        <w:rPr>
          <w:lang w:val="en-CA"/>
        </w:rPr>
        <w:t xml:space="preserve">nto the legislation because of their similarity to the enumerated grounds that are </w:t>
      </w:r>
      <w:r w:rsidR="006F10D6">
        <w:rPr>
          <w:lang w:val="en-CA"/>
        </w:rPr>
        <w:t>protected</w:t>
      </w:r>
      <w:r>
        <w:rPr>
          <w:lang w:val="en-CA"/>
        </w:rPr>
        <w:t xml:space="preserve"> (</w:t>
      </w:r>
      <w:r w:rsidR="006F10D6">
        <w:rPr>
          <w:lang w:val="en-CA"/>
        </w:rPr>
        <w:t>e.g., sexual orientation, marital status and citizenship)</w:t>
      </w:r>
    </w:p>
    <w:p w14:paraId="2B6EB40C" w14:textId="77777777" w:rsidR="001B58AC" w:rsidRPr="008D72A9" w:rsidRDefault="001B58AC" w:rsidP="001B58AC">
      <w:pPr>
        <w:pStyle w:val="ListParagraph"/>
        <w:numPr>
          <w:ilvl w:val="0"/>
          <w:numId w:val="3"/>
        </w:numPr>
      </w:pPr>
      <w:r w:rsidRPr="008D72A9">
        <w:rPr>
          <w:lang w:val="en-CA"/>
        </w:rPr>
        <w:t>Canadian human rights codes vary in their prohibited grounds of discrimination.</w:t>
      </w:r>
    </w:p>
    <w:p w14:paraId="50FDF24C" w14:textId="77777777" w:rsidR="001B58AC" w:rsidRDefault="001B58AC" w:rsidP="001B58AC">
      <w:pPr>
        <w:numPr>
          <w:ilvl w:val="0"/>
          <w:numId w:val="3"/>
        </w:numPr>
        <w:tabs>
          <w:tab w:val="left" w:pos="1185"/>
        </w:tabs>
      </w:pPr>
      <w:r w:rsidRPr="008D72A9">
        <w:rPr>
          <w:lang w:val="en-CA"/>
        </w:rPr>
        <w:t>Prohibitions against discrimination are founded solely in legislation</w:t>
      </w:r>
      <w:r w:rsidRPr="008D72A9">
        <w:rPr>
          <w:i/>
          <w:iCs/>
          <w:lang w:val="en-CA"/>
        </w:rPr>
        <w:t>.</w:t>
      </w:r>
    </w:p>
    <w:p w14:paraId="39452174" w14:textId="77777777" w:rsidR="001B58AC" w:rsidRDefault="001B58AC" w:rsidP="001B58AC">
      <w:pPr>
        <w:numPr>
          <w:ilvl w:val="1"/>
          <w:numId w:val="3"/>
        </w:numPr>
        <w:tabs>
          <w:tab w:val="left" w:pos="1185"/>
        </w:tabs>
      </w:pPr>
      <w:r w:rsidRPr="008D72A9">
        <w:rPr>
          <w:lang w:val="en-CA"/>
        </w:rPr>
        <w:t>They have no basis in the common law</w:t>
      </w:r>
      <w:r>
        <w:rPr>
          <w:lang w:val="en-CA"/>
        </w:rPr>
        <w:t>.</w:t>
      </w:r>
    </w:p>
    <w:p w14:paraId="2C2142CC" w14:textId="77777777" w:rsidR="001B58AC" w:rsidRDefault="001B58AC" w:rsidP="001B58AC">
      <w:pPr>
        <w:numPr>
          <w:ilvl w:val="0"/>
          <w:numId w:val="3"/>
        </w:numPr>
        <w:tabs>
          <w:tab w:val="left" w:pos="1185"/>
        </w:tabs>
      </w:pPr>
      <w:r w:rsidRPr="008D72A9">
        <w:rPr>
          <w:i/>
          <w:iCs/>
          <w:lang w:val="en-CA"/>
        </w:rPr>
        <w:t>Christie v. The York Corporation</w:t>
      </w:r>
      <w:r w:rsidRPr="008D72A9">
        <w:rPr>
          <w:lang w:val="en-CA"/>
        </w:rPr>
        <w:t>,</w:t>
      </w:r>
      <w:r w:rsidRPr="008D72A9">
        <w:rPr>
          <w:i/>
          <w:iCs/>
          <w:lang w:val="en-CA"/>
        </w:rPr>
        <w:t xml:space="preserve"> </w:t>
      </w:r>
      <w:r w:rsidRPr="008D72A9">
        <w:rPr>
          <w:lang w:val="en-CA"/>
        </w:rPr>
        <w:t>[1940] SCC</w:t>
      </w:r>
    </w:p>
    <w:p w14:paraId="130C55EB" w14:textId="77777777" w:rsidR="001B58AC" w:rsidRPr="008D72A9" w:rsidRDefault="001B58AC" w:rsidP="001B58AC">
      <w:pPr>
        <w:numPr>
          <w:ilvl w:val="0"/>
          <w:numId w:val="3"/>
        </w:numPr>
        <w:tabs>
          <w:tab w:val="left" w:pos="1185"/>
        </w:tabs>
      </w:pPr>
      <w:r w:rsidRPr="008D72A9">
        <w:rPr>
          <w:lang w:val="en-CA"/>
        </w:rPr>
        <w:t xml:space="preserve">The Supreme Court of Canada upheld the right of a Montreal tavern to refuse to serve “coloured persons,” concluding that, </w:t>
      </w:r>
      <w:r w:rsidRPr="008D72A9">
        <w:rPr>
          <w:i/>
          <w:iCs/>
          <w:lang w:val="en-CA"/>
        </w:rPr>
        <w:t>absent any statutory prohibition</w:t>
      </w:r>
      <w:r w:rsidRPr="008D72A9">
        <w:rPr>
          <w:lang w:val="en-CA"/>
        </w:rPr>
        <w:t>, the tavern was at liberty to deal with customers as it deemed appropriate, provided only that it was not contrary to “good morals or public order.”</w:t>
      </w:r>
    </w:p>
    <w:p w14:paraId="5B48C8A0" w14:textId="77777777" w:rsidR="001B58AC" w:rsidRPr="006F10D6" w:rsidRDefault="001B58AC" w:rsidP="001B58AC">
      <w:pPr>
        <w:numPr>
          <w:ilvl w:val="0"/>
          <w:numId w:val="3"/>
        </w:numPr>
      </w:pPr>
      <w:r w:rsidRPr="008D72A9">
        <w:rPr>
          <w:lang w:val="en-CA"/>
        </w:rPr>
        <w:lastRenderedPageBreak/>
        <w:t>Canadian human rights codes vary in their prohibited grounds of discrimination.</w:t>
      </w:r>
    </w:p>
    <w:p w14:paraId="12457B11" w14:textId="77777777" w:rsidR="006F10D6" w:rsidRPr="008D72A9" w:rsidRDefault="006F10D6" w:rsidP="006F10D6">
      <w:pPr>
        <w:numPr>
          <w:ilvl w:val="1"/>
          <w:numId w:val="3"/>
        </w:numPr>
      </w:pPr>
      <w:r>
        <w:rPr>
          <w:lang w:val="en-CA"/>
        </w:rPr>
        <w:t>Often, human rights statutes do not define prohibited grounds, and so it falls to tribunals and the courts to develop the meaning of thouse grounds through case law.</w:t>
      </w:r>
    </w:p>
    <w:p w14:paraId="0E8F05F5" w14:textId="77777777" w:rsidR="001B58AC" w:rsidRPr="008D72A9" w:rsidRDefault="001B58AC" w:rsidP="001B58AC">
      <w:pPr>
        <w:numPr>
          <w:ilvl w:val="1"/>
          <w:numId w:val="3"/>
        </w:numPr>
      </w:pPr>
      <w:r w:rsidRPr="008D72A9">
        <w:rPr>
          <w:lang w:val="en-CA"/>
        </w:rPr>
        <w:t>Ref. chart of prohibited grounds of discrimination (uploaded to D2L)</w:t>
      </w:r>
    </w:p>
    <w:p w14:paraId="1FE4461F" w14:textId="77777777" w:rsidR="000F0449" w:rsidRDefault="000F0449" w:rsidP="001B58AC">
      <w:pPr>
        <w:rPr>
          <w:b/>
          <w:lang w:val="en-CA"/>
        </w:rPr>
      </w:pPr>
    </w:p>
    <w:p w14:paraId="1362DCFF" w14:textId="77777777" w:rsidR="001B58AC" w:rsidRPr="008D72A9" w:rsidRDefault="001B58AC" w:rsidP="001B58AC">
      <w:pPr>
        <w:rPr>
          <w:b/>
          <w:lang w:val="en-CA"/>
        </w:rPr>
      </w:pPr>
      <w:r>
        <w:rPr>
          <w:b/>
          <w:lang w:val="en-CA"/>
        </w:rPr>
        <w:t>What Do You Think?</w:t>
      </w:r>
    </w:p>
    <w:p w14:paraId="52C4CBEC" w14:textId="77777777" w:rsidR="001B58AC" w:rsidRPr="000F0449" w:rsidRDefault="001B58AC" w:rsidP="001B58AC">
      <w:pPr>
        <w:rPr>
          <w:b/>
          <w:lang w:val="en-CA"/>
        </w:rPr>
      </w:pPr>
      <w:r w:rsidRPr="000F0449">
        <w:rPr>
          <w:b/>
          <w:lang w:val="en-CA"/>
        </w:rPr>
        <w:t>Class 5 Fact Scenario 1</w:t>
      </w:r>
    </w:p>
    <w:p w14:paraId="62CFF9CB" w14:textId="77777777" w:rsidR="000F0449" w:rsidRPr="000F0449" w:rsidRDefault="000F0449" w:rsidP="000F0449">
      <w:r w:rsidRPr="000F0449">
        <w:t>Ms. Ouimette was employed by Lily Cups. While still on probation, she was absent from work as a consequence of an asthmatic reaction to aspirin (one day), and the flu (two days). Upon her return to work, she was dismissed. She claimed discrimination on the grounds of disability.</w:t>
      </w:r>
    </w:p>
    <w:p w14:paraId="5FAED183" w14:textId="77777777" w:rsidR="000F0449" w:rsidRDefault="000F0449" w:rsidP="001B58AC">
      <w:r w:rsidRPr="000F0449">
        <w:t>Was Ms. Ouimette discriminated against in her employment under the Ontario Human Rights Code on the grounds of disability?</w:t>
      </w:r>
    </w:p>
    <w:p w14:paraId="50A87697" w14:textId="77777777" w:rsidR="000F0449" w:rsidRPr="000F0449" w:rsidRDefault="000F0449" w:rsidP="001B58AC"/>
    <w:p w14:paraId="69DA5D30" w14:textId="77777777" w:rsidR="001B58AC" w:rsidRDefault="001B58AC" w:rsidP="001B58AC">
      <w:pPr>
        <w:pStyle w:val="ListParagraph"/>
        <w:numPr>
          <w:ilvl w:val="0"/>
          <w:numId w:val="4"/>
        </w:numPr>
      </w:pPr>
      <w:r w:rsidRPr="008D72A9">
        <w:rPr>
          <w:i/>
          <w:iCs/>
        </w:rPr>
        <w:t>Ouimette v. Lily Cups Ltd.</w:t>
      </w:r>
      <w:r w:rsidRPr="008D72A9">
        <w:t>,</w:t>
      </w:r>
      <w:r w:rsidRPr="008D72A9">
        <w:rPr>
          <w:i/>
          <w:iCs/>
        </w:rPr>
        <w:t xml:space="preserve"> </w:t>
      </w:r>
      <w:r w:rsidRPr="008D72A9">
        <w:t xml:space="preserve">(1990) (Ont. Bd. Inq.) </w:t>
      </w:r>
    </w:p>
    <w:p w14:paraId="7935EE93" w14:textId="77777777" w:rsidR="001B58AC" w:rsidRPr="008D72A9" w:rsidRDefault="001B58AC" w:rsidP="001B58AC">
      <w:pPr>
        <w:pStyle w:val="ListParagraph"/>
        <w:numPr>
          <w:ilvl w:val="0"/>
          <w:numId w:val="4"/>
        </w:numPr>
      </w:pPr>
      <w:r w:rsidRPr="008D72A9">
        <w:rPr>
          <w:lang w:val="en-CA"/>
        </w:rPr>
        <w:t xml:space="preserve">The Ontario Board of Inquiry under the </w:t>
      </w:r>
      <w:r w:rsidRPr="008D72A9">
        <w:rPr>
          <w:i/>
          <w:iCs/>
          <w:lang w:val="en-CA"/>
        </w:rPr>
        <w:t xml:space="preserve">Humans Right Code </w:t>
      </w:r>
      <w:r w:rsidRPr="008D72A9">
        <w:rPr>
          <w:lang w:val="en-CA"/>
        </w:rPr>
        <w:t>denied Ms. Ouimette’s claim of discrimination.</w:t>
      </w:r>
    </w:p>
    <w:p w14:paraId="250E6C13" w14:textId="77777777" w:rsidR="001B58AC" w:rsidRDefault="001B58AC" w:rsidP="001B58AC">
      <w:pPr>
        <w:pStyle w:val="ListParagraph"/>
        <w:numPr>
          <w:ilvl w:val="0"/>
          <w:numId w:val="4"/>
        </w:numPr>
      </w:pPr>
      <w:r w:rsidRPr="008D72A9">
        <w:t xml:space="preserve">The board found that such infirmities </w:t>
      </w:r>
      <w:r w:rsidRPr="008D72A9">
        <w:rPr>
          <w:i/>
          <w:iCs/>
        </w:rPr>
        <w:t>did</w:t>
      </w:r>
      <w:r w:rsidRPr="008D72A9">
        <w:t xml:space="preserve"> </w:t>
      </w:r>
      <w:r w:rsidRPr="008D72A9">
        <w:rPr>
          <w:i/>
          <w:iCs/>
        </w:rPr>
        <w:t>not</w:t>
      </w:r>
      <w:r w:rsidRPr="008D72A9">
        <w:t xml:space="preserve"> qualify as a disability for the purposes of the </w:t>
      </w:r>
      <w:r w:rsidRPr="008D72A9">
        <w:rPr>
          <w:i/>
          <w:iCs/>
        </w:rPr>
        <w:t>Human Rights Code</w:t>
      </w:r>
      <w:r w:rsidRPr="008D72A9">
        <w:t>.</w:t>
      </w:r>
    </w:p>
    <w:p w14:paraId="3554D352" w14:textId="77777777" w:rsidR="001B58AC" w:rsidRDefault="001B58AC" w:rsidP="001B58AC">
      <w:pPr>
        <w:pStyle w:val="ListParagraph"/>
        <w:numPr>
          <w:ilvl w:val="0"/>
          <w:numId w:val="4"/>
        </w:numPr>
      </w:pPr>
      <w:r w:rsidRPr="008D72A9">
        <w:t>“These are temporary illnesses that most people experience from time to time and to extend to them the statutory definition of ‘disability’ would be to trivialize the purpose for which this prohibited ground of discrimination was included in the Code.”</w:t>
      </w:r>
    </w:p>
    <w:p w14:paraId="123BB008" w14:textId="77777777" w:rsidR="000F0449" w:rsidRDefault="000F0449" w:rsidP="001B58AC">
      <w:pPr>
        <w:rPr>
          <w:b/>
          <w:lang w:val="en-CA"/>
        </w:rPr>
      </w:pPr>
    </w:p>
    <w:p w14:paraId="16DCE213" w14:textId="77777777" w:rsidR="001B58AC" w:rsidRDefault="001B58AC" w:rsidP="001B58AC">
      <w:pPr>
        <w:rPr>
          <w:b/>
          <w:lang w:val="en-CA"/>
        </w:rPr>
      </w:pPr>
      <w:r w:rsidRPr="000F0449">
        <w:rPr>
          <w:b/>
          <w:lang w:val="en-CA"/>
        </w:rPr>
        <w:t>Class 5 Fact Scenario 2</w:t>
      </w:r>
    </w:p>
    <w:p w14:paraId="32D9AB1A" w14:textId="77777777" w:rsidR="000F0449" w:rsidRPr="000F0449" w:rsidRDefault="000F0449" w:rsidP="000F0449">
      <w:r w:rsidRPr="000F0449">
        <w:t>Mr. Stewart worked driving a loader in a mine operated by the Elk Valley Coal Corporation. The mine operations were dangerous and Mr. Stewart's position was highly safety-sensitive.</w:t>
      </w:r>
    </w:p>
    <w:p w14:paraId="6385C0C3" w14:textId="77777777" w:rsidR="000F0449" w:rsidRPr="000F0449" w:rsidRDefault="000F0449" w:rsidP="000F0449">
      <w:r w:rsidRPr="000F0449">
        <w:t>To address its heightened safety concerns in a dangerous workplace, the employer implemented a comprehensive drug and alcohol policy (the "Policy") that required employees to disclose any dependence or addiction issues before a drug-related incident occurred. Employees who voluntarily disclosed would be offered treatment. Those who did not disclose and tested positive for drugs after an incident would be terminated. All employees attended a training session to review the Policy and signed off indicating that they understood the Policy.</w:t>
      </w:r>
    </w:p>
    <w:p w14:paraId="1D40DB26" w14:textId="77777777" w:rsidR="000F0449" w:rsidRPr="000F0449" w:rsidRDefault="000F0449" w:rsidP="000F0449">
      <w:r w:rsidRPr="000F0449">
        <w:t>Mr. Stewart used cocaine on his days off and did not report his drug use to the employer. He was involved in an accident in the workplace and, pursuant to the Policy, was required to undergo a drug test. He tested positive for cocaine. In the meeting following the positive test, Mr. Stewart said he thought he might be addicted to cocaine.  Nine days later, his employment was terminated for breach of the Policy.</w:t>
      </w:r>
    </w:p>
    <w:p w14:paraId="5C240044" w14:textId="77777777" w:rsidR="000F0449" w:rsidRPr="000F0449" w:rsidRDefault="000F0449" w:rsidP="001B58AC">
      <w:r w:rsidRPr="000F0449">
        <w:t>Was Mr. Stewart discriminated against in the termination of his employment on the grounds of disability?</w:t>
      </w:r>
    </w:p>
    <w:p w14:paraId="6C2B2B22" w14:textId="77777777" w:rsidR="001B58AC" w:rsidRPr="008D72A9" w:rsidRDefault="001B58AC" w:rsidP="001B58AC">
      <w:pPr>
        <w:pStyle w:val="ListParagraph"/>
        <w:numPr>
          <w:ilvl w:val="0"/>
          <w:numId w:val="5"/>
        </w:numPr>
      </w:pPr>
      <w:r w:rsidRPr="008D72A9">
        <w:rPr>
          <w:i/>
          <w:iCs/>
          <w:lang w:val="en-CA"/>
        </w:rPr>
        <w:t>Stewart v. Elk Valley Coal Corp.</w:t>
      </w:r>
      <w:r w:rsidRPr="008D72A9">
        <w:rPr>
          <w:lang w:val="en-CA"/>
        </w:rPr>
        <w:t>,</w:t>
      </w:r>
      <w:r w:rsidRPr="008D72A9">
        <w:rPr>
          <w:i/>
          <w:iCs/>
          <w:lang w:val="en-CA"/>
        </w:rPr>
        <w:t xml:space="preserve"> </w:t>
      </w:r>
      <w:r w:rsidRPr="008D72A9">
        <w:rPr>
          <w:lang w:val="en-CA"/>
        </w:rPr>
        <w:t>2017 SCC</w:t>
      </w:r>
    </w:p>
    <w:p w14:paraId="4F22AFE9" w14:textId="77777777" w:rsidR="001B58AC" w:rsidRPr="008D72A9" w:rsidRDefault="001B58AC" w:rsidP="001B58AC">
      <w:pPr>
        <w:pStyle w:val="ListParagraph"/>
        <w:numPr>
          <w:ilvl w:val="0"/>
          <w:numId w:val="5"/>
        </w:numPr>
      </w:pPr>
      <w:r w:rsidRPr="008D72A9">
        <w:rPr>
          <w:lang w:val="en-CA"/>
        </w:rPr>
        <w:t xml:space="preserve">The majority of the court found that he was terminated for violation of the company policy by failing to disclose his drug use, and </w:t>
      </w:r>
      <w:r w:rsidRPr="008D72A9">
        <w:rPr>
          <w:i/>
          <w:iCs/>
          <w:lang w:val="en-CA"/>
        </w:rPr>
        <w:t>not</w:t>
      </w:r>
      <w:r w:rsidRPr="008D72A9">
        <w:rPr>
          <w:lang w:val="en-CA"/>
        </w:rPr>
        <w:t xml:space="preserve"> because of his disability (cocaine addiction). They found that he had the capacity to disclose his drug use and that he made rational choices to use drugs.</w:t>
      </w:r>
    </w:p>
    <w:p w14:paraId="00C36187" w14:textId="77777777" w:rsidR="001B58AC" w:rsidRPr="008D72A9" w:rsidRDefault="001B58AC" w:rsidP="001B58AC">
      <w:pPr>
        <w:pStyle w:val="ListParagraph"/>
        <w:numPr>
          <w:ilvl w:val="0"/>
          <w:numId w:val="5"/>
        </w:numPr>
      </w:pPr>
      <w:r w:rsidRPr="008D72A9">
        <w:rPr>
          <w:lang w:val="en-CA"/>
        </w:rPr>
        <w:t xml:space="preserve">The minority of the court concluded that the real cause of his termination was his addiction, and thus the test for </w:t>
      </w:r>
      <w:r w:rsidRPr="008D72A9">
        <w:rPr>
          <w:i/>
          <w:iCs/>
          <w:lang w:val="en-CA"/>
        </w:rPr>
        <w:t>prima facie</w:t>
      </w:r>
      <w:r w:rsidRPr="008D72A9">
        <w:rPr>
          <w:lang w:val="en-CA"/>
        </w:rPr>
        <w:t xml:space="preserve"> discrimination was met. While Mr. Stewart was not wholly incapacitated by his addiction, the fact that he had limited ability to make choices was relevant to his failure to disclose the addiction.</w:t>
      </w:r>
    </w:p>
    <w:p w14:paraId="62813063" w14:textId="77777777" w:rsidR="001B58AC" w:rsidRDefault="001B58AC" w:rsidP="001B58AC">
      <w:pPr>
        <w:rPr>
          <w:b/>
          <w:u w:val="single"/>
        </w:rPr>
      </w:pPr>
    </w:p>
    <w:p w14:paraId="112A3696" w14:textId="77777777" w:rsidR="001B58AC" w:rsidRDefault="001B58AC" w:rsidP="001B58AC">
      <w:pPr>
        <w:rPr>
          <w:b/>
          <w:u w:val="single"/>
        </w:rPr>
      </w:pPr>
      <w:r>
        <w:rPr>
          <w:b/>
          <w:u w:val="single"/>
        </w:rPr>
        <w:t>Prohibited Grounds</w:t>
      </w:r>
    </w:p>
    <w:p w14:paraId="1B7CD7A9" w14:textId="77777777" w:rsidR="001B58AC" w:rsidRPr="00E84615" w:rsidRDefault="001B58AC" w:rsidP="001B58AC">
      <w:pPr>
        <w:pStyle w:val="ListParagraph"/>
        <w:numPr>
          <w:ilvl w:val="0"/>
          <w:numId w:val="6"/>
        </w:numPr>
        <w:rPr>
          <w:b/>
        </w:rPr>
      </w:pPr>
      <w:r w:rsidRPr="00E84615">
        <w:rPr>
          <w:b/>
          <w:lang w:val="en-CA"/>
        </w:rPr>
        <w:t>Disability</w:t>
      </w:r>
    </w:p>
    <w:p w14:paraId="1F6A2698" w14:textId="77777777" w:rsidR="001B58AC" w:rsidRPr="008D72A9" w:rsidRDefault="001B58AC" w:rsidP="001B58AC">
      <w:pPr>
        <w:pStyle w:val="ListParagraph"/>
        <w:numPr>
          <w:ilvl w:val="1"/>
          <w:numId w:val="6"/>
        </w:numPr>
      </w:pPr>
      <w:r w:rsidRPr="008D72A9">
        <w:rPr>
          <w:lang w:val="en-CA"/>
        </w:rPr>
        <w:t>Mental and physical disabilities are included</w:t>
      </w:r>
      <w:r w:rsidR="006F10D6">
        <w:rPr>
          <w:lang w:val="en-CA"/>
        </w:rPr>
        <w:t xml:space="preserve"> (however, the definition of disability varies across jurisdiction)</w:t>
      </w:r>
      <w:r w:rsidRPr="008D72A9">
        <w:rPr>
          <w:lang w:val="en-CA"/>
        </w:rPr>
        <w:t>;</w:t>
      </w:r>
    </w:p>
    <w:p w14:paraId="46575189" w14:textId="77777777" w:rsidR="001B58AC" w:rsidRPr="008D72A9" w:rsidRDefault="001B58AC" w:rsidP="001B58AC">
      <w:pPr>
        <w:pStyle w:val="ListParagraph"/>
        <w:numPr>
          <w:ilvl w:val="1"/>
          <w:numId w:val="6"/>
        </w:numPr>
      </w:pPr>
      <w:r w:rsidRPr="008D72A9">
        <w:rPr>
          <w:lang w:val="en-CA"/>
        </w:rPr>
        <w:t>Drug and alcohol addictions qualify as disabilities;</w:t>
      </w:r>
    </w:p>
    <w:p w14:paraId="1EDFD714" w14:textId="77777777" w:rsidR="001B58AC" w:rsidRPr="006F10D6" w:rsidRDefault="001B58AC" w:rsidP="006F10D6">
      <w:pPr>
        <w:pStyle w:val="ListParagraph"/>
        <w:numPr>
          <w:ilvl w:val="1"/>
          <w:numId w:val="6"/>
        </w:numPr>
      </w:pPr>
      <w:r w:rsidRPr="008D72A9">
        <w:rPr>
          <w:lang w:val="en-CA"/>
        </w:rPr>
        <w:t>Not every ailment qualifies as a disability.</w:t>
      </w:r>
    </w:p>
    <w:p w14:paraId="0C4AD9BC" w14:textId="77777777" w:rsidR="006F10D6" w:rsidRPr="006F10D6" w:rsidRDefault="006F10D6" w:rsidP="001B58AC">
      <w:pPr>
        <w:pStyle w:val="ListParagraph"/>
        <w:numPr>
          <w:ilvl w:val="2"/>
          <w:numId w:val="6"/>
        </w:numPr>
      </w:pPr>
      <w:r>
        <w:rPr>
          <w:lang w:val="en-CA"/>
        </w:rPr>
        <w:t>A disability requires: “substantial ongoing limits on one’s activities” and does not include temporary or to-be-expected impairments of the type most people experience at one time or another (e.g., the flu, a simple cold, allergies sprained ankle etc.)</w:t>
      </w:r>
    </w:p>
    <w:p w14:paraId="2E8FAF01" w14:textId="77777777" w:rsidR="006F10D6" w:rsidRPr="008D72A9" w:rsidRDefault="006F10D6" w:rsidP="006F10D6">
      <w:pPr>
        <w:pStyle w:val="ListParagraph"/>
        <w:numPr>
          <w:ilvl w:val="1"/>
          <w:numId w:val="6"/>
        </w:numPr>
      </w:pPr>
      <w:r>
        <w:t>Even a worker who is not disabled can win a disability discrimination lawsuit provided that the employer treated the worker as if he or she were disabled.</w:t>
      </w:r>
    </w:p>
    <w:p w14:paraId="59398B8F" w14:textId="77777777" w:rsidR="001B58AC" w:rsidRPr="008D72A9" w:rsidRDefault="001B58AC" w:rsidP="001B58AC">
      <w:pPr>
        <w:pStyle w:val="ListParagraph"/>
        <w:numPr>
          <w:ilvl w:val="0"/>
          <w:numId w:val="6"/>
        </w:numPr>
      </w:pPr>
      <w:r w:rsidRPr="00E84615">
        <w:rPr>
          <w:b/>
          <w:lang w:val="en-GB"/>
        </w:rPr>
        <w:t>Sex</w:t>
      </w:r>
      <w:r w:rsidRPr="008D72A9">
        <w:rPr>
          <w:lang w:val="en-GB"/>
        </w:rPr>
        <w:t xml:space="preserve"> </w:t>
      </w:r>
    </w:p>
    <w:p w14:paraId="0FABD0C2" w14:textId="77777777" w:rsidR="006F10D6" w:rsidRPr="006F10D6" w:rsidRDefault="006F10D6" w:rsidP="001B58AC">
      <w:pPr>
        <w:pStyle w:val="ListParagraph"/>
        <w:numPr>
          <w:ilvl w:val="1"/>
          <w:numId w:val="6"/>
        </w:numPr>
      </w:pPr>
      <w:r>
        <w:t>Includes treating employees of one sex less favourable than the other (such as refusing employment or advancement based on sex), physical touching or other conduct or words of sexual nature. Also includes sexual solicitation, such as promises or threats in exchange for sexual favours.</w:t>
      </w:r>
    </w:p>
    <w:p w14:paraId="4D7453DB" w14:textId="77777777" w:rsidR="0018044F" w:rsidRPr="0018044F" w:rsidRDefault="0018044F" w:rsidP="001B58AC">
      <w:pPr>
        <w:pStyle w:val="ListParagraph"/>
        <w:numPr>
          <w:ilvl w:val="1"/>
          <w:numId w:val="6"/>
        </w:numPr>
      </w:pPr>
      <w:r>
        <w:rPr>
          <w:lang w:val="en-GB"/>
        </w:rPr>
        <w:t xml:space="preserve">Workplace practices can produce </w:t>
      </w:r>
      <w:r>
        <w:rPr>
          <w:b/>
          <w:lang w:val="en-GB"/>
        </w:rPr>
        <w:t>systemic discrimination</w:t>
      </w:r>
      <w:r>
        <w:rPr>
          <w:lang w:val="en-GB"/>
        </w:rPr>
        <w:t xml:space="preserve"> against women; they can produce an overall pattern of discrimination that perpetuates disadvantages for female workers.</w:t>
      </w:r>
    </w:p>
    <w:p w14:paraId="02C1C6F0" w14:textId="77777777" w:rsidR="0018044F" w:rsidRPr="008D72A9" w:rsidRDefault="0018044F" w:rsidP="0018044F">
      <w:pPr>
        <w:pStyle w:val="ListParagraph"/>
        <w:numPr>
          <w:ilvl w:val="2"/>
          <w:numId w:val="6"/>
        </w:numPr>
      </w:pPr>
      <w:r>
        <w:rPr>
          <w:b/>
        </w:rPr>
        <w:t>Systemic discrimination:</w:t>
      </w:r>
      <w:r>
        <w:t xml:space="preserve"> practices, behaviour, norms, or policies within an organization that may be unintentional and unobserved yet perpetuate disadvantages for certain individuals due to a personal attribute or characteristic (e.g., race, gender, age, disability, or religion)..</w:t>
      </w:r>
    </w:p>
    <w:p w14:paraId="5EF99883" w14:textId="77777777" w:rsidR="0018044F" w:rsidRPr="0018044F" w:rsidRDefault="0018044F" w:rsidP="0018044F">
      <w:pPr>
        <w:pStyle w:val="ListParagraph"/>
        <w:numPr>
          <w:ilvl w:val="1"/>
          <w:numId w:val="6"/>
        </w:numPr>
      </w:pPr>
      <w:r w:rsidRPr="008D72A9">
        <w:rPr>
          <w:lang w:val="en-GB"/>
        </w:rPr>
        <w:t xml:space="preserve">Not defined, but interpreted to include pregnancy </w:t>
      </w:r>
      <w:r w:rsidRPr="008D72A9">
        <w:rPr>
          <w:lang w:val="en-CA"/>
        </w:rPr>
        <w:t>[</w:t>
      </w:r>
      <w:r w:rsidRPr="008D72A9">
        <w:rPr>
          <w:lang w:val="en-GB"/>
        </w:rPr>
        <w:t>S. 10 (2)] and transgendered people;</w:t>
      </w:r>
      <w:r>
        <w:rPr>
          <w:lang w:val="en-GB"/>
        </w:rPr>
        <w:t xml:space="preserve"> </w:t>
      </w:r>
    </w:p>
    <w:p w14:paraId="285CC3B1" w14:textId="77777777" w:rsidR="001B58AC" w:rsidRPr="0018044F" w:rsidRDefault="001B58AC" w:rsidP="001B58AC">
      <w:pPr>
        <w:pStyle w:val="ListParagraph"/>
        <w:numPr>
          <w:ilvl w:val="1"/>
          <w:numId w:val="6"/>
        </w:numPr>
      </w:pPr>
      <w:r w:rsidRPr="008D72A9">
        <w:rPr>
          <w:lang w:val="en-GB"/>
        </w:rPr>
        <w:t xml:space="preserve">Also includes </w:t>
      </w:r>
      <w:r w:rsidRPr="0018044F">
        <w:rPr>
          <w:b/>
          <w:lang w:val="en-GB"/>
        </w:rPr>
        <w:t>sexual</w:t>
      </w:r>
      <w:r w:rsidRPr="008D72A9">
        <w:rPr>
          <w:lang w:val="en-GB"/>
        </w:rPr>
        <w:t xml:space="preserve"> </w:t>
      </w:r>
      <w:r w:rsidRPr="0018044F">
        <w:rPr>
          <w:b/>
          <w:lang w:val="en-GB"/>
        </w:rPr>
        <w:t>harassment</w:t>
      </w:r>
      <w:r w:rsidRPr="008D72A9">
        <w:rPr>
          <w:lang w:val="en-GB"/>
        </w:rPr>
        <w:t xml:space="preserve">. (Ref. </w:t>
      </w:r>
      <w:r w:rsidRPr="008D72A9">
        <w:rPr>
          <w:i/>
          <w:iCs/>
          <w:lang w:val="en-GB"/>
        </w:rPr>
        <w:t>Janzen v. Platy Enterprises Ltd</w:t>
      </w:r>
      <w:r w:rsidRPr="008D72A9">
        <w:rPr>
          <w:lang w:val="en-GB"/>
        </w:rPr>
        <w:t>., [1989] SCC)</w:t>
      </w:r>
    </w:p>
    <w:p w14:paraId="09CC2F93" w14:textId="77777777" w:rsidR="0018044F" w:rsidRPr="0018044F" w:rsidRDefault="0018044F" w:rsidP="0018044F">
      <w:pPr>
        <w:pStyle w:val="ListParagraph"/>
        <w:numPr>
          <w:ilvl w:val="2"/>
          <w:numId w:val="6"/>
        </w:numPr>
      </w:pPr>
      <w:r>
        <w:rPr>
          <w:b/>
          <w:lang w:val="en-GB"/>
        </w:rPr>
        <w:t xml:space="preserve">Sexual harassment: </w:t>
      </w:r>
      <w:r>
        <w:rPr>
          <w:lang w:val="en-GB"/>
        </w:rPr>
        <w:t>unwanted conduct of a sexual nature that detrimentally affects the work environment or leads to job-related consequences for the victim.</w:t>
      </w:r>
    </w:p>
    <w:p w14:paraId="7949DECF" w14:textId="77777777" w:rsidR="0018044F" w:rsidRDefault="0018044F" w:rsidP="0018044F">
      <w:pPr>
        <w:pStyle w:val="ListParagraph"/>
        <w:numPr>
          <w:ilvl w:val="3"/>
          <w:numId w:val="6"/>
        </w:numPr>
      </w:pPr>
      <w:r>
        <w:t xml:space="preserve">In deciding whether conduct is “unwanted” tribunals and courts apply an </w:t>
      </w:r>
      <w:r>
        <w:rPr>
          <w:b/>
        </w:rPr>
        <w:t>ob</w:t>
      </w:r>
      <w:r w:rsidRPr="0018044F">
        <w:rPr>
          <w:b/>
        </w:rPr>
        <w:t>jective</w:t>
      </w:r>
      <w:r>
        <w:t xml:space="preserve"> </w:t>
      </w:r>
      <w:r w:rsidRPr="0018044F">
        <w:rPr>
          <w:b/>
        </w:rPr>
        <w:t>test</w:t>
      </w:r>
      <w:r>
        <w:t>: a legal test used in interpretation of contracts and statutes that asks, what would a reasonable person of normal intelligence think, if told about the circumstances? (contrast with subjective test)</w:t>
      </w:r>
    </w:p>
    <w:p w14:paraId="21F5A52F" w14:textId="77777777" w:rsidR="000F0449" w:rsidRPr="008D72A9" w:rsidRDefault="000F0449" w:rsidP="000F0449">
      <w:pPr>
        <w:pStyle w:val="ListParagraph"/>
        <w:ind w:left="2880"/>
      </w:pPr>
    </w:p>
    <w:p w14:paraId="67CECAD2" w14:textId="77777777" w:rsidR="0018044F" w:rsidRPr="00E84615" w:rsidRDefault="00E84615" w:rsidP="001B58AC">
      <w:pPr>
        <w:pStyle w:val="ListParagraph"/>
        <w:numPr>
          <w:ilvl w:val="0"/>
          <w:numId w:val="6"/>
        </w:numPr>
      </w:pPr>
      <w:r>
        <w:rPr>
          <w:b/>
        </w:rPr>
        <w:t>Race, Colour, Ethnic Origin (or Place of Origin), Nationality, Ancestry</w:t>
      </w:r>
    </w:p>
    <w:p w14:paraId="0347D6D3" w14:textId="77777777" w:rsidR="00E84615" w:rsidRDefault="00E84615" w:rsidP="00E84615">
      <w:pPr>
        <w:pStyle w:val="ListParagraph"/>
        <w:numPr>
          <w:ilvl w:val="1"/>
          <w:numId w:val="6"/>
        </w:numPr>
      </w:pPr>
      <w:r>
        <w:t xml:space="preserve">Prohibited grounds are distinct – discrimination may be based on just one, or some, but not all of them at once. </w:t>
      </w:r>
    </w:p>
    <w:p w14:paraId="76090BC7" w14:textId="77777777" w:rsidR="001B58AC" w:rsidRPr="008D72A9" w:rsidRDefault="001B58AC" w:rsidP="001B58AC">
      <w:pPr>
        <w:pStyle w:val="ListParagraph"/>
        <w:numPr>
          <w:ilvl w:val="0"/>
          <w:numId w:val="6"/>
        </w:numPr>
      </w:pPr>
      <w:r w:rsidRPr="00E84615">
        <w:rPr>
          <w:b/>
          <w:lang w:val="en-GB"/>
        </w:rPr>
        <w:t>Citizenship</w:t>
      </w:r>
      <w:r w:rsidRPr="008D72A9">
        <w:rPr>
          <w:lang w:val="en-GB"/>
        </w:rPr>
        <w:t xml:space="preserve"> </w:t>
      </w:r>
    </w:p>
    <w:p w14:paraId="5415DB2A" w14:textId="77777777" w:rsidR="001B58AC" w:rsidRPr="00E84615" w:rsidRDefault="001B58AC" w:rsidP="001B58AC">
      <w:pPr>
        <w:pStyle w:val="ListParagraph"/>
        <w:numPr>
          <w:ilvl w:val="0"/>
          <w:numId w:val="6"/>
        </w:numPr>
        <w:rPr>
          <w:b/>
        </w:rPr>
      </w:pPr>
      <w:r w:rsidRPr="00E84615">
        <w:rPr>
          <w:b/>
          <w:lang w:val="en-GB"/>
        </w:rPr>
        <w:t>Creed</w:t>
      </w:r>
      <w:r w:rsidRPr="008D72A9">
        <w:rPr>
          <w:lang w:val="en-GB"/>
        </w:rPr>
        <w:t xml:space="preserve"> </w:t>
      </w:r>
      <w:r w:rsidR="000F0449" w:rsidRPr="000F0449">
        <w:rPr>
          <w:b/>
          <w:lang w:val="en-GB"/>
        </w:rPr>
        <w:t>(</w:t>
      </w:r>
      <w:r w:rsidR="00E84615" w:rsidRPr="00E84615">
        <w:rPr>
          <w:b/>
          <w:lang w:val="en-GB"/>
        </w:rPr>
        <w:t>or Rel</w:t>
      </w:r>
      <w:r w:rsidR="00E84615">
        <w:rPr>
          <w:b/>
          <w:lang w:val="en-GB"/>
        </w:rPr>
        <w:t>i</w:t>
      </w:r>
      <w:r w:rsidR="00E84615" w:rsidRPr="00E84615">
        <w:rPr>
          <w:b/>
          <w:lang w:val="en-GB"/>
        </w:rPr>
        <w:t>gion</w:t>
      </w:r>
      <w:r w:rsidR="000F0449">
        <w:rPr>
          <w:b/>
          <w:lang w:val="en-GB"/>
        </w:rPr>
        <w:t>)</w:t>
      </w:r>
    </w:p>
    <w:p w14:paraId="6585AD34" w14:textId="77777777" w:rsidR="00E84615" w:rsidRDefault="00E84615" w:rsidP="001B58AC">
      <w:pPr>
        <w:pStyle w:val="ListParagraph"/>
        <w:numPr>
          <w:ilvl w:val="1"/>
          <w:numId w:val="6"/>
        </w:numPr>
      </w:pPr>
      <w:r>
        <w:t>Includes distinctions because a person may adhere to the doctrine of one of the major recognized religions, believe in a newer spiritual belief system, or believe in the absence of all spiritual deities (atheism).</w:t>
      </w:r>
    </w:p>
    <w:p w14:paraId="545280A7" w14:textId="77777777" w:rsidR="00E84615" w:rsidRPr="00E84615" w:rsidRDefault="00E84615" w:rsidP="00E84615">
      <w:pPr>
        <w:pStyle w:val="ListParagraph"/>
        <w:numPr>
          <w:ilvl w:val="1"/>
          <w:numId w:val="6"/>
        </w:numPr>
        <w:spacing w:before="240"/>
      </w:pPr>
      <w:r>
        <w:rPr>
          <w:b/>
        </w:rPr>
        <w:t>Sincerely held belief:</w:t>
      </w:r>
      <w:r>
        <w:t xml:space="preserve"> a legal test applied to determine whether a person has a religious belief that qualifies for protection against discrimination on the basis of religion or creed. The test is met if the person holds a sincere and deep belief that a practice (e.g., not working on Saturdays) has a relationship–or nexus</w:t>
      </w:r>
      <w:r>
        <w:softHyphen/>
        <w:t>–to religion.</w:t>
      </w:r>
    </w:p>
    <w:p w14:paraId="7C1E5B8F" w14:textId="77777777" w:rsidR="001B58AC" w:rsidRPr="008D72A9" w:rsidRDefault="001B58AC" w:rsidP="001B58AC">
      <w:pPr>
        <w:pStyle w:val="ListParagraph"/>
        <w:numPr>
          <w:ilvl w:val="1"/>
          <w:numId w:val="6"/>
        </w:numPr>
      </w:pPr>
      <w:r w:rsidRPr="008D72A9">
        <w:rPr>
          <w:lang w:val="en-GB"/>
        </w:rPr>
        <w:t>Includes religious belief, but not political belief.</w:t>
      </w:r>
    </w:p>
    <w:p w14:paraId="33AB756F" w14:textId="77777777" w:rsidR="001B58AC" w:rsidRPr="008D72A9" w:rsidRDefault="001B58AC" w:rsidP="001B58AC">
      <w:pPr>
        <w:pStyle w:val="ListParagraph"/>
        <w:numPr>
          <w:ilvl w:val="0"/>
          <w:numId w:val="6"/>
        </w:numPr>
      </w:pPr>
      <w:r w:rsidRPr="00E84615">
        <w:rPr>
          <w:b/>
          <w:lang w:val="en-GB"/>
        </w:rPr>
        <w:t>Sexual</w:t>
      </w:r>
      <w:r w:rsidRPr="008D72A9">
        <w:rPr>
          <w:lang w:val="en-GB"/>
        </w:rPr>
        <w:t xml:space="preserve"> </w:t>
      </w:r>
      <w:r w:rsidRPr="00E84615">
        <w:rPr>
          <w:b/>
          <w:lang w:val="en-GB"/>
        </w:rPr>
        <w:t>Orientation</w:t>
      </w:r>
      <w:r w:rsidRPr="008D72A9">
        <w:rPr>
          <w:lang w:val="en-GB"/>
        </w:rPr>
        <w:t xml:space="preserve"> </w:t>
      </w:r>
    </w:p>
    <w:p w14:paraId="53C50029" w14:textId="77777777" w:rsidR="001B58AC" w:rsidRPr="008D72A9" w:rsidRDefault="001B58AC" w:rsidP="001B58AC">
      <w:pPr>
        <w:pStyle w:val="ListParagraph"/>
        <w:numPr>
          <w:ilvl w:val="1"/>
          <w:numId w:val="6"/>
        </w:numPr>
      </w:pPr>
      <w:r w:rsidRPr="008D72A9">
        <w:rPr>
          <w:lang w:val="en-GB"/>
        </w:rPr>
        <w:t>Refers to gays, lesbians, bisexuals and heterosexuals.</w:t>
      </w:r>
    </w:p>
    <w:p w14:paraId="47A400C2" w14:textId="77777777" w:rsidR="001B58AC" w:rsidRPr="008D72A9" w:rsidRDefault="001B58AC" w:rsidP="001B58AC">
      <w:pPr>
        <w:pStyle w:val="ListParagraph"/>
        <w:numPr>
          <w:ilvl w:val="0"/>
          <w:numId w:val="6"/>
        </w:numPr>
      </w:pPr>
      <w:r w:rsidRPr="00E84615">
        <w:rPr>
          <w:b/>
          <w:lang w:val="en-GB"/>
        </w:rPr>
        <w:t>Age</w:t>
      </w:r>
      <w:r w:rsidRPr="008D72A9">
        <w:rPr>
          <w:lang w:val="en-GB"/>
        </w:rPr>
        <w:t xml:space="preserve"> </w:t>
      </w:r>
    </w:p>
    <w:p w14:paraId="79BDE079" w14:textId="77777777" w:rsidR="001B58AC" w:rsidRPr="008D72A9" w:rsidRDefault="001B58AC" w:rsidP="001B58AC">
      <w:pPr>
        <w:pStyle w:val="ListParagraph"/>
        <w:numPr>
          <w:ilvl w:val="1"/>
          <w:numId w:val="6"/>
        </w:numPr>
      </w:pPr>
      <w:r w:rsidRPr="008D72A9">
        <w:rPr>
          <w:lang w:val="en-GB"/>
        </w:rPr>
        <w:t>Effective December 12, 2006, age is defined as anyone age 18 and over (</w:t>
      </w:r>
      <w:r w:rsidR="00E84615">
        <w:rPr>
          <w:lang w:val="en-GB"/>
        </w:rPr>
        <w:t xml:space="preserve">no more </w:t>
      </w:r>
      <w:r w:rsidR="00E84615">
        <w:rPr>
          <w:b/>
          <w:lang w:val="en-GB"/>
        </w:rPr>
        <w:t xml:space="preserve">mandatory retirement </w:t>
      </w:r>
      <w:r w:rsidR="00E84615" w:rsidRPr="00E84615">
        <w:rPr>
          <w:lang w:val="en-GB"/>
        </w:rPr>
        <w:t xml:space="preserve">– </w:t>
      </w:r>
      <w:r w:rsidRPr="008D72A9">
        <w:rPr>
          <w:lang w:val="en-GB"/>
        </w:rPr>
        <w:t>the cap at age 64 was removed).</w:t>
      </w:r>
    </w:p>
    <w:p w14:paraId="04598589" w14:textId="77777777" w:rsidR="001B58AC" w:rsidRPr="008D72A9" w:rsidRDefault="001B58AC" w:rsidP="001B58AC">
      <w:pPr>
        <w:pStyle w:val="ListParagraph"/>
        <w:numPr>
          <w:ilvl w:val="0"/>
          <w:numId w:val="6"/>
        </w:numPr>
      </w:pPr>
      <w:r w:rsidRPr="00E84615">
        <w:rPr>
          <w:b/>
          <w:lang w:val="en-GB"/>
        </w:rPr>
        <w:t>Record</w:t>
      </w:r>
      <w:r w:rsidRPr="008D72A9">
        <w:rPr>
          <w:lang w:val="en-GB"/>
        </w:rPr>
        <w:t xml:space="preserve"> </w:t>
      </w:r>
      <w:r w:rsidRPr="00E84615">
        <w:rPr>
          <w:b/>
          <w:lang w:val="en-GB"/>
        </w:rPr>
        <w:t>of</w:t>
      </w:r>
      <w:r w:rsidRPr="008D72A9">
        <w:rPr>
          <w:lang w:val="en-GB"/>
        </w:rPr>
        <w:t xml:space="preserve"> </w:t>
      </w:r>
      <w:r w:rsidRPr="00E84615">
        <w:rPr>
          <w:b/>
          <w:lang w:val="en-GB"/>
        </w:rPr>
        <w:t>Offences</w:t>
      </w:r>
    </w:p>
    <w:p w14:paraId="79648ABE" w14:textId="77777777" w:rsidR="001B58AC" w:rsidRPr="000F0449" w:rsidRDefault="001B58AC" w:rsidP="001B58AC">
      <w:pPr>
        <w:pStyle w:val="ListParagraph"/>
        <w:numPr>
          <w:ilvl w:val="1"/>
          <w:numId w:val="6"/>
        </w:numPr>
      </w:pPr>
      <w:r w:rsidRPr="008D72A9">
        <w:rPr>
          <w:lang w:val="en-GB"/>
        </w:rPr>
        <w:t>Refers to a criminal offence for which a pardon has been granted. Also includes provincial offences.</w:t>
      </w:r>
    </w:p>
    <w:p w14:paraId="212BA126" w14:textId="77777777" w:rsidR="000F0449" w:rsidRPr="008D72A9" w:rsidRDefault="000F0449" w:rsidP="000F0449">
      <w:pPr>
        <w:pStyle w:val="ListParagraph"/>
        <w:numPr>
          <w:ilvl w:val="2"/>
          <w:numId w:val="6"/>
        </w:numPr>
      </w:pPr>
      <w:r>
        <w:rPr>
          <w:b/>
          <w:lang w:val="en-GB"/>
        </w:rPr>
        <w:t xml:space="preserve">Pardon: </w:t>
      </w:r>
      <w:r>
        <w:rPr>
          <w:lang w:val="en-GB"/>
        </w:rPr>
        <w:t>a legal order that removes a person’s record of a criminal conviction from their formal criminal convictions file. It may be granted by the federal government of Canada if that person has served his or her sentence and demonstrated good behaviour in society for a period of time. A pardon is now known as a “record suspension.”</w:t>
      </w:r>
    </w:p>
    <w:p w14:paraId="21D1E7AD" w14:textId="77777777" w:rsidR="001B58AC" w:rsidRPr="008D72A9" w:rsidRDefault="001B58AC" w:rsidP="001B58AC">
      <w:pPr>
        <w:pStyle w:val="ListParagraph"/>
        <w:numPr>
          <w:ilvl w:val="0"/>
          <w:numId w:val="6"/>
        </w:numPr>
      </w:pPr>
      <w:r w:rsidRPr="00E84615">
        <w:rPr>
          <w:b/>
          <w:lang w:val="en-GB"/>
        </w:rPr>
        <w:t>Marital</w:t>
      </w:r>
      <w:r w:rsidRPr="008D72A9">
        <w:rPr>
          <w:lang w:val="en-GB"/>
        </w:rPr>
        <w:t xml:space="preserve"> </w:t>
      </w:r>
      <w:r w:rsidRPr="00E84615">
        <w:rPr>
          <w:b/>
          <w:lang w:val="en-GB"/>
        </w:rPr>
        <w:t>Status</w:t>
      </w:r>
      <w:r w:rsidRPr="008D72A9">
        <w:rPr>
          <w:lang w:val="en-GB"/>
        </w:rPr>
        <w:t xml:space="preserve">  </w:t>
      </w:r>
    </w:p>
    <w:p w14:paraId="0CB1AC85" w14:textId="77777777" w:rsidR="001B58AC" w:rsidRPr="008D72A9" w:rsidRDefault="001B58AC" w:rsidP="001B58AC">
      <w:pPr>
        <w:pStyle w:val="ListParagraph"/>
        <w:numPr>
          <w:ilvl w:val="1"/>
          <w:numId w:val="6"/>
        </w:numPr>
      </w:pPr>
      <w:r w:rsidRPr="008D72A9">
        <w:rPr>
          <w:lang w:val="en-GB"/>
        </w:rPr>
        <w:t>Includes the status of being married, widowed, single, divorced, separated or living common law.</w:t>
      </w:r>
    </w:p>
    <w:p w14:paraId="17342789" w14:textId="77777777" w:rsidR="001B58AC" w:rsidRPr="008D72A9" w:rsidRDefault="001B58AC" w:rsidP="001B58AC">
      <w:pPr>
        <w:pStyle w:val="ListParagraph"/>
        <w:numPr>
          <w:ilvl w:val="0"/>
          <w:numId w:val="6"/>
        </w:numPr>
      </w:pPr>
      <w:r w:rsidRPr="00E84615">
        <w:rPr>
          <w:b/>
          <w:lang w:val="en-GB"/>
        </w:rPr>
        <w:t>Family</w:t>
      </w:r>
      <w:r w:rsidRPr="008D72A9">
        <w:rPr>
          <w:lang w:val="en-GB"/>
        </w:rPr>
        <w:t xml:space="preserve"> </w:t>
      </w:r>
      <w:r w:rsidRPr="00E84615">
        <w:rPr>
          <w:b/>
          <w:lang w:val="en-GB"/>
        </w:rPr>
        <w:t>Status</w:t>
      </w:r>
    </w:p>
    <w:p w14:paraId="46DD759B" w14:textId="77777777" w:rsidR="001B58AC" w:rsidRPr="000F0449" w:rsidRDefault="001B58AC" w:rsidP="001B58AC">
      <w:pPr>
        <w:pStyle w:val="ListParagraph"/>
        <w:numPr>
          <w:ilvl w:val="1"/>
          <w:numId w:val="6"/>
        </w:numPr>
      </w:pPr>
      <w:r w:rsidRPr="008D72A9">
        <w:rPr>
          <w:lang w:val="en-GB"/>
        </w:rPr>
        <w:t>Includes being in a parent and child relationship and the actual identity of family members.</w:t>
      </w:r>
    </w:p>
    <w:p w14:paraId="38F5960C" w14:textId="77777777" w:rsidR="000F0449" w:rsidRPr="008D72A9" w:rsidRDefault="000F0449" w:rsidP="001B58AC">
      <w:pPr>
        <w:pStyle w:val="ListParagraph"/>
        <w:numPr>
          <w:ilvl w:val="1"/>
          <w:numId w:val="6"/>
        </w:numPr>
      </w:pPr>
      <w:r>
        <w:rPr>
          <w:lang w:val="en-GB"/>
        </w:rPr>
        <w:t>Prohibits an employer from refusing employment to an applicant because the person is (or is not) a parent.</w:t>
      </w:r>
    </w:p>
    <w:p w14:paraId="408A22ED" w14:textId="77777777" w:rsidR="001B58AC" w:rsidRPr="008D72A9" w:rsidRDefault="000F0449" w:rsidP="001B58AC">
      <w:pPr>
        <w:pStyle w:val="ListParagraph"/>
        <w:numPr>
          <w:ilvl w:val="0"/>
          <w:numId w:val="6"/>
        </w:numPr>
      </w:pPr>
      <w:r>
        <w:rPr>
          <w:b/>
          <w:lang w:val="en-GB"/>
        </w:rPr>
        <w:t xml:space="preserve">Sexual Orientation, </w:t>
      </w:r>
      <w:r w:rsidR="001B58AC" w:rsidRPr="00E84615">
        <w:rPr>
          <w:b/>
          <w:lang w:val="en-GB"/>
        </w:rPr>
        <w:t>Gender</w:t>
      </w:r>
      <w:r w:rsidR="001B58AC" w:rsidRPr="008D72A9">
        <w:rPr>
          <w:lang w:val="en-GB"/>
        </w:rPr>
        <w:t xml:space="preserve"> </w:t>
      </w:r>
      <w:r w:rsidR="001B58AC" w:rsidRPr="00E84615">
        <w:rPr>
          <w:b/>
          <w:lang w:val="en-GB"/>
        </w:rPr>
        <w:t>Identity</w:t>
      </w:r>
      <w:r>
        <w:rPr>
          <w:b/>
          <w:lang w:val="en-GB"/>
        </w:rPr>
        <w:t>,</w:t>
      </w:r>
      <w:r w:rsidR="001B58AC" w:rsidRPr="008D72A9">
        <w:rPr>
          <w:lang w:val="en-GB"/>
        </w:rPr>
        <w:t xml:space="preserve"> </w:t>
      </w:r>
      <w:r w:rsidR="001B58AC" w:rsidRPr="00E84615">
        <w:rPr>
          <w:b/>
          <w:lang w:val="en-GB"/>
        </w:rPr>
        <w:t>and</w:t>
      </w:r>
      <w:r w:rsidR="001B58AC" w:rsidRPr="008D72A9">
        <w:rPr>
          <w:lang w:val="en-GB"/>
        </w:rPr>
        <w:t xml:space="preserve"> </w:t>
      </w:r>
      <w:r w:rsidR="001B58AC" w:rsidRPr="00E84615">
        <w:rPr>
          <w:b/>
          <w:lang w:val="en-GB"/>
        </w:rPr>
        <w:t>Gender</w:t>
      </w:r>
      <w:r w:rsidR="001B58AC" w:rsidRPr="008D72A9">
        <w:rPr>
          <w:lang w:val="en-GB"/>
        </w:rPr>
        <w:t xml:space="preserve"> </w:t>
      </w:r>
      <w:r w:rsidR="001B58AC" w:rsidRPr="00E84615">
        <w:rPr>
          <w:b/>
          <w:lang w:val="en-GB"/>
        </w:rPr>
        <w:t>Expression</w:t>
      </w:r>
    </w:p>
    <w:p w14:paraId="0E6AAC67" w14:textId="77777777" w:rsidR="000F0449" w:rsidRDefault="000F0449" w:rsidP="001B58AC">
      <w:pPr>
        <w:pStyle w:val="ListParagraph"/>
        <w:numPr>
          <w:ilvl w:val="1"/>
          <w:numId w:val="6"/>
        </w:numPr>
      </w:pPr>
      <w:r>
        <w:t>This prohibited ground captures blatant discrimination against someone because they are gat, lesbian, bisexual, or heterosexual, or perceived to be so.</w:t>
      </w:r>
    </w:p>
    <w:p w14:paraId="2D6497C7" w14:textId="77777777" w:rsidR="000F0449" w:rsidRPr="000F0449" w:rsidRDefault="000F0449" w:rsidP="001B58AC">
      <w:pPr>
        <w:pStyle w:val="ListParagraph"/>
        <w:numPr>
          <w:ilvl w:val="1"/>
          <w:numId w:val="6"/>
        </w:numPr>
      </w:pPr>
      <w:r>
        <w:t>Also protects against harassment in the form of derogatory comments derived from stereotypes of gay men, lesbians, and bisexuals, even of the target of the harassment is heterosexual.</w:t>
      </w:r>
    </w:p>
    <w:p w14:paraId="071F7527" w14:textId="77777777" w:rsidR="001B58AC" w:rsidRPr="000F0449" w:rsidRDefault="001B58AC" w:rsidP="001B58AC">
      <w:pPr>
        <w:pStyle w:val="ListParagraph"/>
        <w:numPr>
          <w:ilvl w:val="1"/>
          <w:numId w:val="6"/>
        </w:numPr>
      </w:pPr>
      <w:r w:rsidRPr="008D72A9">
        <w:rPr>
          <w:lang w:val="en-GB"/>
        </w:rPr>
        <w:t>Includes the ways individuals experience and express their gender and protects transgendered and transsexual workers from discrimination.</w:t>
      </w:r>
    </w:p>
    <w:p w14:paraId="5CDE140F" w14:textId="77777777" w:rsidR="001B58AC" w:rsidRDefault="001B58AC" w:rsidP="001B58AC">
      <w:pPr>
        <w:rPr>
          <w:b/>
          <w:u w:val="single"/>
        </w:rPr>
      </w:pPr>
      <w:r>
        <w:rPr>
          <w:b/>
          <w:u w:val="single"/>
        </w:rPr>
        <w:t>Harassment</w:t>
      </w:r>
    </w:p>
    <w:p w14:paraId="4EB47ACF" w14:textId="77777777" w:rsidR="001B58AC" w:rsidRPr="008D72A9" w:rsidRDefault="001B58AC" w:rsidP="001B58AC">
      <w:pPr>
        <w:pStyle w:val="ListParagraph"/>
        <w:numPr>
          <w:ilvl w:val="0"/>
          <w:numId w:val="7"/>
        </w:numPr>
      </w:pPr>
      <w:r w:rsidRPr="008D72A9">
        <w:rPr>
          <w:lang w:val="en-CA"/>
        </w:rPr>
        <w:t>Harassment describes a form of prohibited conduct and not a personal or group characteristic.</w:t>
      </w:r>
    </w:p>
    <w:p w14:paraId="7CD83E99" w14:textId="77777777" w:rsidR="001B58AC" w:rsidRPr="008D72A9" w:rsidRDefault="001B58AC" w:rsidP="001B58AC">
      <w:pPr>
        <w:pStyle w:val="ListParagraph"/>
        <w:numPr>
          <w:ilvl w:val="0"/>
          <w:numId w:val="7"/>
        </w:numPr>
      </w:pPr>
      <w:r w:rsidRPr="008D72A9">
        <w:rPr>
          <w:lang w:val="en-CA"/>
        </w:rPr>
        <w:t xml:space="preserve">The </w:t>
      </w:r>
      <w:r w:rsidRPr="008D72A9">
        <w:rPr>
          <w:i/>
          <w:iCs/>
          <w:lang w:val="en-CA"/>
        </w:rPr>
        <w:t>Cod</w:t>
      </w:r>
      <w:r w:rsidRPr="008D72A9">
        <w:rPr>
          <w:lang w:val="en-CA"/>
        </w:rPr>
        <w:t>e</w:t>
      </w:r>
    </w:p>
    <w:p w14:paraId="0EE666E6" w14:textId="77777777" w:rsidR="001B58AC" w:rsidRPr="008D72A9" w:rsidRDefault="001B58AC" w:rsidP="001B58AC">
      <w:pPr>
        <w:pStyle w:val="ListParagraph"/>
        <w:numPr>
          <w:ilvl w:val="1"/>
          <w:numId w:val="7"/>
        </w:numPr>
      </w:pPr>
      <w:r w:rsidRPr="008D72A9">
        <w:rPr>
          <w:lang w:val="en-CA"/>
        </w:rPr>
        <w:t>S. 5. (2) prohibits harassment in the workplace on any of the prohibited grounds of discrimination;</w:t>
      </w:r>
    </w:p>
    <w:p w14:paraId="38064E03" w14:textId="77777777" w:rsidR="001B58AC" w:rsidRPr="008D72A9" w:rsidRDefault="001B58AC" w:rsidP="001B58AC">
      <w:pPr>
        <w:pStyle w:val="ListParagraph"/>
        <w:numPr>
          <w:ilvl w:val="1"/>
          <w:numId w:val="7"/>
        </w:numPr>
      </w:pPr>
      <w:r w:rsidRPr="008D72A9">
        <w:rPr>
          <w:lang w:val="en-CA"/>
        </w:rPr>
        <w:t>S. 7. (2) and (3) prohibits sexual harassment and sexual solicitation in the workplace.</w:t>
      </w:r>
    </w:p>
    <w:p w14:paraId="64EB955D" w14:textId="77777777" w:rsidR="001B58AC" w:rsidRPr="008D72A9" w:rsidRDefault="001B58AC" w:rsidP="001B58AC">
      <w:pPr>
        <w:numPr>
          <w:ilvl w:val="0"/>
          <w:numId w:val="7"/>
        </w:numPr>
      </w:pPr>
      <w:r w:rsidRPr="008D72A9">
        <w:rPr>
          <w:lang w:val="en-CA"/>
        </w:rPr>
        <w:t>Harassment is defined as “engaging in a course of vexatious comment or conduct that is known or ought reasonably to be known to be unwelcome.”</w:t>
      </w:r>
    </w:p>
    <w:p w14:paraId="3CCE0D8B" w14:textId="77777777" w:rsidR="001B58AC" w:rsidRPr="008D72A9" w:rsidRDefault="001B58AC" w:rsidP="001B58AC">
      <w:pPr>
        <w:numPr>
          <w:ilvl w:val="1"/>
          <w:numId w:val="7"/>
        </w:numPr>
      </w:pPr>
      <w:r w:rsidRPr="008D72A9">
        <w:rPr>
          <w:lang w:val="en-CA"/>
        </w:rPr>
        <w:t>“Course of vexatious comment or conduct” suggests that more than a single incident typically is required;</w:t>
      </w:r>
    </w:p>
    <w:p w14:paraId="47EA5188" w14:textId="77777777" w:rsidR="001B58AC" w:rsidRPr="008D72A9" w:rsidRDefault="001B58AC" w:rsidP="001B58AC">
      <w:pPr>
        <w:numPr>
          <w:ilvl w:val="1"/>
          <w:numId w:val="7"/>
        </w:numPr>
      </w:pPr>
      <w:r w:rsidRPr="008D72A9">
        <w:rPr>
          <w:lang w:val="en-CA"/>
        </w:rPr>
        <w:t>If the comment or conduct is sufficiently egregious, there can be a finding of harassment from a single incident;</w:t>
      </w:r>
    </w:p>
    <w:p w14:paraId="0346A58D" w14:textId="77777777" w:rsidR="001B58AC" w:rsidRPr="008D72A9" w:rsidRDefault="001B58AC" w:rsidP="001B58AC">
      <w:pPr>
        <w:numPr>
          <w:ilvl w:val="1"/>
          <w:numId w:val="7"/>
        </w:numPr>
      </w:pPr>
      <w:r w:rsidRPr="008D72A9">
        <w:rPr>
          <w:lang w:val="en-CA"/>
        </w:rPr>
        <w:t>It is no defence to say that you were not aware that your comments or actions were unwelcome;</w:t>
      </w:r>
    </w:p>
    <w:p w14:paraId="4849CF37" w14:textId="77777777" w:rsidR="001B58AC" w:rsidRPr="008D72A9" w:rsidRDefault="001B58AC" w:rsidP="001B58AC">
      <w:pPr>
        <w:numPr>
          <w:ilvl w:val="1"/>
          <w:numId w:val="7"/>
        </w:numPr>
      </w:pPr>
      <w:r w:rsidRPr="008D72A9">
        <w:rPr>
          <w:lang w:val="en-CA"/>
        </w:rPr>
        <w:t>If you are put on notice by the recipient that the comments or actions are not welcome, that is sufficient.</w:t>
      </w:r>
    </w:p>
    <w:p w14:paraId="529F4547" w14:textId="77777777" w:rsidR="001B58AC" w:rsidRDefault="001B58AC" w:rsidP="001B58AC">
      <w:pPr>
        <w:rPr>
          <w:b/>
        </w:rPr>
      </w:pPr>
    </w:p>
    <w:p w14:paraId="43318C89" w14:textId="77777777" w:rsidR="001B58AC" w:rsidRPr="008D72A9" w:rsidRDefault="001B58AC" w:rsidP="001B58AC">
      <w:pPr>
        <w:rPr>
          <w:b/>
        </w:rPr>
      </w:pPr>
      <w:r>
        <w:rPr>
          <w:b/>
        </w:rPr>
        <w:t>What Do You Think?</w:t>
      </w:r>
    </w:p>
    <w:p w14:paraId="5EE93225" w14:textId="77777777" w:rsidR="001B58AC" w:rsidRPr="00747886" w:rsidRDefault="001B58AC" w:rsidP="00747886">
      <w:pPr>
        <w:rPr>
          <w:b/>
        </w:rPr>
      </w:pPr>
      <w:r w:rsidRPr="00747886">
        <w:rPr>
          <w:b/>
          <w:lang w:val="en-CA"/>
        </w:rPr>
        <w:t>Class 5 Fact Scenario 3</w:t>
      </w:r>
    </w:p>
    <w:p w14:paraId="33358F22" w14:textId="77777777" w:rsidR="00747886" w:rsidRPr="00747886" w:rsidRDefault="00747886" w:rsidP="00747886">
      <w:r w:rsidRPr="00747886">
        <w:t>Shawn Dupuis was employed by a cell phone company for over five years, most recently as a manager of the store. He was terminated for cause as a consequence of an allegation of sexual harassment. A female employee at his store complained to another manager that he had placed his hands on her shoulder in an inappropriate manner. The company investigated and obtained written statements from other staff members confirming other instances of such shoulder touching.</w:t>
      </w:r>
    </w:p>
    <w:p w14:paraId="28C0CF17" w14:textId="77777777" w:rsidR="00747886" w:rsidRPr="00747886" w:rsidRDefault="00747886" w:rsidP="00747886">
      <w:r w:rsidRPr="00747886">
        <w:t>Dupuis responded that the contact was not intended in a sexual manner. No one had ever told him that they were uncomfortable with his actions and no one had ever complained to him. The areas in which they worked were confined, and he would put a hand on a shoulder or on the waist to move an employee so that he could access the place where the employee was standing.</w:t>
      </w:r>
    </w:p>
    <w:p w14:paraId="07D560A1" w14:textId="77777777" w:rsidR="00747886" w:rsidRPr="00747886" w:rsidRDefault="00747886" w:rsidP="00747886">
      <w:r w:rsidRPr="00747886">
        <w:t>There had been no previous allegations of inappropriate conduct with female employees against Dupuis. Although the company did not have a written policy dealing with sexual harassment, Dupuis acknowledged that there had been general verbal warnings from management that inappropriate physical contact with employees would not be tolerated.</w:t>
      </w:r>
    </w:p>
    <w:p w14:paraId="1FE8A79A" w14:textId="77777777" w:rsidR="00747886" w:rsidRDefault="00747886" w:rsidP="00747886">
      <w:r w:rsidRPr="00747886">
        <w:t>Was Shawn Dupuis’s conduct sexual harassment?</w:t>
      </w:r>
    </w:p>
    <w:p w14:paraId="3B7291BE" w14:textId="77777777" w:rsidR="00747886" w:rsidRPr="00747886" w:rsidRDefault="00747886" w:rsidP="00747886"/>
    <w:p w14:paraId="354DF4D9" w14:textId="77777777" w:rsidR="001B58AC" w:rsidRPr="008D72A9" w:rsidRDefault="001B58AC" w:rsidP="001B58AC">
      <w:pPr>
        <w:numPr>
          <w:ilvl w:val="0"/>
          <w:numId w:val="8"/>
        </w:numPr>
      </w:pPr>
      <w:r w:rsidRPr="008D72A9">
        <w:rPr>
          <w:i/>
          <w:iCs/>
          <w:lang w:val="en-CA"/>
        </w:rPr>
        <w:t>Dupuis v. Edmonton Cellular Sales Ltd.</w:t>
      </w:r>
      <w:r w:rsidRPr="008D72A9">
        <w:rPr>
          <w:lang w:val="en-CA"/>
        </w:rPr>
        <w:t>,</w:t>
      </w:r>
      <w:r w:rsidRPr="008D72A9">
        <w:rPr>
          <w:i/>
          <w:iCs/>
          <w:lang w:val="en-CA"/>
        </w:rPr>
        <w:t xml:space="preserve"> </w:t>
      </w:r>
      <w:r w:rsidRPr="008D72A9">
        <w:rPr>
          <w:lang w:val="en-CA"/>
        </w:rPr>
        <w:t xml:space="preserve">2006 ABCA </w:t>
      </w:r>
    </w:p>
    <w:p w14:paraId="0AB705F9" w14:textId="77777777" w:rsidR="001B58AC" w:rsidRPr="008D72A9" w:rsidRDefault="001B58AC" w:rsidP="001B58AC">
      <w:pPr>
        <w:numPr>
          <w:ilvl w:val="0"/>
          <w:numId w:val="8"/>
        </w:numPr>
      </w:pPr>
      <w:r w:rsidRPr="008D72A9">
        <w:rPr>
          <w:lang w:val="en-CA"/>
        </w:rPr>
        <w:t>The trial judge found that the conduct was not sexual in nature and did not constitute sexual harassment.</w:t>
      </w:r>
    </w:p>
    <w:p w14:paraId="2A6CCC78" w14:textId="77777777" w:rsidR="001B58AC" w:rsidRPr="008D72A9" w:rsidRDefault="001B58AC" w:rsidP="001B58AC">
      <w:pPr>
        <w:numPr>
          <w:ilvl w:val="0"/>
          <w:numId w:val="8"/>
        </w:numPr>
      </w:pPr>
      <w:r w:rsidRPr="008D72A9">
        <w:rPr>
          <w:lang w:val="en-CA"/>
        </w:rPr>
        <w:t>He found that Dupuis did not realize the effect of this conduct on the employees, that a warning ought to have been given, but that the conduct did not warrant immediate dismissal.</w:t>
      </w:r>
    </w:p>
    <w:p w14:paraId="2AECD51D" w14:textId="77777777" w:rsidR="001B58AC" w:rsidRPr="008D72A9" w:rsidRDefault="001B58AC" w:rsidP="001B58AC">
      <w:pPr>
        <w:numPr>
          <w:ilvl w:val="0"/>
          <w:numId w:val="8"/>
        </w:numPr>
      </w:pPr>
      <w:r w:rsidRPr="008D72A9">
        <w:rPr>
          <w:lang w:val="en-CA"/>
        </w:rPr>
        <w:t xml:space="preserve">Alberta Court of Appeal </w:t>
      </w:r>
    </w:p>
    <w:p w14:paraId="5AB871E1" w14:textId="77777777" w:rsidR="001B58AC" w:rsidRPr="008D72A9" w:rsidRDefault="001B58AC" w:rsidP="001B58AC">
      <w:pPr>
        <w:numPr>
          <w:ilvl w:val="0"/>
          <w:numId w:val="8"/>
        </w:numPr>
      </w:pPr>
      <w:r w:rsidRPr="008D72A9">
        <w:rPr>
          <w:lang w:val="en-CA"/>
        </w:rPr>
        <w:t>Did the trial judge err in determining that the conduct in its totality was insufficiently serious to warrant immediate dismissal?</w:t>
      </w:r>
    </w:p>
    <w:p w14:paraId="70F5B55A" w14:textId="77777777" w:rsidR="001B58AC" w:rsidRPr="008D72A9" w:rsidRDefault="001B58AC" w:rsidP="001B58AC">
      <w:pPr>
        <w:numPr>
          <w:ilvl w:val="0"/>
          <w:numId w:val="8"/>
        </w:numPr>
      </w:pPr>
      <w:r w:rsidRPr="008D72A9">
        <w:rPr>
          <w:lang w:val="en-CA"/>
        </w:rPr>
        <w:t>The decision that the employee deserved a warning implies a recognition that the touching was culpable (i.e., punishable), but insufficiently serious to warrant immediate dismissal.</w:t>
      </w:r>
    </w:p>
    <w:p w14:paraId="1D3B3E20" w14:textId="77777777" w:rsidR="001B58AC" w:rsidRPr="008D72A9" w:rsidRDefault="001B58AC" w:rsidP="001B58AC">
      <w:pPr>
        <w:ind w:left="720"/>
      </w:pPr>
    </w:p>
    <w:p w14:paraId="04CB11FE" w14:textId="77777777" w:rsidR="001B58AC" w:rsidRPr="008D72A9" w:rsidRDefault="001B58AC" w:rsidP="001B58AC"/>
    <w:p w14:paraId="7D7DF1DF" w14:textId="77777777" w:rsidR="006108C5" w:rsidRDefault="006108C5"/>
    <w:sectPr w:rsidR="006108C5" w:rsidSect="000E25CD">
      <w:footerReference w:type="even"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F98CBB" w14:textId="77777777" w:rsidR="003336CC" w:rsidRDefault="003336CC" w:rsidP="00533A57">
      <w:r>
        <w:separator/>
      </w:r>
    </w:p>
  </w:endnote>
  <w:endnote w:type="continuationSeparator" w:id="0">
    <w:p w14:paraId="3A2B616E" w14:textId="77777777" w:rsidR="003336CC" w:rsidRDefault="003336CC" w:rsidP="00533A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37E797" w14:textId="77777777" w:rsidR="00533A57" w:rsidRDefault="00533A57" w:rsidP="00E66AB7">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9018AD5" w14:textId="77777777" w:rsidR="00533A57" w:rsidRDefault="00533A57" w:rsidP="00533A57">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8E10B6" w14:textId="77777777" w:rsidR="00533A57" w:rsidRDefault="00533A57" w:rsidP="00E66AB7">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336CC">
      <w:rPr>
        <w:rStyle w:val="PageNumber"/>
        <w:noProof/>
      </w:rPr>
      <w:t>1</w:t>
    </w:r>
    <w:r>
      <w:rPr>
        <w:rStyle w:val="PageNumber"/>
      </w:rPr>
      <w:fldChar w:fldCharType="end"/>
    </w:r>
  </w:p>
  <w:p w14:paraId="7C95814B" w14:textId="77777777" w:rsidR="00533A57" w:rsidRDefault="00533A57" w:rsidP="00533A57">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60C5FD" w14:textId="77777777" w:rsidR="003336CC" w:rsidRDefault="003336CC" w:rsidP="00533A57">
      <w:r>
        <w:separator/>
      </w:r>
    </w:p>
  </w:footnote>
  <w:footnote w:type="continuationSeparator" w:id="0">
    <w:p w14:paraId="202596D3" w14:textId="77777777" w:rsidR="003336CC" w:rsidRDefault="003336CC" w:rsidP="00533A57">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FF00DD"/>
    <w:multiLevelType w:val="hybridMultilevel"/>
    <w:tmpl w:val="7F9E5D1C"/>
    <w:lvl w:ilvl="0" w:tplc="5CA24C8A">
      <w:start w:val="1"/>
      <w:numFmt w:val="bullet"/>
      <w:lvlText w:val="•"/>
      <w:lvlJc w:val="left"/>
      <w:pPr>
        <w:tabs>
          <w:tab w:val="num" w:pos="720"/>
        </w:tabs>
        <w:ind w:left="720" w:hanging="360"/>
      </w:pPr>
      <w:rPr>
        <w:rFonts w:ascii="Arial" w:hAnsi="Arial" w:hint="default"/>
      </w:rPr>
    </w:lvl>
    <w:lvl w:ilvl="1" w:tplc="AE268C94">
      <w:numFmt w:val="bullet"/>
      <w:lvlText w:val=""/>
      <w:lvlJc w:val="left"/>
      <w:pPr>
        <w:tabs>
          <w:tab w:val="num" w:pos="1440"/>
        </w:tabs>
        <w:ind w:left="1440" w:hanging="360"/>
      </w:pPr>
      <w:rPr>
        <w:rFonts w:ascii="Wingdings" w:hAnsi="Wingdings" w:hint="default"/>
      </w:rPr>
    </w:lvl>
    <w:lvl w:ilvl="2" w:tplc="7578F28C" w:tentative="1">
      <w:start w:val="1"/>
      <w:numFmt w:val="bullet"/>
      <w:lvlText w:val="•"/>
      <w:lvlJc w:val="left"/>
      <w:pPr>
        <w:tabs>
          <w:tab w:val="num" w:pos="2160"/>
        </w:tabs>
        <w:ind w:left="2160" w:hanging="360"/>
      </w:pPr>
      <w:rPr>
        <w:rFonts w:ascii="Arial" w:hAnsi="Arial" w:hint="default"/>
      </w:rPr>
    </w:lvl>
    <w:lvl w:ilvl="3" w:tplc="71147B32" w:tentative="1">
      <w:start w:val="1"/>
      <w:numFmt w:val="bullet"/>
      <w:lvlText w:val="•"/>
      <w:lvlJc w:val="left"/>
      <w:pPr>
        <w:tabs>
          <w:tab w:val="num" w:pos="2880"/>
        </w:tabs>
        <w:ind w:left="2880" w:hanging="360"/>
      </w:pPr>
      <w:rPr>
        <w:rFonts w:ascii="Arial" w:hAnsi="Arial" w:hint="default"/>
      </w:rPr>
    </w:lvl>
    <w:lvl w:ilvl="4" w:tplc="D19AA96A" w:tentative="1">
      <w:start w:val="1"/>
      <w:numFmt w:val="bullet"/>
      <w:lvlText w:val="•"/>
      <w:lvlJc w:val="left"/>
      <w:pPr>
        <w:tabs>
          <w:tab w:val="num" w:pos="3600"/>
        </w:tabs>
        <w:ind w:left="3600" w:hanging="360"/>
      </w:pPr>
      <w:rPr>
        <w:rFonts w:ascii="Arial" w:hAnsi="Arial" w:hint="default"/>
      </w:rPr>
    </w:lvl>
    <w:lvl w:ilvl="5" w:tplc="B204F368" w:tentative="1">
      <w:start w:val="1"/>
      <w:numFmt w:val="bullet"/>
      <w:lvlText w:val="•"/>
      <w:lvlJc w:val="left"/>
      <w:pPr>
        <w:tabs>
          <w:tab w:val="num" w:pos="4320"/>
        </w:tabs>
        <w:ind w:left="4320" w:hanging="360"/>
      </w:pPr>
      <w:rPr>
        <w:rFonts w:ascii="Arial" w:hAnsi="Arial" w:hint="default"/>
      </w:rPr>
    </w:lvl>
    <w:lvl w:ilvl="6" w:tplc="877E8D8E" w:tentative="1">
      <w:start w:val="1"/>
      <w:numFmt w:val="bullet"/>
      <w:lvlText w:val="•"/>
      <w:lvlJc w:val="left"/>
      <w:pPr>
        <w:tabs>
          <w:tab w:val="num" w:pos="5040"/>
        </w:tabs>
        <w:ind w:left="5040" w:hanging="360"/>
      </w:pPr>
      <w:rPr>
        <w:rFonts w:ascii="Arial" w:hAnsi="Arial" w:hint="default"/>
      </w:rPr>
    </w:lvl>
    <w:lvl w:ilvl="7" w:tplc="20B4E394" w:tentative="1">
      <w:start w:val="1"/>
      <w:numFmt w:val="bullet"/>
      <w:lvlText w:val="•"/>
      <w:lvlJc w:val="left"/>
      <w:pPr>
        <w:tabs>
          <w:tab w:val="num" w:pos="5760"/>
        </w:tabs>
        <w:ind w:left="5760" w:hanging="360"/>
      </w:pPr>
      <w:rPr>
        <w:rFonts w:ascii="Arial" w:hAnsi="Arial" w:hint="default"/>
      </w:rPr>
    </w:lvl>
    <w:lvl w:ilvl="8" w:tplc="503445E0" w:tentative="1">
      <w:start w:val="1"/>
      <w:numFmt w:val="bullet"/>
      <w:lvlText w:val="•"/>
      <w:lvlJc w:val="left"/>
      <w:pPr>
        <w:tabs>
          <w:tab w:val="num" w:pos="6480"/>
        </w:tabs>
        <w:ind w:left="6480" w:hanging="360"/>
      </w:pPr>
      <w:rPr>
        <w:rFonts w:ascii="Arial" w:hAnsi="Arial" w:hint="default"/>
      </w:rPr>
    </w:lvl>
  </w:abstractNum>
  <w:abstractNum w:abstractNumId="1">
    <w:nsid w:val="10DF737F"/>
    <w:multiLevelType w:val="hybridMultilevel"/>
    <w:tmpl w:val="449C8B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5800D7F"/>
    <w:multiLevelType w:val="hybridMultilevel"/>
    <w:tmpl w:val="CBE6EC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A6426B1"/>
    <w:multiLevelType w:val="hybridMultilevel"/>
    <w:tmpl w:val="8FA669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A881B2D"/>
    <w:multiLevelType w:val="hybridMultilevel"/>
    <w:tmpl w:val="6340EA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D1A6F90"/>
    <w:multiLevelType w:val="hybridMultilevel"/>
    <w:tmpl w:val="89B2DB56"/>
    <w:lvl w:ilvl="0" w:tplc="F608191A">
      <w:start w:val="1"/>
      <w:numFmt w:val="bullet"/>
      <w:lvlText w:val="•"/>
      <w:lvlJc w:val="left"/>
      <w:pPr>
        <w:tabs>
          <w:tab w:val="num" w:pos="720"/>
        </w:tabs>
        <w:ind w:left="720" w:hanging="360"/>
      </w:pPr>
      <w:rPr>
        <w:rFonts w:ascii="Arial" w:hAnsi="Arial" w:hint="default"/>
      </w:rPr>
    </w:lvl>
    <w:lvl w:ilvl="1" w:tplc="5E22B408" w:tentative="1">
      <w:start w:val="1"/>
      <w:numFmt w:val="bullet"/>
      <w:lvlText w:val="•"/>
      <w:lvlJc w:val="left"/>
      <w:pPr>
        <w:tabs>
          <w:tab w:val="num" w:pos="1440"/>
        </w:tabs>
        <w:ind w:left="1440" w:hanging="360"/>
      </w:pPr>
      <w:rPr>
        <w:rFonts w:ascii="Arial" w:hAnsi="Arial" w:hint="default"/>
      </w:rPr>
    </w:lvl>
    <w:lvl w:ilvl="2" w:tplc="40127552" w:tentative="1">
      <w:start w:val="1"/>
      <w:numFmt w:val="bullet"/>
      <w:lvlText w:val="•"/>
      <w:lvlJc w:val="left"/>
      <w:pPr>
        <w:tabs>
          <w:tab w:val="num" w:pos="2160"/>
        </w:tabs>
        <w:ind w:left="2160" w:hanging="360"/>
      </w:pPr>
      <w:rPr>
        <w:rFonts w:ascii="Arial" w:hAnsi="Arial" w:hint="default"/>
      </w:rPr>
    </w:lvl>
    <w:lvl w:ilvl="3" w:tplc="34F877C4" w:tentative="1">
      <w:start w:val="1"/>
      <w:numFmt w:val="bullet"/>
      <w:lvlText w:val="•"/>
      <w:lvlJc w:val="left"/>
      <w:pPr>
        <w:tabs>
          <w:tab w:val="num" w:pos="2880"/>
        </w:tabs>
        <w:ind w:left="2880" w:hanging="360"/>
      </w:pPr>
      <w:rPr>
        <w:rFonts w:ascii="Arial" w:hAnsi="Arial" w:hint="default"/>
      </w:rPr>
    </w:lvl>
    <w:lvl w:ilvl="4" w:tplc="1A90514C" w:tentative="1">
      <w:start w:val="1"/>
      <w:numFmt w:val="bullet"/>
      <w:lvlText w:val="•"/>
      <w:lvlJc w:val="left"/>
      <w:pPr>
        <w:tabs>
          <w:tab w:val="num" w:pos="3600"/>
        </w:tabs>
        <w:ind w:left="3600" w:hanging="360"/>
      </w:pPr>
      <w:rPr>
        <w:rFonts w:ascii="Arial" w:hAnsi="Arial" w:hint="default"/>
      </w:rPr>
    </w:lvl>
    <w:lvl w:ilvl="5" w:tplc="6B040678" w:tentative="1">
      <w:start w:val="1"/>
      <w:numFmt w:val="bullet"/>
      <w:lvlText w:val="•"/>
      <w:lvlJc w:val="left"/>
      <w:pPr>
        <w:tabs>
          <w:tab w:val="num" w:pos="4320"/>
        </w:tabs>
        <w:ind w:left="4320" w:hanging="360"/>
      </w:pPr>
      <w:rPr>
        <w:rFonts w:ascii="Arial" w:hAnsi="Arial" w:hint="default"/>
      </w:rPr>
    </w:lvl>
    <w:lvl w:ilvl="6" w:tplc="65EEDC24" w:tentative="1">
      <w:start w:val="1"/>
      <w:numFmt w:val="bullet"/>
      <w:lvlText w:val="•"/>
      <w:lvlJc w:val="left"/>
      <w:pPr>
        <w:tabs>
          <w:tab w:val="num" w:pos="5040"/>
        </w:tabs>
        <w:ind w:left="5040" w:hanging="360"/>
      </w:pPr>
      <w:rPr>
        <w:rFonts w:ascii="Arial" w:hAnsi="Arial" w:hint="default"/>
      </w:rPr>
    </w:lvl>
    <w:lvl w:ilvl="7" w:tplc="146613AE" w:tentative="1">
      <w:start w:val="1"/>
      <w:numFmt w:val="bullet"/>
      <w:lvlText w:val="•"/>
      <w:lvlJc w:val="left"/>
      <w:pPr>
        <w:tabs>
          <w:tab w:val="num" w:pos="5760"/>
        </w:tabs>
        <w:ind w:left="5760" w:hanging="360"/>
      </w:pPr>
      <w:rPr>
        <w:rFonts w:ascii="Arial" w:hAnsi="Arial" w:hint="default"/>
      </w:rPr>
    </w:lvl>
    <w:lvl w:ilvl="8" w:tplc="4A10B398" w:tentative="1">
      <w:start w:val="1"/>
      <w:numFmt w:val="bullet"/>
      <w:lvlText w:val="•"/>
      <w:lvlJc w:val="left"/>
      <w:pPr>
        <w:tabs>
          <w:tab w:val="num" w:pos="6480"/>
        </w:tabs>
        <w:ind w:left="6480" w:hanging="360"/>
      </w:pPr>
      <w:rPr>
        <w:rFonts w:ascii="Arial" w:hAnsi="Arial" w:hint="default"/>
      </w:rPr>
    </w:lvl>
  </w:abstractNum>
  <w:abstractNum w:abstractNumId="6">
    <w:nsid w:val="62C147CB"/>
    <w:multiLevelType w:val="hybridMultilevel"/>
    <w:tmpl w:val="039611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48316F3"/>
    <w:multiLevelType w:val="hybridMultilevel"/>
    <w:tmpl w:val="260C01E0"/>
    <w:lvl w:ilvl="0" w:tplc="33FA6B10">
      <w:start w:val="1"/>
      <w:numFmt w:val="bullet"/>
      <w:lvlText w:val="•"/>
      <w:lvlJc w:val="left"/>
      <w:pPr>
        <w:tabs>
          <w:tab w:val="num" w:pos="720"/>
        </w:tabs>
        <w:ind w:left="720" w:hanging="360"/>
      </w:pPr>
      <w:rPr>
        <w:rFonts w:ascii="Arial" w:hAnsi="Arial" w:hint="default"/>
      </w:rPr>
    </w:lvl>
    <w:lvl w:ilvl="1" w:tplc="A1188CF2" w:tentative="1">
      <w:start w:val="1"/>
      <w:numFmt w:val="bullet"/>
      <w:lvlText w:val="•"/>
      <w:lvlJc w:val="left"/>
      <w:pPr>
        <w:tabs>
          <w:tab w:val="num" w:pos="1440"/>
        </w:tabs>
        <w:ind w:left="1440" w:hanging="360"/>
      </w:pPr>
      <w:rPr>
        <w:rFonts w:ascii="Arial" w:hAnsi="Arial" w:hint="default"/>
      </w:rPr>
    </w:lvl>
    <w:lvl w:ilvl="2" w:tplc="91304ED2" w:tentative="1">
      <w:start w:val="1"/>
      <w:numFmt w:val="bullet"/>
      <w:lvlText w:val="•"/>
      <w:lvlJc w:val="left"/>
      <w:pPr>
        <w:tabs>
          <w:tab w:val="num" w:pos="2160"/>
        </w:tabs>
        <w:ind w:left="2160" w:hanging="360"/>
      </w:pPr>
      <w:rPr>
        <w:rFonts w:ascii="Arial" w:hAnsi="Arial" w:hint="default"/>
      </w:rPr>
    </w:lvl>
    <w:lvl w:ilvl="3" w:tplc="59CA14E4" w:tentative="1">
      <w:start w:val="1"/>
      <w:numFmt w:val="bullet"/>
      <w:lvlText w:val="•"/>
      <w:lvlJc w:val="left"/>
      <w:pPr>
        <w:tabs>
          <w:tab w:val="num" w:pos="2880"/>
        </w:tabs>
        <w:ind w:left="2880" w:hanging="360"/>
      </w:pPr>
      <w:rPr>
        <w:rFonts w:ascii="Arial" w:hAnsi="Arial" w:hint="default"/>
      </w:rPr>
    </w:lvl>
    <w:lvl w:ilvl="4" w:tplc="C8EC7E0C" w:tentative="1">
      <w:start w:val="1"/>
      <w:numFmt w:val="bullet"/>
      <w:lvlText w:val="•"/>
      <w:lvlJc w:val="left"/>
      <w:pPr>
        <w:tabs>
          <w:tab w:val="num" w:pos="3600"/>
        </w:tabs>
        <w:ind w:left="3600" w:hanging="360"/>
      </w:pPr>
      <w:rPr>
        <w:rFonts w:ascii="Arial" w:hAnsi="Arial" w:hint="default"/>
      </w:rPr>
    </w:lvl>
    <w:lvl w:ilvl="5" w:tplc="38B0334E" w:tentative="1">
      <w:start w:val="1"/>
      <w:numFmt w:val="bullet"/>
      <w:lvlText w:val="•"/>
      <w:lvlJc w:val="left"/>
      <w:pPr>
        <w:tabs>
          <w:tab w:val="num" w:pos="4320"/>
        </w:tabs>
        <w:ind w:left="4320" w:hanging="360"/>
      </w:pPr>
      <w:rPr>
        <w:rFonts w:ascii="Arial" w:hAnsi="Arial" w:hint="default"/>
      </w:rPr>
    </w:lvl>
    <w:lvl w:ilvl="6" w:tplc="B1185888" w:tentative="1">
      <w:start w:val="1"/>
      <w:numFmt w:val="bullet"/>
      <w:lvlText w:val="•"/>
      <w:lvlJc w:val="left"/>
      <w:pPr>
        <w:tabs>
          <w:tab w:val="num" w:pos="5040"/>
        </w:tabs>
        <w:ind w:left="5040" w:hanging="360"/>
      </w:pPr>
      <w:rPr>
        <w:rFonts w:ascii="Arial" w:hAnsi="Arial" w:hint="default"/>
      </w:rPr>
    </w:lvl>
    <w:lvl w:ilvl="7" w:tplc="BFA80EA2" w:tentative="1">
      <w:start w:val="1"/>
      <w:numFmt w:val="bullet"/>
      <w:lvlText w:val="•"/>
      <w:lvlJc w:val="left"/>
      <w:pPr>
        <w:tabs>
          <w:tab w:val="num" w:pos="5760"/>
        </w:tabs>
        <w:ind w:left="5760" w:hanging="360"/>
      </w:pPr>
      <w:rPr>
        <w:rFonts w:ascii="Arial" w:hAnsi="Arial" w:hint="default"/>
      </w:rPr>
    </w:lvl>
    <w:lvl w:ilvl="8" w:tplc="D9BCB6AA" w:tentative="1">
      <w:start w:val="1"/>
      <w:numFmt w:val="bullet"/>
      <w:lvlText w:val="•"/>
      <w:lvlJc w:val="left"/>
      <w:pPr>
        <w:tabs>
          <w:tab w:val="num" w:pos="6480"/>
        </w:tabs>
        <w:ind w:left="6480" w:hanging="360"/>
      </w:pPr>
      <w:rPr>
        <w:rFonts w:ascii="Arial" w:hAnsi="Arial" w:hint="default"/>
      </w:rPr>
    </w:lvl>
  </w:abstractNum>
  <w:abstractNum w:abstractNumId="8">
    <w:nsid w:val="785A6145"/>
    <w:multiLevelType w:val="hybridMultilevel"/>
    <w:tmpl w:val="A25E9C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6"/>
  </w:num>
  <w:num w:numId="4">
    <w:abstractNumId w:val="8"/>
  </w:num>
  <w:num w:numId="5">
    <w:abstractNumId w:val="1"/>
  </w:num>
  <w:num w:numId="6">
    <w:abstractNumId w:val="2"/>
  </w:num>
  <w:num w:numId="7">
    <w:abstractNumId w:val="4"/>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7"/>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58AC"/>
    <w:rsid w:val="000E25CD"/>
    <w:rsid w:val="000F0449"/>
    <w:rsid w:val="0018044F"/>
    <w:rsid w:val="001B58AC"/>
    <w:rsid w:val="003336CC"/>
    <w:rsid w:val="004E4146"/>
    <w:rsid w:val="00533A57"/>
    <w:rsid w:val="006108C5"/>
    <w:rsid w:val="006F10D6"/>
    <w:rsid w:val="00747886"/>
    <w:rsid w:val="00982940"/>
    <w:rsid w:val="00E846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62CFD3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58A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58AC"/>
    <w:pPr>
      <w:ind w:left="720"/>
      <w:contextualSpacing/>
    </w:pPr>
  </w:style>
  <w:style w:type="paragraph" w:styleId="Footer">
    <w:name w:val="footer"/>
    <w:basedOn w:val="Normal"/>
    <w:link w:val="FooterChar"/>
    <w:uiPriority w:val="99"/>
    <w:unhideWhenUsed/>
    <w:rsid w:val="00533A57"/>
    <w:pPr>
      <w:tabs>
        <w:tab w:val="center" w:pos="4680"/>
        <w:tab w:val="right" w:pos="9360"/>
      </w:tabs>
    </w:pPr>
  </w:style>
  <w:style w:type="character" w:customStyle="1" w:styleId="FooterChar">
    <w:name w:val="Footer Char"/>
    <w:basedOn w:val="DefaultParagraphFont"/>
    <w:link w:val="Footer"/>
    <w:uiPriority w:val="99"/>
    <w:rsid w:val="00533A57"/>
  </w:style>
  <w:style w:type="character" w:styleId="PageNumber">
    <w:name w:val="page number"/>
    <w:basedOn w:val="DefaultParagraphFont"/>
    <w:uiPriority w:val="99"/>
    <w:semiHidden/>
    <w:unhideWhenUsed/>
    <w:rsid w:val="00533A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989430">
      <w:bodyDiv w:val="1"/>
      <w:marLeft w:val="0"/>
      <w:marRight w:val="0"/>
      <w:marTop w:val="0"/>
      <w:marBottom w:val="0"/>
      <w:divBdr>
        <w:top w:val="none" w:sz="0" w:space="0" w:color="auto"/>
        <w:left w:val="none" w:sz="0" w:space="0" w:color="auto"/>
        <w:bottom w:val="none" w:sz="0" w:space="0" w:color="auto"/>
        <w:right w:val="none" w:sz="0" w:space="0" w:color="auto"/>
      </w:divBdr>
    </w:div>
    <w:div w:id="1369835817">
      <w:bodyDiv w:val="1"/>
      <w:marLeft w:val="0"/>
      <w:marRight w:val="0"/>
      <w:marTop w:val="0"/>
      <w:marBottom w:val="0"/>
      <w:divBdr>
        <w:top w:val="none" w:sz="0" w:space="0" w:color="auto"/>
        <w:left w:val="none" w:sz="0" w:space="0" w:color="auto"/>
        <w:bottom w:val="none" w:sz="0" w:space="0" w:color="auto"/>
        <w:right w:val="none" w:sz="0" w:space="0" w:color="auto"/>
      </w:divBdr>
    </w:div>
    <w:div w:id="1724670144">
      <w:bodyDiv w:val="1"/>
      <w:marLeft w:val="0"/>
      <w:marRight w:val="0"/>
      <w:marTop w:val="0"/>
      <w:marBottom w:val="0"/>
      <w:divBdr>
        <w:top w:val="none" w:sz="0" w:space="0" w:color="auto"/>
        <w:left w:val="none" w:sz="0" w:space="0" w:color="auto"/>
        <w:bottom w:val="none" w:sz="0" w:space="0" w:color="auto"/>
        <w:right w:val="none" w:sz="0" w:space="0" w:color="auto"/>
      </w:divBdr>
    </w:div>
    <w:div w:id="209022436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TotalTime>
  <Pages>6</Pages>
  <Words>1957</Words>
  <Characters>11155</Characters>
  <Application>Microsoft Macintosh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13086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Nika Moslehi</dc:creator>
  <cp:keywords/>
  <dc:description/>
  <cp:lastModifiedBy>Nika Moslehi</cp:lastModifiedBy>
  <cp:revision>2</cp:revision>
  <dcterms:created xsi:type="dcterms:W3CDTF">2017-10-15T17:09:00Z</dcterms:created>
  <dcterms:modified xsi:type="dcterms:W3CDTF">2017-10-15T20:15:00Z</dcterms:modified>
</cp:coreProperties>
</file>