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59826F" w14:textId="77777777" w:rsidR="003D0F3C" w:rsidRDefault="003D0F3C" w:rsidP="003D0F3C">
      <w:pPr>
        <w:tabs>
          <w:tab w:val="left" w:pos="5217"/>
        </w:tabs>
        <w:jc w:val="center"/>
        <w:rPr>
          <w:b/>
          <w:u w:val="single"/>
          <w:lang w:val="en-CA"/>
        </w:rPr>
      </w:pPr>
      <w:bookmarkStart w:id="0" w:name="_GoBack"/>
      <w:bookmarkEnd w:id="0"/>
      <w:r>
        <w:rPr>
          <w:b/>
          <w:u w:val="single"/>
          <w:lang w:val="en-CA"/>
        </w:rPr>
        <w:t>CHAPTER 25: MAPPING HUMAN RIGHTS AT WORK</w:t>
      </w:r>
    </w:p>
    <w:p w14:paraId="47EDB09E" w14:textId="77777777" w:rsidR="003D0F3C" w:rsidRDefault="003D0F3C" w:rsidP="003D0F3C">
      <w:pPr>
        <w:tabs>
          <w:tab w:val="left" w:pos="5217"/>
        </w:tabs>
        <w:rPr>
          <w:b/>
          <w:u w:val="single"/>
          <w:lang w:val="en-CA"/>
        </w:rPr>
      </w:pPr>
      <w:r w:rsidRPr="000B64FF">
        <w:rPr>
          <w:b/>
          <w:u w:val="single"/>
          <w:lang w:val="en-CA"/>
        </w:rPr>
        <w:t>Discrimination</w:t>
      </w:r>
    </w:p>
    <w:p w14:paraId="049D8481" w14:textId="77777777" w:rsidR="003D0F3C" w:rsidRDefault="003D0F3C" w:rsidP="003D0F3C">
      <w:pPr>
        <w:tabs>
          <w:tab w:val="left" w:pos="5217"/>
        </w:tabs>
        <w:rPr>
          <w:b/>
          <w:u w:val="single"/>
          <w:lang w:val="en-CA"/>
        </w:rPr>
      </w:pPr>
      <w:r w:rsidRPr="007B3BED">
        <w:rPr>
          <w:noProof/>
        </w:rPr>
        <w:drawing>
          <wp:anchor distT="0" distB="0" distL="114300" distR="114300" simplePos="0" relativeHeight="251659264" behindDoc="0" locked="0" layoutInCell="1" allowOverlap="1" wp14:anchorId="5C6CDAC6" wp14:editId="5711C8C7">
            <wp:simplePos x="0" y="0"/>
            <wp:positionH relativeFrom="column">
              <wp:posOffset>0</wp:posOffset>
            </wp:positionH>
            <wp:positionV relativeFrom="paragraph">
              <wp:posOffset>182880</wp:posOffset>
            </wp:positionV>
            <wp:extent cx="3366135" cy="1259840"/>
            <wp:effectExtent l="0" t="0" r="0" b="10160"/>
            <wp:wrapTight wrapText="bothSides">
              <wp:wrapPolygon edited="0">
                <wp:start x="3912" y="0"/>
                <wp:lineTo x="2445" y="4790"/>
                <wp:lineTo x="2445" y="6097"/>
                <wp:lineTo x="3912" y="7839"/>
                <wp:lineTo x="3586" y="13065"/>
                <wp:lineTo x="5868" y="14806"/>
                <wp:lineTo x="3749" y="15677"/>
                <wp:lineTo x="3749" y="18290"/>
                <wp:lineTo x="13854" y="21339"/>
                <wp:lineTo x="17766" y="21339"/>
                <wp:lineTo x="19070" y="17855"/>
                <wp:lineTo x="19396" y="16113"/>
                <wp:lineTo x="18744" y="14806"/>
                <wp:lineTo x="19070" y="9145"/>
                <wp:lineTo x="17114" y="7839"/>
                <wp:lineTo x="7823" y="7839"/>
                <wp:lineTo x="16951" y="5661"/>
                <wp:lineTo x="16951" y="3484"/>
                <wp:lineTo x="7823" y="0"/>
                <wp:lineTo x="3912"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14:paraId="29F0F9F1" w14:textId="77777777" w:rsidR="003D0F3C" w:rsidRPr="000B64FF" w:rsidRDefault="003D0F3C" w:rsidP="003D0F3C">
      <w:pPr>
        <w:rPr>
          <w:lang w:val="en-CA"/>
        </w:rPr>
      </w:pPr>
    </w:p>
    <w:p w14:paraId="1CB16B6B" w14:textId="77777777" w:rsidR="003D0F3C" w:rsidRPr="000B64FF" w:rsidRDefault="003D0F3C" w:rsidP="003D0F3C">
      <w:pPr>
        <w:rPr>
          <w:lang w:val="en-CA"/>
        </w:rPr>
      </w:pPr>
    </w:p>
    <w:p w14:paraId="5D72ABAE" w14:textId="77777777" w:rsidR="003D0F3C" w:rsidRPr="000B64FF" w:rsidRDefault="003D0F3C" w:rsidP="003D0F3C">
      <w:pPr>
        <w:rPr>
          <w:lang w:val="en-CA"/>
        </w:rPr>
      </w:pPr>
    </w:p>
    <w:p w14:paraId="13311AD0" w14:textId="77777777" w:rsidR="003D0F3C" w:rsidRPr="000B64FF" w:rsidRDefault="003D0F3C" w:rsidP="003D0F3C">
      <w:pPr>
        <w:rPr>
          <w:lang w:val="en-CA"/>
        </w:rPr>
      </w:pPr>
    </w:p>
    <w:p w14:paraId="5DDE66EA" w14:textId="77777777" w:rsidR="003D0F3C" w:rsidRPr="000B64FF" w:rsidRDefault="003D0F3C" w:rsidP="003D0F3C">
      <w:pPr>
        <w:rPr>
          <w:lang w:val="en-CA"/>
        </w:rPr>
      </w:pPr>
    </w:p>
    <w:p w14:paraId="381F188B" w14:textId="77777777" w:rsidR="003D0F3C" w:rsidRPr="000B64FF" w:rsidRDefault="003D0F3C" w:rsidP="003D0F3C">
      <w:pPr>
        <w:rPr>
          <w:lang w:val="en-CA"/>
        </w:rPr>
      </w:pPr>
    </w:p>
    <w:p w14:paraId="1BFD57CD" w14:textId="77777777" w:rsidR="003D0F3C" w:rsidRDefault="003D0F3C" w:rsidP="003D0F3C">
      <w:pPr>
        <w:tabs>
          <w:tab w:val="left" w:pos="3494"/>
        </w:tabs>
        <w:rPr>
          <w:lang w:val="en-CA"/>
        </w:rPr>
      </w:pPr>
    </w:p>
    <w:p w14:paraId="611E1C00" w14:textId="3CC54F46" w:rsidR="003D0F3C" w:rsidRPr="000B64FF" w:rsidRDefault="003D0F3C" w:rsidP="003D0F3C">
      <w:pPr>
        <w:tabs>
          <w:tab w:val="left" w:pos="3494"/>
        </w:tabs>
      </w:pPr>
      <w:r w:rsidRPr="000B64FF">
        <w:rPr>
          <w:lang w:val="en-CA"/>
        </w:rPr>
        <w:t>Job advertisement</w:t>
      </w:r>
      <w:r w:rsidR="000654FF">
        <w:rPr>
          <w:lang w:val="en-CA"/>
        </w:rPr>
        <w:t xml:space="preserve"> (in class example)</w:t>
      </w:r>
      <w:r w:rsidRPr="000B64FF">
        <w:rPr>
          <w:lang w:val="en-CA"/>
        </w:rPr>
        <w:t>:</w:t>
      </w:r>
    </w:p>
    <w:p w14:paraId="5B25259B" w14:textId="77777777" w:rsidR="003D0F3C" w:rsidRDefault="003D0F3C" w:rsidP="003D0F3C">
      <w:pPr>
        <w:tabs>
          <w:tab w:val="left" w:pos="3494"/>
        </w:tabs>
        <w:rPr>
          <w:lang w:val="en-CA"/>
        </w:rPr>
      </w:pPr>
      <w:r w:rsidRPr="000B64FF">
        <w:rPr>
          <w:lang w:val="en-CA"/>
        </w:rPr>
        <w:t>“This leading-edge information technology company requires two salesmen for its Southwestern Ontario operation. We are looking for experienced, enthusiastic applicants with a  track record of success. This is not a ‘9 to 5’ job! Frequent travel is required and an ability to work effectively with client senior management. Visible minorities need not apply.”</w:t>
      </w:r>
    </w:p>
    <w:p w14:paraId="3B20A3F2" w14:textId="77777777" w:rsidR="003D0F3C" w:rsidRPr="008F7AF9" w:rsidRDefault="003D0F3C" w:rsidP="003D0F3C">
      <w:pPr>
        <w:tabs>
          <w:tab w:val="left" w:pos="3494"/>
        </w:tabs>
        <w:rPr>
          <w:color w:val="FF0000"/>
          <w:lang w:val="en-CA"/>
        </w:rPr>
      </w:pPr>
      <w:r>
        <w:rPr>
          <w:color w:val="FF0000"/>
          <w:lang w:val="en-CA"/>
        </w:rPr>
        <w:t>Obvious</w:t>
      </w:r>
    </w:p>
    <w:p w14:paraId="6E3E3F52" w14:textId="77777777" w:rsidR="003D0F3C" w:rsidRDefault="003D0F3C" w:rsidP="003D0F3C">
      <w:pPr>
        <w:pStyle w:val="ListParagraph"/>
        <w:numPr>
          <w:ilvl w:val="0"/>
          <w:numId w:val="3"/>
        </w:numPr>
        <w:tabs>
          <w:tab w:val="left" w:pos="3494"/>
        </w:tabs>
        <w:rPr>
          <w:color w:val="FF0000"/>
        </w:rPr>
      </w:pPr>
      <w:r>
        <w:rPr>
          <w:color w:val="FF0000"/>
        </w:rPr>
        <w:t>Gender discrimination (sales</w:t>
      </w:r>
      <w:r>
        <w:rPr>
          <w:b/>
          <w:color w:val="FF0000"/>
        </w:rPr>
        <w:t>men</w:t>
      </w:r>
      <w:r w:rsidRPr="008F7AF9">
        <w:rPr>
          <w:color w:val="FF0000"/>
        </w:rPr>
        <w:t>)</w:t>
      </w:r>
    </w:p>
    <w:p w14:paraId="651026C5" w14:textId="77777777" w:rsidR="003D0F3C" w:rsidRDefault="003D0F3C" w:rsidP="003D0F3C">
      <w:pPr>
        <w:pStyle w:val="ListParagraph"/>
        <w:numPr>
          <w:ilvl w:val="0"/>
          <w:numId w:val="3"/>
        </w:numPr>
        <w:tabs>
          <w:tab w:val="left" w:pos="3494"/>
        </w:tabs>
        <w:rPr>
          <w:color w:val="FF0000"/>
        </w:rPr>
      </w:pPr>
      <w:r>
        <w:rPr>
          <w:color w:val="FF0000"/>
        </w:rPr>
        <w:t>Visible minorities</w:t>
      </w:r>
    </w:p>
    <w:p w14:paraId="37AC48AE" w14:textId="77777777" w:rsidR="003D0F3C" w:rsidRDefault="003D0F3C" w:rsidP="003D0F3C">
      <w:pPr>
        <w:tabs>
          <w:tab w:val="left" w:pos="3494"/>
        </w:tabs>
        <w:rPr>
          <w:color w:val="FF0000"/>
        </w:rPr>
      </w:pPr>
      <w:r>
        <w:rPr>
          <w:color w:val="FF0000"/>
        </w:rPr>
        <w:t>Less obvious</w:t>
      </w:r>
    </w:p>
    <w:p w14:paraId="676D1160" w14:textId="77777777" w:rsidR="003D0F3C" w:rsidRDefault="003D0F3C" w:rsidP="003D0F3C">
      <w:pPr>
        <w:tabs>
          <w:tab w:val="left" w:pos="3494"/>
        </w:tabs>
        <w:rPr>
          <w:color w:val="FF0000"/>
        </w:rPr>
      </w:pPr>
      <w:r>
        <w:rPr>
          <w:color w:val="FF0000"/>
        </w:rPr>
        <w:t xml:space="preserve">Track record of success? </w:t>
      </w:r>
    </w:p>
    <w:p w14:paraId="5E408BBB" w14:textId="77777777" w:rsidR="003D0F3C" w:rsidRDefault="003D0F3C" w:rsidP="003D0F3C">
      <w:pPr>
        <w:tabs>
          <w:tab w:val="left" w:pos="3494"/>
        </w:tabs>
        <w:rPr>
          <w:color w:val="FF0000"/>
        </w:rPr>
      </w:pPr>
      <w:r>
        <w:rPr>
          <w:color w:val="FF0000"/>
        </w:rPr>
        <w:t xml:space="preserve">9 to 5, frequent travel </w:t>
      </w:r>
      <w:r w:rsidRPr="008F7AF9">
        <w:rPr>
          <w:color w:val="FF0000"/>
        </w:rPr>
        <w:sym w:font="Wingdings" w:char="F0E0"/>
      </w:r>
      <w:r>
        <w:rPr>
          <w:color w:val="FF0000"/>
        </w:rPr>
        <w:t xml:space="preserve"> may not be suitable for mothers</w:t>
      </w:r>
    </w:p>
    <w:p w14:paraId="6D3D6870" w14:textId="77777777" w:rsidR="003D0F3C" w:rsidRPr="008F7AF9" w:rsidRDefault="003D0F3C" w:rsidP="003D0F3C">
      <w:pPr>
        <w:tabs>
          <w:tab w:val="left" w:pos="3494"/>
        </w:tabs>
        <w:rPr>
          <w:color w:val="FF0000"/>
        </w:rPr>
      </w:pPr>
      <w:r>
        <w:rPr>
          <w:color w:val="FF0000"/>
        </w:rPr>
        <w:t xml:space="preserve">ability to work with client senior management </w:t>
      </w:r>
      <w:r w:rsidRPr="008F7AF9">
        <w:rPr>
          <w:color w:val="FF0000"/>
        </w:rPr>
        <w:sym w:font="Wingdings" w:char="F0E0"/>
      </w:r>
      <w:r>
        <w:rPr>
          <w:color w:val="FF0000"/>
        </w:rPr>
        <w:t xml:space="preserve"> typically old men who prefer working with old men</w:t>
      </w:r>
    </w:p>
    <w:p w14:paraId="67DC72EB" w14:textId="77777777" w:rsidR="003D0F3C" w:rsidRDefault="003D0F3C" w:rsidP="003D0F3C">
      <w:pPr>
        <w:tabs>
          <w:tab w:val="left" w:pos="3494"/>
        </w:tabs>
        <w:rPr>
          <w:lang w:val="en-CA"/>
        </w:rPr>
      </w:pPr>
    </w:p>
    <w:p w14:paraId="0F31804F" w14:textId="77777777" w:rsidR="003D0F3C" w:rsidRPr="00AE1457" w:rsidRDefault="003D0F3C" w:rsidP="003D0F3C">
      <w:pPr>
        <w:tabs>
          <w:tab w:val="left" w:pos="3494"/>
        </w:tabs>
        <w:rPr>
          <w:b/>
          <w:u w:val="single"/>
          <w:lang w:val="en-CA"/>
        </w:rPr>
      </w:pPr>
      <w:r w:rsidRPr="00AE1457">
        <w:rPr>
          <w:b/>
          <w:u w:val="single"/>
          <w:lang w:val="en-CA"/>
        </w:rPr>
        <w:t>Introduction</w:t>
      </w:r>
    </w:p>
    <w:p w14:paraId="79140F7E" w14:textId="77777777" w:rsidR="003D0F3C" w:rsidRPr="000654FF" w:rsidRDefault="003D0F3C" w:rsidP="003D0F3C">
      <w:pPr>
        <w:pStyle w:val="ListParagraph"/>
        <w:numPr>
          <w:ilvl w:val="0"/>
          <w:numId w:val="1"/>
        </w:numPr>
        <w:tabs>
          <w:tab w:val="left" w:pos="3494"/>
        </w:tabs>
      </w:pPr>
      <w:r w:rsidRPr="00506DD5">
        <w:rPr>
          <w:lang w:val="en-CA"/>
        </w:rPr>
        <w:t>Prohibitions against discrimination are founded solely in legislation</w:t>
      </w:r>
      <w:r w:rsidRPr="00506DD5">
        <w:rPr>
          <w:i/>
          <w:iCs/>
          <w:lang w:val="en-CA"/>
        </w:rPr>
        <w:t>.</w:t>
      </w:r>
    </w:p>
    <w:p w14:paraId="787F070B" w14:textId="49A4EE3D" w:rsidR="000654FF" w:rsidRPr="00506DD5" w:rsidRDefault="000654FF" w:rsidP="000654FF">
      <w:pPr>
        <w:pStyle w:val="ListParagraph"/>
        <w:numPr>
          <w:ilvl w:val="1"/>
          <w:numId w:val="1"/>
        </w:numPr>
        <w:tabs>
          <w:tab w:val="left" w:pos="3494"/>
        </w:tabs>
      </w:pPr>
      <w:r>
        <w:rPr>
          <w:iCs/>
          <w:lang w:val="en-CA"/>
        </w:rPr>
        <w:t xml:space="preserve">Like all work-related legislation, human rights statutes impose restrictions on the rights of buyers and sellers of labour power. </w:t>
      </w:r>
    </w:p>
    <w:p w14:paraId="11A348D7" w14:textId="77777777" w:rsidR="003D0F3C" w:rsidRPr="000654FF" w:rsidRDefault="003D0F3C" w:rsidP="003D0F3C">
      <w:pPr>
        <w:pStyle w:val="ListParagraph"/>
        <w:numPr>
          <w:ilvl w:val="0"/>
          <w:numId w:val="1"/>
        </w:numPr>
        <w:tabs>
          <w:tab w:val="left" w:pos="3494"/>
        </w:tabs>
      </w:pPr>
      <w:r w:rsidRPr="00506DD5">
        <w:rPr>
          <w:lang w:val="en-CA"/>
        </w:rPr>
        <w:t>They have no basis in the common law.</w:t>
      </w:r>
    </w:p>
    <w:p w14:paraId="57547B0B" w14:textId="1D3D8D6B" w:rsidR="000654FF" w:rsidRPr="000654FF" w:rsidRDefault="000654FF" w:rsidP="000654FF">
      <w:pPr>
        <w:pStyle w:val="ListParagraph"/>
        <w:numPr>
          <w:ilvl w:val="1"/>
          <w:numId w:val="1"/>
        </w:numPr>
        <w:tabs>
          <w:tab w:val="left" w:pos="3494"/>
        </w:tabs>
      </w:pPr>
      <w:r>
        <w:rPr>
          <w:lang w:val="en-CA"/>
        </w:rPr>
        <w:t xml:space="preserve">Human rights statutes are an attempt by governments to inject public policy into contract law by prohibiting distinctions among workers that the state believes are, or should be, irrelevant. </w:t>
      </w:r>
    </w:p>
    <w:p w14:paraId="5D66F32C" w14:textId="61D9F8A1" w:rsidR="000654FF" w:rsidRPr="00AE1457" w:rsidRDefault="000654FF" w:rsidP="000654FF">
      <w:pPr>
        <w:tabs>
          <w:tab w:val="left" w:pos="3494"/>
        </w:tabs>
        <w:rPr>
          <w:b/>
          <w:u w:val="single"/>
        </w:rPr>
      </w:pPr>
      <w:r w:rsidRPr="00AE1457">
        <w:rPr>
          <w:b/>
          <w:u w:val="single"/>
        </w:rPr>
        <w:t>A (Very) Brief History of Human Rights Law in Canada</w:t>
      </w:r>
    </w:p>
    <w:p w14:paraId="391E7E24" w14:textId="590DE3C8" w:rsidR="000654FF" w:rsidRDefault="00C54AE3" w:rsidP="000654FF">
      <w:pPr>
        <w:pStyle w:val="ListParagraph"/>
        <w:numPr>
          <w:ilvl w:val="0"/>
          <w:numId w:val="4"/>
        </w:numPr>
        <w:tabs>
          <w:tab w:val="left" w:pos="3494"/>
        </w:tabs>
      </w:pPr>
      <w:r>
        <w:t>Old (20</w:t>
      </w:r>
      <w:r>
        <w:rPr>
          <w:vertAlign w:val="superscript"/>
        </w:rPr>
        <w:t>th</w:t>
      </w:r>
      <w:r>
        <w:t xml:space="preserve"> century) model permitted discrimination in the formation and administration of employment contracts, and many employers exercised their freedom of contract by refusing job applicants on a discriminatory basis.</w:t>
      </w:r>
    </w:p>
    <w:p w14:paraId="04E8478E" w14:textId="348EE426" w:rsidR="00C54AE3" w:rsidRDefault="00C54AE3" w:rsidP="000654FF">
      <w:pPr>
        <w:pStyle w:val="ListParagraph"/>
        <w:numPr>
          <w:ilvl w:val="0"/>
          <w:numId w:val="4"/>
        </w:numPr>
        <w:tabs>
          <w:tab w:val="left" w:pos="3494"/>
        </w:tabs>
      </w:pPr>
      <w:r>
        <w:t>One of the earliest examples of anti discrimination statute in Canada was Ontario’s Racial Discrimination Act, 1944</w:t>
      </w:r>
    </w:p>
    <w:p w14:paraId="277A3C13" w14:textId="2452213E" w:rsidR="00C54AE3" w:rsidRDefault="00C54AE3" w:rsidP="00C54AE3">
      <w:pPr>
        <w:pStyle w:val="ListParagraph"/>
        <w:numPr>
          <w:ilvl w:val="1"/>
          <w:numId w:val="4"/>
        </w:numPr>
        <w:tabs>
          <w:tab w:val="left" w:pos="3494"/>
        </w:tabs>
      </w:pPr>
      <w:r>
        <w:t>Real push was after WW2</w:t>
      </w:r>
    </w:p>
    <w:p w14:paraId="71F021EB" w14:textId="5CECFC9D" w:rsidR="00C54AE3" w:rsidRDefault="00C54AE3" w:rsidP="00C54AE3">
      <w:pPr>
        <w:pStyle w:val="ListParagraph"/>
        <w:numPr>
          <w:ilvl w:val="0"/>
          <w:numId w:val="4"/>
        </w:numPr>
        <w:tabs>
          <w:tab w:val="left" w:pos="3494"/>
        </w:tabs>
      </w:pPr>
      <w:r>
        <w:t xml:space="preserve">1951 </w:t>
      </w:r>
      <w:r>
        <w:sym w:font="Wingdings" w:char="F0E0"/>
      </w:r>
      <w:r>
        <w:t xml:space="preserve"> Ontario enacted the Fair Employment Practices Act, which prohibited discrimination in employment based on race, creed, colour, nationality, ancestry and place of origin.</w:t>
      </w:r>
    </w:p>
    <w:p w14:paraId="06031170" w14:textId="2559916D" w:rsidR="00BA42C4" w:rsidRDefault="00C54AE3" w:rsidP="00BA42C4">
      <w:pPr>
        <w:pStyle w:val="ListParagraph"/>
        <w:numPr>
          <w:ilvl w:val="0"/>
          <w:numId w:val="4"/>
        </w:numPr>
        <w:tabs>
          <w:tab w:val="left" w:pos="3494"/>
        </w:tabs>
      </w:pPr>
      <w:r>
        <w:lastRenderedPageBreak/>
        <w:t xml:space="preserve">Governments established new expert </w:t>
      </w:r>
      <w:r>
        <w:rPr>
          <w:b/>
        </w:rPr>
        <w:t xml:space="preserve">human rights tribunals </w:t>
      </w:r>
      <w:r w:rsidRPr="00C54AE3">
        <w:t>and</w:t>
      </w:r>
      <w:r>
        <w:rPr>
          <w:b/>
        </w:rPr>
        <w:t xml:space="preserve"> human rights commissions </w:t>
      </w:r>
      <w:r>
        <w:t>to administer the legislation and promote human rights compliance.</w:t>
      </w:r>
    </w:p>
    <w:p w14:paraId="782CC3C8" w14:textId="75C4E95A" w:rsidR="00BA42C4" w:rsidRDefault="00BA42C4" w:rsidP="00BA42C4">
      <w:pPr>
        <w:pStyle w:val="ListParagraph"/>
        <w:numPr>
          <w:ilvl w:val="1"/>
          <w:numId w:val="4"/>
        </w:numPr>
        <w:tabs>
          <w:tab w:val="left" w:pos="3494"/>
        </w:tabs>
      </w:pPr>
      <w:r>
        <w:t>The tribunals were granted remedial powers to redress unlawful discrimination, including the power to reinstate dismissed workers, to order damages or workplace reorganization to eliminate discriminatory barriers, and to order offenders to complete human rights awareness training.</w:t>
      </w:r>
    </w:p>
    <w:p w14:paraId="58E9C31A" w14:textId="5E4104D8" w:rsidR="00C54AE3" w:rsidRDefault="00C54AE3" w:rsidP="00C54AE3">
      <w:pPr>
        <w:pStyle w:val="ListParagraph"/>
        <w:numPr>
          <w:ilvl w:val="1"/>
          <w:numId w:val="4"/>
        </w:numPr>
        <w:tabs>
          <w:tab w:val="left" w:pos="3494"/>
        </w:tabs>
      </w:pPr>
      <w:r>
        <w:rPr>
          <w:b/>
        </w:rPr>
        <w:t xml:space="preserve">Human rights tribunals: </w:t>
      </w:r>
      <w:r>
        <w:t>an expert administrative tribunal created by a government to hear and decide human rights complaints and interpret and apply human rights statutes.</w:t>
      </w:r>
    </w:p>
    <w:p w14:paraId="1E120F70" w14:textId="7844E49B" w:rsidR="00BA42C4" w:rsidRDefault="00BA42C4" w:rsidP="00C54AE3">
      <w:pPr>
        <w:pStyle w:val="ListParagraph"/>
        <w:numPr>
          <w:ilvl w:val="1"/>
          <w:numId w:val="4"/>
        </w:numPr>
        <w:tabs>
          <w:tab w:val="left" w:pos="3494"/>
        </w:tabs>
      </w:pPr>
      <w:r>
        <w:rPr>
          <w:b/>
        </w:rPr>
        <w:t xml:space="preserve">Human rights commissions: </w:t>
      </w:r>
      <w:r>
        <w:t>an organization created by a government to investigate human rights complaints and promote human rights compliance through education, public outreach, and training.</w:t>
      </w:r>
    </w:p>
    <w:p w14:paraId="1E391E74" w14:textId="7CA3AB1C" w:rsidR="00BA42C4" w:rsidRDefault="00BA42C4" w:rsidP="00BA42C4">
      <w:pPr>
        <w:pStyle w:val="ListParagraph"/>
        <w:numPr>
          <w:ilvl w:val="0"/>
          <w:numId w:val="4"/>
        </w:numPr>
        <w:tabs>
          <w:tab w:val="left" w:pos="3494"/>
        </w:tabs>
      </w:pPr>
      <w:r>
        <w:rPr>
          <w:b/>
        </w:rPr>
        <w:t xml:space="preserve">Duty to accommodate: </w:t>
      </w:r>
      <w:r w:rsidR="00AE1457">
        <w:t>a legal requirement in human rights law to take steps to remove discriminatory barriers to employment, including altering schedules, rules, or work patterns, or changing the physical design of a workplace.</w:t>
      </w:r>
    </w:p>
    <w:p w14:paraId="155BC510" w14:textId="6FC19E54" w:rsidR="00AE1457" w:rsidRPr="00AE1457" w:rsidRDefault="00AE1457" w:rsidP="00AE1457">
      <w:pPr>
        <w:pStyle w:val="ListParagraph"/>
        <w:numPr>
          <w:ilvl w:val="1"/>
          <w:numId w:val="4"/>
        </w:numPr>
        <w:tabs>
          <w:tab w:val="left" w:pos="3494"/>
        </w:tabs>
      </w:pPr>
      <w:r>
        <w:t xml:space="preserve">Purpose: to remove </w:t>
      </w:r>
      <w:r>
        <w:rPr>
          <w:b/>
        </w:rPr>
        <w:t>undue hardship.</w:t>
      </w:r>
    </w:p>
    <w:p w14:paraId="5262F359" w14:textId="624DF87B" w:rsidR="000654FF" w:rsidRPr="00506DD5" w:rsidRDefault="00AE1457" w:rsidP="000654FF">
      <w:pPr>
        <w:pStyle w:val="ListParagraph"/>
        <w:numPr>
          <w:ilvl w:val="2"/>
          <w:numId w:val="4"/>
        </w:numPr>
        <w:tabs>
          <w:tab w:val="left" w:pos="3494"/>
        </w:tabs>
      </w:pPr>
      <w:r>
        <w:rPr>
          <w:b/>
        </w:rPr>
        <w:t xml:space="preserve">Undue hardship: </w:t>
      </w:r>
      <w:r>
        <w:t>the legitimate defence that an employer may raise to justify why it could not provide an accommodation to an employee. This standard is demanding and requires the employer to demonstrate that significant difficulties–beyond mere inconvenience</w:t>
      </w:r>
      <w:r>
        <w:softHyphen/>
        <w:t>–would result if it had to accommodate the employee.</w:t>
      </w:r>
    </w:p>
    <w:p w14:paraId="402E2185" w14:textId="77777777" w:rsidR="003D0F3C" w:rsidRPr="00506DD5" w:rsidRDefault="003D0F3C" w:rsidP="003D0F3C">
      <w:pPr>
        <w:pStyle w:val="ListParagraph"/>
        <w:numPr>
          <w:ilvl w:val="0"/>
          <w:numId w:val="1"/>
        </w:numPr>
        <w:tabs>
          <w:tab w:val="left" w:pos="3494"/>
        </w:tabs>
      </w:pPr>
      <w:r w:rsidRPr="00506DD5">
        <w:rPr>
          <w:i/>
          <w:iCs/>
          <w:lang w:val="en-CA"/>
        </w:rPr>
        <w:t>Christie v. The York Corporation</w:t>
      </w:r>
      <w:r w:rsidRPr="00506DD5">
        <w:rPr>
          <w:lang w:val="en-CA"/>
        </w:rPr>
        <w:t>,</w:t>
      </w:r>
      <w:r w:rsidRPr="00506DD5">
        <w:rPr>
          <w:i/>
          <w:iCs/>
          <w:lang w:val="en-CA"/>
        </w:rPr>
        <w:t xml:space="preserve"> </w:t>
      </w:r>
      <w:r w:rsidRPr="00506DD5">
        <w:rPr>
          <w:lang w:val="en-CA"/>
        </w:rPr>
        <w:t>[1940] SCC</w:t>
      </w:r>
    </w:p>
    <w:p w14:paraId="44C8B4BF" w14:textId="77777777" w:rsidR="003D0F3C" w:rsidRPr="00506DD5" w:rsidRDefault="003D0F3C" w:rsidP="003D0F3C">
      <w:pPr>
        <w:pStyle w:val="ListParagraph"/>
        <w:numPr>
          <w:ilvl w:val="0"/>
          <w:numId w:val="1"/>
        </w:numPr>
        <w:tabs>
          <w:tab w:val="left" w:pos="3494"/>
        </w:tabs>
      </w:pPr>
      <w:r w:rsidRPr="00506DD5">
        <w:rPr>
          <w:lang w:val="en-CA"/>
        </w:rPr>
        <w:t xml:space="preserve">The Supreme Court of Canada upheld the right of a Montreal tavern to refuse to serve “coloured persons,” concluding that, </w:t>
      </w:r>
      <w:r w:rsidRPr="00506DD5">
        <w:rPr>
          <w:i/>
          <w:iCs/>
          <w:lang w:val="en-CA"/>
        </w:rPr>
        <w:t>absent any statutory prohibition</w:t>
      </w:r>
      <w:r w:rsidRPr="00506DD5">
        <w:rPr>
          <w:lang w:val="en-CA"/>
        </w:rPr>
        <w:t>, the tavern was at liberty to deal with customers as it deemed appropriate, provided only that it was not contrary to “good morals or public order.”</w:t>
      </w:r>
    </w:p>
    <w:p w14:paraId="62CADD86" w14:textId="77777777" w:rsidR="003D0F3C" w:rsidRPr="00506DD5" w:rsidRDefault="003D0F3C" w:rsidP="003D0F3C">
      <w:pPr>
        <w:pStyle w:val="ListParagraph"/>
        <w:numPr>
          <w:ilvl w:val="0"/>
          <w:numId w:val="1"/>
        </w:numPr>
        <w:tabs>
          <w:tab w:val="left" w:pos="3494"/>
        </w:tabs>
      </w:pPr>
      <w:r w:rsidRPr="00506DD5">
        <w:rPr>
          <w:i/>
          <w:iCs/>
          <w:lang w:val="en-CA"/>
        </w:rPr>
        <w:t>R. v. Quong Wing</w:t>
      </w:r>
      <w:r w:rsidRPr="00506DD5">
        <w:rPr>
          <w:lang w:val="en-CA"/>
        </w:rPr>
        <w:t>,</w:t>
      </w:r>
      <w:r w:rsidRPr="00506DD5">
        <w:rPr>
          <w:i/>
          <w:iCs/>
          <w:lang w:val="en-CA"/>
        </w:rPr>
        <w:t xml:space="preserve"> </w:t>
      </w:r>
      <w:r w:rsidRPr="00506DD5">
        <w:rPr>
          <w:lang w:val="en-CA"/>
        </w:rPr>
        <w:t>[1914] SCC</w:t>
      </w:r>
    </w:p>
    <w:p w14:paraId="1BA14B3A" w14:textId="77777777" w:rsidR="003D0F3C" w:rsidRPr="00506DD5" w:rsidRDefault="003D0F3C" w:rsidP="003D0F3C">
      <w:pPr>
        <w:pStyle w:val="ListParagraph"/>
        <w:numPr>
          <w:ilvl w:val="0"/>
          <w:numId w:val="1"/>
        </w:numPr>
        <w:tabs>
          <w:tab w:val="left" w:pos="3494"/>
        </w:tabs>
      </w:pPr>
      <w:r w:rsidRPr="00506DD5">
        <w:rPr>
          <w:lang w:val="en-CA"/>
        </w:rPr>
        <w:t>A majority of the Supreme Court of Canada upheld a Saskatchewan statute prohibiting the employment of white females in any business owned or managed by Chinese males, on the basis that the authority and discretion of the legislature on this matter was absolute.</w:t>
      </w:r>
    </w:p>
    <w:p w14:paraId="15CFB8FA" w14:textId="77777777" w:rsidR="003D0F3C" w:rsidRPr="00506DD5" w:rsidRDefault="003D0F3C" w:rsidP="003D0F3C">
      <w:pPr>
        <w:pStyle w:val="ListParagraph"/>
        <w:numPr>
          <w:ilvl w:val="0"/>
          <w:numId w:val="1"/>
        </w:numPr>
        <w:tabs>
          <w:tab w:val="left" w:pos="3494"/>
        </w:tabs>
      </w:pPr>
      <w:r w:rsidRPr="00506DD5">
        <w:rPr>
          <w:i/>
          <w:iCs/>
          <w:lang w:val="en-CA"/>
        </w:rPr>
        <w:t>Seneca College v. Bhadauria</w:t>
      </w:r>
      <w:r w:rsidRPr="00506DD5">
        <w:rPr>
          <w:lang w:val="en-CA"/>
        </w:rPr>
        <w:t>,</w:t>
      </w:r>
      <w:r w:rsidRPr="00506DD5">
        <w:rPr>
          <w:i/>
          <w:iCs/>
          <w:lang w:val="en-CA"/>
        </w:rPr>
        <w:t xml:space="preserve"> </w:t>
      </w:r>
      <w:r w:rsidRPr="00506DD5">
        <w:rPr>
          <w:lang w:val="en-CA"/>
        </w:rPr>
        <w:t>[1981] SCC       (Ref. Box 6.1)</w:t>
      </w:r>
    </w:p>
    <w:p w14:paraId="5CF81E8B" w14:textId="77777777" w:rsidR="003D0F3C" w:rsidRPr="00506DD5" w:rsidRDefault="003D0F3C" w:rsidP="003D0F3C">
      <w:pPr>
        <w:pStyle w:val="ListParagraph"/>
        <w:numPr>
          <w:ilvl w:val="0"/>
          <w:numId w:val="1"/>
        </w:numPr>
        <w:tabs>
          <w:tab w:val="left" w:pos="3494"/>
        </w:tabs>
      </w:pPr>
      <w:r w:rsidRPr="00506DD5">
        <w:rPr>
          <w:lang w:val="en-CA"/>
        </w:rPr>
        <w:t>The Supreme Court decided there was no tort of discrimination.</w:t>
      </w:r>
    </w:p>
    <w:p w14:paraId="35B89E87" w14:textId="77777777" w:rsidR="003D0F3C" w:rsidRDefault="003D0F3C" w:rsidP="003D0F3C">
      <w:pPr>
        <w:tabs>
          <w:tab w:val="left" w:pos="3494"/>
        </w:tabs>
        <w:rPr>
          <w:lang w:val="en-CA"/>
        </w:rPr>
      </w:pPr>
    </w:p>
    <w:p w14:paraId="381139F6" w14:textId="1E623C07" w:rsidR="00AE1457" w:rsidRPr="00AE1457" w:rsidRDefault="00AE1457" w:rsidP="003D0F3C">
      <w:pPr>
        <w:tabs>
          <w:tab w:val="left" w:pos="3494"/>
        </w:tabs>
        <w:rPr>
          <w:b/>
          <w:u w:val="single"/>
          <w:lang w:val="en-CA"/>
        </w:rPr>
      </w:pPr>
      <w:r w:rsidRPr="00AE1457">
        <w:rPr>
          <w:b/>
          <w:u w:val="single"/>
          <w:lang w:val="en-CA"/>
        </w:rPr>
        <w:t>Four Common Fea</w:t>
      </w:r>
      <w:r>
        <w:rPr>
          <w:b/>
          <w:u w:val="single"/>
          <w:lang w:val="en-CA"/>
        </w:rPr>
        <w:t>tures of the Canadian Human Rights Model</w:t>
      </w:r>
    </w:p>
    <w:p w14:paraId="61416911" w14:textId="0DD3938F" w:rsidR="00AE1457" w:rsidRDefault="00AE1457" w:rsidP="003D0F3C">
      <w:pPr>
        <w:tabs>
          <w:tab w:val="left" w:pos="3494"/>
        </w:tabs>
        <w:rPr>
          <w:b/>
          <w:lang w:val="en-CA"/>
        </w:rPr>
      </w:pPr>
      <w:r>
        <w:rPr>
          <w:b/>
          <w:lang w:val="en-CA"/>
        </w:rPr>
        <w:t>Human Rights Commissions</w:t>
      </w:r>
      <w:r w:rsidR="00A10785">
        <w:rPr>
          <w:b/>
          <w:lang w:val="en-CA"/>
        </w:rPr>
        <w:t xml:space="preserve"> (“HRC”)</w:t>
      </w:r>
    </w:p>
    <w:p w14:paraId="1FE24304" w14:textId="0D3F5CB3" w:rsidR="00AE1457" w:rsidRDefault="00A10785" w:rsidP="00AE1457">
      <w:pPr>
        <w:pStyle w:val="ListParagraph"/>
        <w:numPr>
          <w:ilvl w:val="0"/>
          <w:numId w:val="5"/>
        </w:numPr>
        <w:tabs>
          <w:tab w:val="left" w:pos="3494"/>
        </w:tabs>
        <w:rPr>
          <w:lang w:val="en-CA"/>
        </w:rPr>
      </w:pPr>
      <w:r>
        <w:rPr>
          <w:lang w:val="en-CA"/>
        </w:rPr>
        <w:t xml:space="preserve">Promoting compliance with human rights legislation and the abolition of proscribed discrimination through education, public outreach, and training. </w:t>
      </w:r>
    </w:p>
    <w:p w14:paraId="5ED78612" w14:textId="44DD5A73" w:rsidR="00A10785" w:rsidRDefault="00A10785" w:rsidP="00AE1457">
      <w:pPr>
        <w:pStyle w:val="ListParagraph"/>
        <w:numPr>
          <w:ilvl w:val="0"/>
          <w:numId w:val="5"/>
        </w:numPr>
        <w:tabs>
          <w:tab w:val="left" w:pos="3494"/>
        </w:tabs>
        <w:rPr>
          <w:lang w:val="en-CA"/>
        </w:rPr>
      </w:pPr>
      <w:r>
        <w:rPr>
          <w:lang w:val="en-CA"/>
        </w:rPr>
        <w:t>HRC are granted statutory power to investigate and sometimes to settle human rights complaints.</w:t>
      </w:r>
    </w:p>
    <w:p w14:paraId="08D0947E" w14:textId="16028559" w:rsidR="00A10785" w:rsidRDefault="00A10785" w:rsidP="00AE1457">
      <w:pPr>
        <w:pStyle w:val="ListParagraph"/>
        <w:numPr>
          <w:ilvl w:val="0"/>
          <w:numId w:val="5"/>
        </w:numPr>
        <w:tabs>
          <w:tab w:val="left" w:pos="3494"/>
        </w:tabs>
        <w:rPr>
          <w:lang w:val="en-CA"/>
        </w:rPr>
      </w:pPr>
      <w:r>
        <w:rPr>
          <w:lang w:val="en-CA"/>
        </w:rPr>
        <w:t>In some jurisdictions they act as gatekeepers, deciding which cases are sufficiently meritorious to proceed to a tribunal hearing if not settled and then act as a litigant representing the complaint.</w:t>
      </w:r>
    </w:p>
    <w:p w14:paraId="663EE5CB" w14:textId="6172862A" w:rsidR="00A10785" w:rsidRDefault="00A10785" w:rsidP="00AE1457">
      <w:pPr>
        <w:pStyle w:val="ListParagraph"/>
        <w:numPr>
          <w:ilvl w:val="0"/>
          <w:numId w:val="5"/>
        </w:numPr>
        <w:tabs>
          <w:tab w:val="left" w:pos="3494"/>
        </w:tabs>
        <w:rPr>
          <w:lang w:val="en-CA"/>
        </w:rPr>
      </w:pPr>
      <w:r>
        <w:rPr>
          <w:lang w:val="en-CA"/>
        </w:rPr>
        <w:t xml:space="preserve">Criticized for being too slow, too costly, too one-sided or altogether unnecessary. </w:t>
      </w:r>
    </w:p>
    <w:p w14:paraId="4907AFA0" w14:textId="77777777" w:rsidR="00A10785" w:rsidRDefault="00A10785" w:rsidP="003D0F3C">
      <w:pPr>
        <w:tabs>
          <w:tab w:val="left" w:pos="3494"/>
        </w:tabs>
        <w:rPr>
          <w:b/>
          <w:lang w:val="en-CA"/>
        </w:rPr>
      </w:pPr>
    </w:p>
    <w:p w14:paraId="39A59217" w14:textId="3CF62DD3" w:rsidR="00AE1457" w:rsidRDefault="00A10785" w:rsidP="003D0F3C">
      <w:pPr>
        <w:tabs>
          <w:tab w:val="left" w:pos="3494"/>
        </w:tabs>
        <w:rPr>
          <w:b/>
          <w:lang w:val="en-CA"/>
        </w:rPr>
      </w:pPr>
      <w:r>
        <w:rPr>
          <w:b/>
          <w:lang w:val="en-CA"/>
        </w:rPr>
        <w:t>The Process for Filing, Investigating, and Litigating Human Rights Complaints</w:t>
      </w:r>
    </w:p>
    <w:p w14:paraId="37236A84" w14:textId="2517E1C4" w:rsidR="00A10785" w:rsidRDefault="00A10785" w:rsidP="00A10785">
      <w:pPr>
        <w:pStyle w:val="ListParagraph"/>
        <w:numPr>
          <w:ilvl w:val="0"/>
          <w:numId w:val="6"/>
        </w:numPr>
        <w:tabs>
          <w:tab w:val="left" w:pos="3494"/>
        </w:tabs>
        <w:rPr>
          <w:lang w:val="en-CA"/>
        </w:rPr>
      </w:pPr>
      <w:r>
        <w:rPr>
          <w:lang w:val="en-CA"/>
        </w:rPr>
        <w:t>Canadian human rights statutes are primarily complaint-based.</w:t>
      </w:r>
    </w:p>
    <w:p w14:paraId="71109B04" w14:textId="3276ED9B" w:rsidR="00A10785" w:rsidRDefault="00A10785" w:rsidP="00A10785">
      <w:pPr>
        <w:pStyle w:val="ListParagraph"/>
        <w:numPr>
          <w:ilvl w:val="0"/>
          <w:numId w:val="6"/>
        </w:numPr>
        <w:tabs>
          <w:tab w:val="left" w:pos="3494"/>
        </w:tabs>
        <w:rPr>
          <w:lang w:val="en-CA"/>
        </w:rPr>
      </w:pPr>
      <w:r>
        <w:rPr>
          <w:lang w:val="en-CA"/>
        </w:rPr>
        <w:t>Complaints are filed and initially vetted and investigated by a human rights commission (except for BC and Nunavut).</w:t>
      </w:r>
    </w:p>
    <w:p w14:paraId="51F3C21C" w14:textId="2CDEC238" w:rsidR="00A10785" w:rsidRDefault="00A10785" w:rsidP="00A10785">
      <w:pPr>
        <w:pStyle w:val="ListParagraph"/>
        <w:numPr>
          <w:ilvl w:val="0"/>
          <w:numId w:val="6"/>
        </w:numPr>
        <w:tabs>
          <w:tab w:val="left" w:pos="3494"/>
        </w:tabs>
        <w:rPr>
          <w:lang w:val="en-CA"/>
        </w:rPr>
      </w:pPr>
      <w:r>
        <w:rPr>
          <w:lang w:val="en-CA"/>
        </w:rPr>
        <w:t xml:space="preserve">The commission may decide not to proceed with a complaint, and so the complaint is dismissed without a hearing. </w:t>
      </w:r>
    </w:p>
    <w:p w14:paraId="5ABF929F" w14:textId="39511F35" w:rsidR="00A10785" w:rsidRDefault="00A10785" w:rsidP="00A10785">
      <w:pPr>
        <w:pStyle w:val="ListParagraph"/>
        <w:numPr>
          <w:ilvl w:val="0"/>
          <w:numId w:val="6"/>
        </w:numPr>
        <w:tabs>
          <w:tab w:val="left" w:pos="3494"/>
        </w:tabs>
        <w:rPr>
          <w:lang w:val="en-CA"/>
        </w:rPr>
      </w:pPr>
      <w:r>
        <w:rPr>
          <w:lang w:val="en-CA"/>
        </w:rPr>
        <w:t xml:space="preserve">They may also attempt to reach a settlement of complaint. </w:t>
      </w:r>
    </w:p>
    <w:p w14:paraId="05DAE35D" w14:textId="2BBB3C5E" w:rsidR="00A10785" w:rsidRPr="00A10785" w:rsidRDefault="00A10785" w:rsidP="00A10785">
      <w:pPr>
        <w:pStyle w:val="ListParagraph"/>
        <w:numPr>
          <w:ilvl w:val="0"/>
          <w:numId w:val="6"/>
        </w:numPr>
        <w:tabs>
          <w:tab w:val="left" w:pos="3494"/>
        </w:tabs>
        <w:rPr>
          <w:lang w:val="en-CA"/>
        </w:rPr>
      </w:pPr>
      <w:r>
        <w:rPr>
          <w:lang w:val="en-CA"/>
        </w:rPr>
        <w:t xml:space="preserve">Complaints are referred to a human rights tribunal where they conduct hearings and issue binding legal decisions. </w:t>
      </w:r>
    </w:p>
    <w:p w14:paraId="46E95FEC" w14:textId="77777777" w:rsidR="00A10785" w:rsidRDefault="00A10785" w:rsidP="003D0F3C">
      <w:pPr>
        <w:tabs>
          <w:tab w:val="left" w:pos="3494"/>
        </w:tabs>
        <w:rPr>
          <w:b/>
          <w:lang w:val="en-CA"/>
        </w:rPr>
      </w:pPr>
    </w:p>
    <w:p w14:paraId="7B88DE15" w14:textId="246AE3DA" w:rsidR="00A10785" w:rsidRDefault="00A10785" w:rsidP="003D0F3C">
      <w:pPr>
        <w:tabs>
          <w:tab w:val="left" w:pos="3494"/>
        </w:tabs>
        <w:rPr>
          <w:b/>
          <w:lang w:val="en-CA"/>
        </w:rPr>
      </w:pPr>
      <w:r>
        <w:rPr>
          <w:b/>
          <w:lang w:val="en-CA"/>
        </w:rPr>
        <w:t>The Remedial Powers of Human Rights Tribunals</w:t>
      </w:r>
    </w:p>
    <w:p w14:paraId="09B29E2D" w14:textId="29F1293E" w:rsidR="00A10785" w:rsidRDefault="00A10785" w:rsidP="00A10785">
      <w:pPr>
        <w:pStyle w:val="ListParagraph"/>
        <w:numPr>
          <w:ilvl w:val="0"/>
          <w:numId w:val="7"/>
        </w:numPr>
        <w:tabs>
          <w:tab w:val="left" w:pos="3494"/>
        </w:tabs>
        <w:rPr>
          <w:lang w:val="en-CA"/>
        </w:rPr>
      </w:pPr>
      <w:r>
        <w:rPr>
          <w:lang w:val="en-CA"/>
        </w:rPr>
        <w:t xml:space="preserve">Canadian human rights statutes confer broad remedial powers on human rights tribunals not only to compensate victims of discrimination but also take proactive steps toward eliminating future discrimination. </w:t>
      </w:r>
    </w:p>
    <w:p w14:paraId="160FEBF8" w14:textId="6D2EA583" w:rsidR="00656CE6" w:rsidRDefault="00656CE6" w:rsidP="003D0F3C">
      <w:pPr>
        <w:pStyle w:val="ListParagraph"/>
        <w:numPr>
          <w:ilvl w:val="0"/>
          <w:numId w:val="7"/>
        </w:numPr>
        <w:tabs>
          <w:tab w:val="left" w:pos="3494"/>
        </w:tabs>
        <w:rPr>
          <w:i/>
          <w:lang w:val="en-CA"/>
        </w:rPr>
      </w:pPr>
      <w:r w:rsidRPr="00656CE6">
        <w:rPr>
          <w:i/>
          <w:lang w:val="en-CA"/>
        </w:rPr>
        <w:t>Four main types of remedies:</w:t>
      </w:r>
    </w:p>
    <w:p w14:paraId="31907486" w14:textId="15C7A345" w:rsidR="00656CE6" w:rsidRPr="00656CE6" w:rsidRDefault="00656CE6" w:rsidP="00656CE6">
      <w:pPr>
        <w:pStyle w:val="ListParagraph"/>
        <w:numPr>
          <w:ilvl w:val="1"/>
          <w:numId w:val="7"/>
        </w:numPr>
        <w:tabs>
          <w:tab w:val="left" w:pos="3494"/>
        </w:tabs>
        <w:rPr>
          <w:i/>
          <w:lang w:val="en-CA"/>
        </w:rPr>
      </w:pPr>
      <w:r>
        <w:rPr>
          <w:lang w:val="en-CA"/>
        </w:rPr>
        <w:t>Compensatory (or pecuniary) damages for lost employment-related income suffered by victims of unlawful discrimination.</w:t>
      </w:r>
    </w:p>
    <w:p w14:paraId="6883725F" w14:textId="60752208" w:rsidR="00656CE6" w:rsidRPr="00656CE6" w:rsidRDefault="00656CE6" w:rsidP="00656CE6">
      <w:pPr>
        <w:pStyle w:val="ListParagraph"/>
        <w:numPr>
          <w:ilvl w:val="1"/>
          <w:numId w:val="7"/>
        </w:numPr>
        <w:tabs>
          <w:tab w:val="left" w:pos="3494"/>
        </w:tabs>
        <w:rPr>
          <w:i/>
          <w:lang w:val="en-CA"/>
        </w:rPr>
      </w:pPr>
      <w:r>
        <w:rPr>
          <w:lang w:val="en-CA"/>
        </w:rPr>
        <w:t>General damages for harm suffered by the victim in the form of hurt feelings, injury to dignify and self-respect, and loss of the right to be free from discrimination.</w:t>
      </w:r>
    </w:p>
    <w:p w14:paraId="4E6938F3" w14:textId="08A77A88" w:rsidR="00656CE6" w:rsidRPr="00656CE6" w:rsidRDefault="00656CE6" w:rsidP="00656CE6">
      <w:pPr>
        <w:pStyle w:val="ListParagraph"/>
        <w:numPr>
          <w:ilvl w:val="1"/>
          <w:numId w:val="7"/>
        </w:numPr>
        <w:tabs>
          <w:tab w:val="left" w:pos="3494"/>
        </w:tabs>
        <w:rPr>
          <w:i/>
          <w:lang w:val="en-CA"/>
        </w:rPr>
      </w:pPr>
      <w:r>
        <w:rPr>
          <w:lang w:val="en-CA"/>
        </w:rPr>
        <w:t>Reinstatement and hiring orders to place an employee unlawfully denied employment back into the position he or she would have been in but for the unlawful discrimination.</w:t>
      </w:r>
    </w:p>
    <w:p w14:paraId="3867E86D" w14:textId="6232C54E" w:rsidR="00656CE6" w:rsidRPr="00656CE6" w:rsidRDefault="00656CE6" w:rsidP="00656CE6">
      <w:pPr>
        <w:pStyle w:val="ListParagraph"/>
        <w:numPr>
          <w:ilvl w:val="1"/>
          <w:numId w:val="7"/>
        </w:numPr>
        <w:tabs>
          <w:tab w:val="left" w:pos="3494"/>
        </w:tabs>
        <w:rPr>
          <w:i/>
          <w:lang w:val="en-CA"/>
        </w:rPr>
      </w:pPr>
      <w:r>
        <w:rPr>
          <w:lang w:val="en-CA"/>
        </w:rPr>
        <w:t>Broader-based remedial orders intended to eliminate or discourage future discrimination, including mandatory human rights raining and, in some jurisdictions, mandatory hiring quotas or other orders intended to correct systemic discrimination.</w:t>
      </w:r>
    </w:p>
    <w:p w14:paraId="50C81B53" w14:textId="0B2ED8F1" w:rsidR="00656CE6" w:rsidRPr="00656CE6" w:rsidRDefault="00656CE6" w:rsidP="00656CE6">
      <w:pPr>
        <w:pStyle w:val="ListParagraph"/>
        <w:numPr>
          <w:ilvl w:val="0"/>
          <w:numId w:val="7"/>
        </w:numPr>
        <w:tabs>
          <w:tab w:val="left" w:pos="3494"/>
        </w:tabs>
        <w:rPr>
          <w:i/>
          <w:lang w:val="en-CA"/>
        </w:rPr>
      </w:pPr>
      <w:r>
        <w:rPr>
          <w:lang w:val="en-CA"/>
        </w:rPr>
        <w:t xml:space="preserve">Human rights tribunals have the authority to compensate victims of human rights violations by crafting a “make whole” remedy. </w:t>
      </w:r>
      <w:r w:rsidRPr="00656CE6">
        <w:rPr>
          <w:lang w:val="en-CA"/>
        </w:rPr>
        <w:sym w:font="Wingdings" w:char="F0E0"/>
      </w:r>
      <w:r>
        <w:rPr>
          <w:lang w:val="en-CA"/>
        </w:rPr>
        <w:t xml:space="preserve"> attempts to put the victim back into the position he or she would have been in had the discrimination not taken place.</w:t>
      </w:r>
    </w:p>
    <w:p w14:paraId="6CCCE30A" w14:textId="0B787895" w:rsidR="00656CE6" w:rsidRPr="00656CE6" w:rsidRDefault="00656CE6" w:rsidP="00656CE6">
      <w:pPr>
        <w:pStyle w:val="ListParagraph"/>
        <w:numPr>
          <w:ilvl w:val="1"/>
          <w:numId w:val="7"/>
        </w:numPr>
        <w:tabs>
          <w:tab w:val="left" w:pos="3494"/>
        </w:tabs>
        <w:rPr>
          <w:i/>
          <w:lang w:val="en-CA"/>
        </w:rPr>
      </w:pPr>
      <w:r>
        <w:rPr>
          <w:lang w:val="en-CA"/>
        </w:rPr>
        <w:t xml:space="preserve">Compensating the victim for “reasonably foreseeable” financial losses due to the discrimination. </w:t>
      </w:r>
    </w:p>
    <w:p w14:paraId="448A5F57" w14:textId="086D2DFB" w:rsidR="00656CE6" w:rsidRPr="00656CE6" w:rsidRDefault="00656CE6" w:rsidP="00656CE6">
      <w:pPr>
        <w:pStyle w:val="ListParagraph"/>
        <w:numPr>
          <w:ilvl w:val="2"/>
          <w:numId w:val="7"/>
        </w:numPr>
        <w:tabs>
          <w:tab w:val="left" w:pos="3494"/>
        </w:tabs>
        <w:rPr>
          <w:i/>
          <w:lang w:val="en-CA"/>
        </w:rPr>
      </w:pPr>
      <w:r>
        <w:rPr>
          <w:lang w:val="en-CA"/>
        </w:rPr>
        <w:t>Would include forgone wages and benefits if a worker is denied employment or promotion, dismissed, or forced to resign as a result if the unlawful discriminatory actions of the employer.</w:t>
      </w:r>
    </w:p>
    <w:p w14:paraId="5F899C19" w14:textId="136C41FD" w:rsidR="00656CE6" w:rsidRPr="00656CE6" w:rsidRDefault="00656CE6" w:rsidP="00656CE6">
      <w:pPr>
        <w:pStyle w:val="ListParagraph"/>
        <w:numPr>
          <w:ilvl w:val="0"/>
          <w:numId w:val="7"/>
        </w:numPr>
        <w:tabs>
          <w:tab w:val="left" w:pos="3494"/>
        </w:tabs>
        <w:rPr>
          <w:i/>
          <w:lang w:val="en-CA"/>
        </w:rPr>
      </w:pPr>
      <w:r>
        <w:rPr>
          <w:lang w:val="en-CA"/>
        </w:rPr>
        <w:t xml:space="preserve">Human rights damages are not restricted to lost income for a period comparable to what a court would order in a wrongful discrimination lawsuit. They also compensate the victim for the loss they actually suffered as a result of the discrimination. </w:t>
      </w:r>
    </w:p>
    <w:p w14:paraId="616BB59E" w14:textId="703DEF6F" w:rsidR="00E52688" w:rsidRDefault="00656CE6" w:rsidP="00E52688">
      <w:pPr>
        <w:pStyle w:val="ListParagraph"/>
        <w:numPr>
          <w:ilvl w:val="0"/>
          <w:numId w:val="7"/>
        </w:numPr>
        <w:tabs>
          <w:tab w:val="left" w:pos="3494"/>
        </w:tabs>
        <w:rPr>
          <w:i/>
          <w:lang w:val="en-CA"/>
        </w:rPr>
      </w:pPr>
      <w:r>
        <w:rPr>
          <w:b/>
          <w:lang w:val="en-CA"/>
        </w:rPr>
        <w:t xml:space="preserve">Hiring order: </w:t>
      </w:r>
      <w:r>
        <w:rPr>
          <w:lang w:val="en-CA"/>
        </w:rPr>
        <w:t>an order issued by a human rights tribunal or court requiring an employer to offer employment to a person previously denied employment for discriminatory reasons.</w:t>
      </w:r>
      <w:r w:rsidR="00E52688">
        <w:rPr>
          <w:lang w:val="en-CA"/>
        </w:rPr>
        <w:t xml:space="preserve"> </w:t>
      </w:r>
      <w:r w:rsidR="00E52688" w:rsidRPr="00E52688">
        <w:rPr>
          <w:lang w:val="en-CA"/>
        </w:rPr>
        <w:sym w:font="Wingdings" w:char="F0E0"/>
      </w:r>
      <w:r w:rsidR="00E52688">
        <w:rPr>
          <w:lang w:val="en-CA"/>
        </w:rPr>
        <w:t>next available position or new position.</w:t>
      </w:r>
    </w:p>
    <w:p w14:paraId="13175922" w14:textId="2DCB7B04" w:rsidR="00E52688" w:rsidRDefault="00E52688" w:rsidP="00E52688">
      <w:pPr>
        <w:tabs>
          <w:tab w:val="left" w:pos="3494"/>
        </w:tabs>
        <w:rPr>
          <w:b/>
          <w:lang w:val="en-CA"/>
        </w:rPr>
      </w:pPr>
      <w:r>
        <w:rPr>
          <w:b/>
          <w:lang w:val="en-CA"/>
        </w:rPr>
        <w:t xml:space="preserve">The Limits on Raising Human Rights Complaints in Multiple Legal Forums </w:t>
      </w:r>
    </w:p>
    <w:p w14:paraId="723B0418" w14:textId="6B42C2AB" w:rsidR="00E52688" w:rsidRDefault="00E52688" w:rsidP="00E52688">
      <w:pPr>
        <w:pStyle w:val="ListParagraph"/>
        <w:numPr>
          <w:ilvl w:val="0"/>
          <w:numId w:val="8"/>
        </w:numPr>
        <w:tabs>
          <w:tab w:val="left" w:pos="3494"/>
        </w:tabs>
        <w:rPr>
          <w:lang w:val="en-CA"/>
        </w:rPr>
      </w:pPr>
      <w:r>
        <w:rPr>
          <w:lang w:val="en-CA"/>
        </w:rPr>
        <w:t>An employee cannot pursue complaints relating to the same allegation of discrimination in multiple legal forums</w:t>
      </w:r>
    </w:p>
    <w:p w14:paraId="7B330E55" w14:textId="6FAE5C1D" w:rsidR="00E52688" w:rsidRDefault="00E52688" w:rsidP="00E52688">
      <w:pPr>
        <w:pStyle w:val="ListParagraph"/>
        <w:numPr>
          <w:ilvl w:val="1"/>
          <w:numId w:val="8"/>
        </w:numPr>
        <w:tabs>
          <w:tab w:val="left" w:pos="3494"/>
        </w:tabs>
        <w:rPr>
          <w:lang w:val="en-CA"/>
        </w:rPr>
      </w:pPr>
      <w:r>
        <w:rPr>
          <w:b/>
          <w:lang w:val="en-CA"/>
        </w:rPr>
        <w:t>Forum shopping:</w:t>
      </w:r>
      <w:r>
        <w:rPr>
          <w:lang w:val="en-CA"/>
        </w:rPr>
        <w:t xml:space="preserve"> the practice whereby a litigant attempts to litigate the same legal issue or the same facts in multiple legal forums in order to find the most favourable one. </w:t>
      </w:r>
    </w:p>
    <w:p w14:paraId="22B40847" w14:textId="77777777" w:rsidR="00E52688" w:rsidRDefault="00E52688" w:rsidP="00E52688">
      <w:pPr>
        <w:tabs>
          <w:tab w:val="left" w:pos="3494"/>
        </w:tabs>
        <w:rPr>
          <w:lang w:val="en-CA"/>
        </w:rPr>
      </w:pPr>
    </w:p>
    <w:p w14:paraId="22F0F8B1" w14:textId="11816543" w:rsidR="00E52688" w:rsidRPr="00E52688" w:rsidRDefault="00E52688" w:rsidP="00E52688">
      <w:pPr>
        <w:tabs>
          <w:tab w:val="left" w:pos="3494"/>
        </w:tabs>
        <w:rPr>
          <w:lang w:val="en-CA"/>
        </w:rPr>
      </w:pPr>
      <w:r>
        <w:rPr>
          <w:lang w:val="en-CA"/>
        </w:rPr>
        <w:t>-------------------------------------------------------------------------------------------------------------------------------</w:t>
      </w:r>
    </w:p>
    <w:p w14:paraId="06A66754" w14:textId="77777777" w:rsidR="003D0F3C" w:rsidRDefault="003D0F3C" w:rsidP="003D0F3C">
      <w:pPr>
        <w:tabs>
          <w:tab w:val="left" w:pos="3494"/>
        </w:tabs>
        <w:rPr>
          <w:b/>
          <w:lang w:val="en-CA"/>
        </w:rPr>
      </w:pPr>
      <w:r>
        <w:rPr>
          <w:b/>
          <w:lang w:val="en-CA"/>
        </w:rPr>
        <w:t>Human Rights Statutes</w:t>
      </w:r>
    </w:p>
    <w:p w14:paraId="38D6C387" w14:textId="77777777" w:rsidR="003D0F3C" w:rsidRPr="00506DD5" w:rsidRDefault="003D0F3C" w:rsidP="003D0F3C">
      <w:pPr>
        <w:pStyle w:val="ListParagraph"/>
        <w:numPr>
          <w:ilvl w:val="0"/>
          <w:numId w:val="2"/>
        </w:numPr>
        <w:tabs>
          <w:tab w:val="left" w:pos="3494"/>
        </w:tabs>
      </w:pPr>
      <w:r w:rsidRPr="00506DD5">
        <w:rPr>
          <w:lang w:val="en-CA"/>
        </w:rPr>
        <w:t>There are 14 human rights codes (Canada, 10 provinces, and 3 territories).</w:t>
      </w:r>
    </w:p>
    <w:p w14:paraId="2217ECDC" w14:textId="77777777" w:rsidR="003D0F3C" w:rsidRPr="00506DD5" w:rsidRDefault="003D0F3C" w:rsidP="003D0F3C">
      <w:pPr>
        <w:pStyle w:val="ListParagraph"/>
        <w:numPr>
          <w:ilvl w:val="0"/>
          <w:numId w:val="2"/>
        </w:numPr>
        <w:tabs>
          <w:tab w:val="left" w:pos="3494"/>
        </w:tabs>
      </w:pPr>
      <w:r w:rsidRPr="00506DD5">
        <w:rPr>
          <w:lang w:val="en-CA"/>
        </w:rPr>
        <w:t>Enforcement is complaint-based, with broad remedial powers.</w:t>
      </w:r>
    </w:p>
    <w:p w14:paraId="0AE66D19" w14:textId="77777777" w:rsidR="003D0F3C" w:rsidRPr="00506DD5" w:rsidRDefault="003D0F3C" w:rsidP="003D0F3C">
      <w:pPr>
        <w:pStyle w:val="ListParagraph"/>
        <w:numPr>
          <w:ilvl w:val="0"/>
          <w:numId w:val="2"/>
        </w:numPr>
        <w:tabs>
          <w:tab w:val="left" w:pos="3494"/>
        </w:tabs>
      </w:pPr>
      <w:r w:rsidRPr="00506DD5">
        <w:rPr>
          <w:lang w:val="en-CA"/>
        </w:rPr>
        <w:t>All codes prohibit discrimination in employment, including hiring.</w:t>
      </w:r>
    </w:p>
    <w:p w14:paraId="44F3FBE6" w14:textId="77777777" w:rsidR="003D0F3C" w:rsidRPr="00506DD5" w:rsidRDefault="003D0F3C" w:rsidP="003D0F3C">
      <w:pPr>
        <w:pStyle w:val="ListParagraph"/>
        <w:numPr>
          <w:ilvl w:val="0"/>
          <w:numId w:val="2"/>
        </w:numPr>
        <w:tabs>
          <w:tab w:val="left" w:pos="3494"/>
        </w:tabs>
      </w:pPr>
      <w:r w:rsidRPr="00506DD5">
        <w:rPr>
          <w:lang w:val="en-CA"/>
        </w:rPr>
        <w:t xml:space="preserve">The prohibited grounds of discrimination vary. </w:t>
      </w:r>
    </w:p>
    <w:p w14:paraId="5F1379A6" w14:textId="77777777" w:rsidR="003D0F3C" w:rsidRPr="00506DD5" w:rsidRDefault="003D0F3C" w:rsidP="003D0F3C">
      <w:pPr>
        <w:pStyle w:val="ListParagraph"/>
        <w:numPr>
          <w:ilvl w:val="1"/>
          <w:numId w:val="2"/>
        </w:numPr>
        <w:tabs>
          <w:tab w:val="left" w:pos="3494"/>
        </w:tabs>
      </w:pPr>
      <w:r w:rsidRPr="00506DD5">
        <w:rPr>
          <w:lang w:val="en-CA"/>
        </w:rPr>
        <w:t>Ref. chart of prohibited grounds of discrimination (uploaded to D2L)</w:t>
      </w:r>
    </w:p>
    <w:p w14:paraId="092EC002" w14:textId="77777777" w:rsidR="003D0F3C" w:rsidRDefault="003D0F3C" w:rsidP="003D0F3C">
      <w:pPr>
        <w:tabs>
          <w:tab w:val="left" w:pos="3494"/>
        </w:tabs>
      </w:pPr>
    </w:p>
    <w:p w14:paraId="6188B303" w14:textId="77777777" w:rsidR="003D0F3C" w:rsidRPr="00506DD5" w:rsidRDefault="003D0F3C" w:rsidP="003D0F3C">
      <w:pPr>
        <w:tabs>
          <w:tab w:val="left" w:pos="3494"/>
        </w:tabs>
        <w:rPr>
          <w:b/>
        </w:rPr>
      </w:pPr>
      <w:r>
        <w:rPr>
          <w:b/>
        </w:rPr>
        <w:t>Ontario Human Rights Code</w:t>
      </w:r>
    </w:p>
    <w:p w14:paraId="54487353" w14:textId="77777777" w:rsidR="003D0F3C" w:rsidRPr="00506DD5" w:rsidRDefault="003D0F3C" w:rsidP="003D0F3C">
      <w:pPr>
        <w:pStyle w:val="ListParagraph"/>
        <w:numPr>
          <w:ilvl w:val="0"/>
          <w:numId w:val="2"/>
        </w:numPr>
        <w:tabs>
          <w:tab w:val="left" w:pos="3494"/>
        </w:tabs>
      </w:pPr>
      <w:r w:rsidRPr="00506DD5">
        <w:rPr>
          <w:lang w:val="en-CA"/>
        </w:rPr>
        <w:t xml:space="preserve">Ontario </w:t>
      </w:r>
      <w:r w:rsidRPr="00506DD5">
        <w:rPr>
          <w:i/>
          <w:iCs/>
          <w:lang w:val="en-CA"/>
        </w:rPr>
        <w:t>Human Rights Code</w:t>
      </w:r>
      <w:r w:rsidRPr="00506DD5">
        <w:rPr>
          <w:lang w:val="en-CA"/>
        </w:rPr>
        <w:t>, 1962</w:t>
      </w:r>
    </w:p>
    <w:p w14:paraId="7A7D0CF1" w14:textId="77777777" w:rsidR="003D0F3C" w:rsidRPr="00506DD5" w:rsidRDefault="003D0F3C" w:rsidP="003D0F3C">
      <w:pPr>
        <w:pStyle w:val="ListParagraph"/>
        <w:numPr>
          <w:ilvl w:val="1"/>
          <w:numId w:val="2"/>
        </w:numPr>
        <w:tabs>
          <w:tab w:val="left" w:pos="3494"/>
        </w:tabs>
      </w:pPr>
      <w:r w:rsidRPr="00506DD5">
        <w:rPr>
          <w:lang w:val="en-CA"/>
        </w:rPr>
        <w:t>The first comprehensive anti-discrimination statute;</w:t>
      </w:r>
    </w:p>
    <w:p w14:paraId="2A6678EE" w14:textId="77777777" w:rsidR="003D0F3C" w:rsidRPr="00506DD5" w:rsidRDefault="003D0F3C" w:rsidP="003D0F3C">
      <w:pPr>
        <w:pStyle w:val="ListParagraph"/>
        <w:numPr>
          <w:ilvl w:val="1"/>
          <w:numId w:val="2"/>
        </w:numPr>
        <w:tabs>
          <w:tab w:val="left" w:pos="3494"/>
        </w:tabs>
      </w:pPr>
      <w:r w:rsidRPr="00506DD5">
        <w:rPr>
          <w:lang w:val="en-CA"/>
        </w:rPr>
        <w:t>Encompassed a broad range of social activity;</w:t>
      </w:r>
    </w:p>
    <w:p w14:paraId="383A1435" w14:textId="77777777" w:rsidR="003D0F3C" w:rsidRPr="00506DD5" w:rsidRDefault="003D0F3C" w:rsidP="003D0F3C">
      <w:pPr>
        <w:pStyle w:val="ListParagraph"/>
        <w:numPr>
          <w:ilvl w:val="1"/>
          <w:numId w:val="2"/>
        </w:numPr>
        <w:tabs>
          <w:tab w:val="left" w:pos="3494"/>
        </w:tabs>
      </w:pPr>
      <w:r w:rsidRPr="00506DD5">
        <w:rPr>
          <w:lang w:val="en-CA"/>
        </w:rPr>
        <w:t>Included mechanisms for enforcement, education and administration.</w:t>
      </w:r>
    </w:p>
    <w:p w14:paraId="2726159D" w14:textId="77777777" w:rsidR="003D0F3C" w:rsidRPr="00506DD5" w:rsidRDefault="003D0F3C" w:rsidP="003D0F3C">
      <w:pPr>
        <w:pStyle w:val="ListParagraph"/>
        <w:numPr>
          <w:ilvl w:val="0"/>
          <w:numId w:val="2"/>
        </w:numPr>
        <w:tabs>
          <w:tab w:val="left" w:pos="3494"/>
        </w:tabs>
      </w:pPr>
      <w:r w:rsidRPr="00506DD5">
        <w:rPr>
          <w:lang w:val="en-CA"/>
        </w:rPr>
        <w:t xml:space="preserve">Reminder </w:t>
      </w:r>
    </w:p>
    <w:p w14:paraId="7B17F223" w14:textId="77777777" w:rsidR="003D0F3C" w:rsidRPr="00506DD5" w:rsidRDefault="003D0F3C" w:rsidP="003D0F3C">
      <w:pPr>
        <w:pStyle w:val="ListParagraph"/>
        <w:numPr>
          <w:ilvl w:val="1"/>
          <w:numId w:val="2"/>
        </w:numPr>
        <w:tabs>
          <w:tab w:val="left" w:pos="3494"/>
        </w:tabs>
      </w:pPr>
      <w:r w:rsidRPr="00506DD5">
        <w:rPr>
          <w:lang w:val="en-CA"/>
        </w:rPr>
        <w:t xml:space="preserve">The Ontario </w:t>
      </w:r>
      <w:r w:rsidRPr="00506DD5">
        <w:rPr>
          <w:i/>
          <w:iCs/>
          <w:lang w:val="en-CA"/>
        </w:rPr>
        <w:t xml:space="preserve">Human Rights Code </w:t>
      </w:r>
      <w:r w:rsidRPr="00506DD5">
        <w:rPr>
          <w:lang w:val="en-CA"/>
        </w:rPr>
        <w:t xml:space="preserve">applies </w:t>
      </w:r>
      <w:r w:rsidRPr="00506DD5">
        <w:rPr>
          <w:i/>
          <w:iCs/>
          <w:lang w:val="en-CA"/>
        </w:rPr>
        <w:t>only</w:t>
      </w:r>
      <w:r w:rsidRPr="00506DD5">
        <w:rPr>
          <w:b/>
          <w:bCs/>
          <w:lang w:val="en-CA"/>
        </w:rPr>
        <w:t xml:space="preserve"> </w:t>
      </w:r>
      <w:r w:rsidRPr="00506DD5">
        <w:rPr>
          <w:lang w:val="en-CA"/>
        </w:rPr>
        <w:t xml:space="preserve">to employees in Ontario and not to those working for national organizations (banks, airlines, railways, etc.), which are governed by the </w:t>
      </w:r>
      <w:r w:rsidRPr="00506DD5">
        <w:rPr>
          <w:i/>
          <w:iCs/>
          <w:lang w:val="en-CA"/>
        </w:rPr>
        <w:t>Canadian Human Rights Act</w:t>
      </w:r>
      <w:r w:rsidRPr="00506DD5">
        <w:rPr>
          <w:lang w:val="en-CA"/>
        </w:rPr>
        <w:t>.</w:t>
      </w:r>
    </w:p>
    <w:p w14:paraId="60B11B34" w14:textId="77777777" w:rsidR="003D0F3C" w:rsidRPr="00506DD5" w:rsidRDefault="003D0F3C" w:rsidP="003D0F3C">
      <w:pPr>
        <w:pStyle w:val="ListParagraph"/>
        <w:numPr>
          <w:ilvl w:val="0"/>
          <w:numId w:val="2"/>
        </w:numPr>
        <w:tabs>
          <w:tab w:val="left" w:pos="3494"/>
        </w:tabs>
      </w:pPr>
      <w:r w:rsidRPr="00506DD5">
        <w:rPr>
          <w:lang w:val="en-CA"/>
        </w:rPr>
        <w:t xml:space="preserve">Activities Covered </w:t>
      </w:r>
    </w:p>
    <w:p w14:paraId="056D88B7" w14:textId="77777777" w:rsidR="003D0F3C" w:rsidRPr="00506DD5" w:rsidRDefault="003D0F3C" w:rsidP="003D0F3C">
      <w:pPr>
        <w:pStyle w:val="ListParagraph"/>
        <w:numPr>
          <w:ilvl w:val="1"/>
          <w:numId w:val="2"/>
        </w:numPr>
        <w:tabs>
          <w:tab w:val="left" w:pos="3494"/>
        </w:tabs>
      </w:pPr>
      <w:r w:rsidRPr="00506DD5">
        <w:rPr>
          <w:lang w:val="en-CA"/>
        </w:rPr>
        <w:t>Employment</w:t>
      </w:r>
    </w:p>
    <w:p w14:paraId="56227A65" w14:textId="77777777" w:rsidR="003D0F3C" w:rsidRPr="00506DD5" w:rsidRDefault="003D0F3C" w:rsidP="003D0F3C">
      <w:pPr>
        <w:pStyle w:val="ListParagraph"/>
        <w:numPr>
          <w:ilvl w:val="1"/>
          <w:numId w:val="2"/>
        </w:numPr>
        <w:tabs>
          <w:tab w:val="left" w:pos="3494"/>
        </w:tabs>
      </w:pPr>
      <w:r w:rsidRPr="00506DD5">
        <w:rPr>
          <w:lang w:val="en-CA"/>
        </w:rPr>
        <w:t>Accommodation</w:t>
      </w:r>
    </w:p>
    <w:p w14:paraId="03BE4B16" w14:textId="77777777" w:rsidR="003D0F3C" w:rsidRPr="00506DD5" w:rsidRDefault="003D0F3C" w:rsidP="003D0F3C">
      <w:pPr>
        <w:pStyle w:val="ListParagraph"/>
        <w:numPr>
          <w:ilvl w:val="1"/>
          <w:numId w:val="2"/>
        </w:numPr>
        <w:tabs>
          <w:tab w:val="left" w:pos="3494"/>
        </w:tabs>
      </w:pPr>
      <w:r w:rsidRPr="00506DD5">
        <w:rPr>
          <w:lang w:val="en-CA"/>
        </w:rPr>
        <w:t>Delivery of Goods and Services</w:t>
      </w:r>
    </w:p>
    <w:p w14:paraId="36534F07" w14:textId="77777777" w:rsidR="003D0F3C" w:rsidRPr="00506DD5" w:rsidRDefault="003D0F3C" w:rsidP="003D0F3C">
      <w:pPr>
        <w:pStyle w:val="ListParagraph"/>
        <w:numPr>
          <w:ilvl w:val="1"/>
          <w:numId w:val="2"/>
        </w:numPr>
        <w:tabs>
          <w:tab w:val="left" w:pos="3494"/>
        </w:tabs>
      </w:pPr>
      <w:r w:rsidRPr="00506DD5">
        <w:rPr>
          <w:lang w:val="en-CA"/>
        </w:rPr>
        <w:t>Contracts</w:t>
      </w:r>
    </w:p>
    <w:p w14:paraId="350B96B0" w14:textId="77777777" w:rsidR="003D0F3C" w:rsidRPr="00506DD5" w:rsidRDefault="003D0F3C" w:rsidP="003D0F3C">
      <w:pPr>
        <w:pStyle w:val="ListParagraph"/>
        <w:numPr>
          <w:ilvl w:val="1"/>
          <w:numId w:val="2"/>
        </w:numPr>
        <w:tabs>
          <w:tab w:val="left" w:pos="3494"/>
        </w:tabs>
      </w:pPr>
      <w:r w:rsidRPr="00506DD5">
        <w:rPr>
          <w:lang w:val="en-CA"/>
        </w:rPr>
        <w:t>Vocational Associations, Trade Unions</w:t>
      </w:r>
    </w:p>
    <w:p w14:paraId="18A09AEF" w14:textId="77777777" w:rsidR="003D0F3C" w:rsidRPr="00506DD5" w:rsidRDefault="003D0F3C" w:rsidP="003D0F3C">
      <w:pPr>
        <w:pStyle w:val="ListParagraph"/>
        <w:numPr>
          <w:ilvl w:val="0"/>
          <w:numId w:val="2"/>
        </w:numPr>
        <w:tabs>
          <w:tab w:val="left" w:pos="3494"/>
        </w:tabs>
      </w:pPr>
      <w:r w:rsidRPr="00506DD5">
        <w:rPr>
          <w:lang w:val="en-CA"/>
        </w:rPr>
        <w:t>Prohibited grounds of discrimination in employment [S. 5. (1)].</w:t>
      </w:r>
    </w:p>
    <w:p w14:paraId="646470C1" w14:textId="77777777" w:rsidR="003D0F3C" w:rsidRPr="00506DD5" w:rsidRDefault="003D0F3C" w:rsidP="003D0F3C">
      <w:pPr>
        <w:pStyle w:val="ListParagraph"/>
        <w:numPr>
          <w:ilvl w:val="0"/>
          <w:numId w:val="2"/>
        </w:numPr>
        <w:tabs>
          <w:tab w:val="left" w:pos="3494"/>
        </w:tabs>
      </w:pPr>
      <w:r w:rsidRPr="00506DD5">
        <w:rPr>
          <w:lang w:val="en-CA"/>
        </w:rPr>
        <w:t xml:space="preserve">“Every person has a right to equal treatment with respect to employment without discrimination because of </w:t>
      </w:r>
      <w:r w:rsidRPr="00506DD5">
        <w:rPr>
          <w:i/>
          <w:iCs/>
          <w:lang w:val="en-CA"/>
        </w:rPr>
        <w:t>race, ancestry, place of origin, colour, ethnic origin, citizenship, creed, sex, sexual orientation, gender identity, gender expression, age, record of offences, marital status, family status or disability</w:t>
      </w:r>
      <w:r w:rsidRPr="00506DD5">
        <w:rPr>
          <w:lang w:val="en-CA"/>
        </w:rPr>
        <w:t>.” (italics mine)</w:t>
      </w:r>
    </w:p>
    <w:p w14:paraId="7C468336" w14:textId="77777777" w:rsidR="003D0F3C" w:rsidRPr="00506DD5" w:rsidRDefault="003D0F3C" w:rsidP="003D0F3C">
      <w:pPr>
        <w:pStyle w:val="ListParagraph"/>
        <w:numPr>
          <w:ilvl w:val="0"/>
          <w:numId w:val="2"/>
        </w:numPr>
        <w:tabs>
          <w:tab w:val="left" w:pos="3494"/>
        </w:tabs>
      </w:pPr>
      <w:r w:rsidRPr="00506DD5">
        <w:rPr>
          <w:lang w:val="en-CA"/>
        </w:rPr>
        <w:t xml:space="preserve">A sustainable claim of discrimination </w:t>
      </w:r>
      <w:r w:rsidRPr="00506DD5">
        <w:rPr>
          <w:i/>
          <w:iCs/>
          <w:lang w:val="en-CA"/>
        </w:rPr>
        <w:t>must</w:t>
      </w:r>
      <w:r w:rsidRPr="00506DD5">
        <w:rPr>
          <w:lang w:val="en-CA"/>
        </w:rPr>
        <w:t xml:space="preserve"> be within one of the prescribed prohibited grounds.</w:t>
      </w:r>
      <w:r>
        <w:rPr>
          <w:lang w:val="en-CA"/>
        </w:rPr>
        <w:t xml:space="preserve"> </w:t>
      </w:r>
      <w:r>
        <w:rPr>
          <w:color w:val="FF0000"/>
          <w:lang w:val="en-CA"/>
        </w:rPr>
        <w:t xml:space="preserve">If its not under the following grounds, it is not illegal. For example: applying for model agency, models have to be at least 5’7 and be 135 pounds and have a certain body type. You don’t have these characteristics so. Has been discriminated against but NOT illegally because discrimination doesn’t exist on the basis of height or weight. </w:t>
      </w:r>
    </w:p>
    <w:p w14:paraId="3824AC6C" w14:textId="77777777" w:rsidR="003D0F3C" w:rsidRPr="00506DD5" w:rsidRDefault="003D0F3C" w:rsidP="003D0F3C">
      <w:pPr>
        <w:pStyle w:val="ListParagraph"/>
        <w:numPr>
          <w:ilvl w:val="0"/>
          <w:numId w:val="2"/>
        </w:numPr>
        <w:tabs>
          <w:tab w:val="left" w:pos="3494"/>
        </w:tabs>
      </w:pPr>
      <w:r w:rsidRPr="00506DD5">
        <w:rPr>
          <w:lang w:val="en-CA"/>
        </w:rPr>
        <w:t xml:space="preserve">The courts have adopted a broad and liberal interpretation of the </w:t>
      </w:r>
      <w:r w:rsidRPr="00506DD5">
        <w:rPr>
          <w:i/>
          <w:iCs/>
          <w:lang w:val="en-CA"/>
        </w:rPr>
        <w:t>Code</w:t>
      </w:r>
      <w:r w:rsidRPr="00506DD5">
        <w:rPr>
          <w:lang w:val="en-CA"/>
        </w:rPr>
        <w:t>.</w:t>
      </w:r>
    </w:p>
    <w:p w14:paraId="3F967D20" w14:textId="3039AB7B" w:rsidR="006108C5" w:rsidRDefault="003D0F3C" w:rsidP="00E52688">
      <w:pPr>
        <w:pStyle w:val="ListParagraph"/>
        <w:numPr>
          <w:ilvl w:val="1"/>
          <w:numId w:val="2"/>
        </w:numPr>
        <w:tabs>
          <w:tab w:val="left" w:pos="3494"/>
        </w:tabs>
      </w:pPr>
      <w:r w:rsidRPr="00506DD5">
        <w:rPr>
          <w:lang w:val="en-CA"/>
        </w:rPr>
        <w:t>E.g., the term “employment” has been interpreted to include contract workers, temporary workers and, in some instances, volunteer workers.</w:t>
      </w:r>
    </w:p>
    <w:sectPr w:rsidR="006108C5" w:rsidSect="000E25CD">
      <w:footerReference w:type="even" r:id="rId1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15093" w14:textId="77777777" w:rsidR="008F38EE" w:rsidRDefault="008F38EE" w:rsidP="00645E5D">
      <w:r>
        <w:separator/>
      </w:r>
    </w:p>
  </w:endnote>
  <w:endnote w:type="continuationSeparator" w:id="0">
    <w:p w14:paraId="7B48D5BD" w14:textId="77777777" w:rsidR="008F38EE" w:rsidRDefault="008F38EE" w:rsidP="00645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7706C" w14:textId="77777777" w:rsidR="00645E5D" w:rsidRDefault="00645E5D"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47DAF3" w14:textId="77777777" w:rsidR="00645E5D" w:rsidRDefault="00645E5D" w:rsidP="00645E5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C2AC7" w14:textId="77777777" w:rsidR="00645E5D" w:rsidRDefault="00645E5D"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38EE">
      <w:rPr>
        <w:rStyle w:val="PageNumber"/>
        <w:noProof/>
      </w:rPr>
      <w:t>1</w:t>
    </w:r>
    <w:r>
      <w:rPr>
        <w:rStyle w:val="PageNumber"/>
      </w:rPr>
      <w:fldChar w:fldCharType="end"/>
    </w:r>
  </w:p>
  <w:p w14:paraId="7DFF00BC" w14:textId="77777777" w:rsidR="00645E5D" w:rsidRDefault="00645E5D" w:rsidP="00645E5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A1CDD4" w14:textId="77777777" w:rsidR="008F38EE" w:rsidRDefault="008F38EE" w:rsidP="00645E5D">
      <w:r>
        <w:separator/>
      </w:r>
    </w:p>
  </w:footnote>
  <w:footnote w:type="continuationSeparator" w:id="0">
    <w:p w14:paraId="646D9064" w14:textId="77777777" w:rsidR="008F38EE" w:rsidRDefault="008F38EE" w:rsidP="00645E5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43CDC"/>
    <w:multiLevelType w:val="hybridMultilevel"/>
    <w:tmpl w:val="10282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B317A0"/>
    <w:multiLevelType w:val="hybridMultilevel"/>
    <w:tmpl w:val="3A4258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484215"/>
    <w:multiLevelType w:val="hybridMultilevel"/>
    <w:tmpl w:val="A1140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60796B"/>
    <w:multiLevelType w:val="hybridMultilevel"/>
    <w:tmpl w:val="8DF21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1D6967"/>
    <w:multiLevelType w:val="hybridMultilevel"/>
    <w:tmpl w:val="D4D6CF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1822AF"/>
    <w:multiLevelType w:val="hybridMultilevel"/>
    <w:tmpl w:val="B5A046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1811DC"/>
    <w:multiLevelType w:val="hybridMultilevel"/>
    <w:tmpl w:val="8EA0F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105FD5"/>
    <w:multiLevelType w:val="hybridMultilevel"/>
    <w:tmpl w:val="4E66F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0"/>
  </w:num>
  <w:num w:numId="5">
    <w:abstractNumId w:val="7"/>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F3C"/>
    <w:rsid w:val="000654FF"/>
    <w:rsid w:val="000E25CD"/>
    <w:rsid w:val="003D0F3C"/>
    <w:rsid w:val="004E4146"/>
    <w:rsid w:val="006108C5"/>
    <w:rsid w:val="00645E5D"/>
    <w:rsid w:val="00656CE6"/>
    <w:rsid w:val="008F38EE"/>
    <w:rsid w:val="00982940"/>
    <w:rsid w:val="00A10785"/>
    <w:rsid w:val="00AE1457"/>
    <w:rsid w:val="00BA42C4"/>
    <w:rsid w:val="00C54AE3"/>
    <w:rsid w:val="00E52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9D79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F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F3C"/>
    <w:pPr>
      <w:ind w:left="720"/>
      <w:contextualSpacing/>
    </w:pPr>
  </w:style>
  <w:style w:type="paragraph" w:styleId="Footer">
    <w:name w:val="footer"/>
    <w:basedOn w:val="Normal"/>
    <w:link w:val="FooterChar"/>
    <w:uiPriority w:val="99"/>
    <w:unhideWhenUsed/>
    <w:rsid w:val="00645E5D"/>
    <w:pPr>
      <w:tabs>
        <w:tab w:val="center" w:pos="4680"/>
        <w:tab w:val="right" w:pos="9360"/>
      </w:tabs>
    </w:pPr>
  </w:style>
  <w:style w:type="character" w:customStyle="1" w:styleId="FooterChar">
    <w:name w:val="Footer Char"/>
    <w:basedOn w:val="DefaultParagraphFont"/>
    <w:link w:val="Footer"/>
    <w:uiPriority w:val="99"/>
    <w:rsid w:val="00645E5D"/>
  </w:style>
  <w:style w:type="character" w:styleId="PageNumber">
    <w:name w:val="page number"/>
    <w:basedOn w:val="DefaultParagraphFont"/>
    <w:uiPriority w:val="99"/>
    <w:semiHidden/>
    <w:unhideWhenUsed/>
    <w:rsid w:val="00645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56A73A-D217-4562-9144-24991E6230A9}" type="doc">
      <dgm:prSet loTypeId="urn:microsoft.com/office/officeart/2005/8/layout/arrow3" loCatId="relationship" qsTypeId="urn:microsoft.com/office/officeart/2005/8/quickstyle/simple1" qsCatId="simple" csTypeId="urn:microsoft.com/office/officeart/2005/8/colors/accent1_2" csCatId="accent1" phldr="1"/>
      <dgm:spPr/>
      <dgm:t>
        <a:bodyPr/>
        <a:lstStyle/>
        <a:p>
          <a:endParaRPr lang="en-CA"/>
        </a:p>
      </dgm:t>
    </dgm:pt>
    <dgm:pt modelId="{75DC4F2C-8DBE-434B-91A0-C280CA11B7EE}">
      <dgm:prSet phldrT="[Text]"/>
      <dgm:spPr/>
      <dgm:t>
        <a:bodyPr/>
        <a:lstStyle/>
        <a:p>
          <a:r>
            <a:rPr lang="en-CA" i="0" dirty="0" smtClean="0"/>
            <a:t>Legislation</a:t>
          </a:r>
          <a:endParaRPr lang="en-CA" i="0" dirty="0"/>
        </a:p>
      </dgm:t>
    </dgm:pt>
    <dgm:pt modelId="{6A6675F4-F78A-46BE-B8FF-4047D2F4D584}" type="parTrans" cxnId="{66252A22-1876-425D-8CFC-CA3B5214829E}">
      <dgm:prSet/>
      <dgm:spPr/>
      <dgm:t>
        <a:bodyPr/>
        <a:lstStyle/>
        <a:p>
          <a:endParaRPr lang="en-CA"/>
        </a:p>
      </dgm:t>
    </dgm:pt>
    <dgm:pt modelId="{5AD9A661-3C7A-49ED-A78E-B064217E9852}" type="sibTrans" cxnId="{66252A22-1876-425D-8CFC-CA3B5214829E}">
      <dgm:prSet/>
      <dgm:spPr/>
      <dgm:t>
        <a:bodyPr/>
        <a:lstStyle/>
        <a:p>
          <a:endParaRPr lang="en-CA"/>
        </a:p>
      </dgm:t>
    </dgm:pt>
    <dgm:pt modelId="{FC7F1CB9-C047-411A-8ECA-8803CA118335}">
      <dgm:prSet phldrT="[Text]"/>
      <dgm:spPr/>
      <dgm:t>
        <a:bodyPr/>
        <a:lstStyle/>
        <a:p>
          <a:r>
            <a:rPr lang="en-CA" dirty="0" smtClean="0"/>
            <a:t>Common Law</a:t>
          </a:r>
          <a:endParaRPr lang="en-CA" dirty="0"/>
        </a:p>
      </dgm:t>
    </dgm:pt>
    <dgm:pt modelId="{D3F8A7A6-B50C-4262-B831-B7143A93F010}" type="parTrans" cxnId="{6C65DC2F-26AD-46C7-AA34-0CCAC6B490E2}">
      <dgm:prSet/>
      <dgm:spPr/>
      <dgm:t>
        <a:bodyPr/>
        <a:lstStyle/>
        <a:p>
          <a:endParaRPr lang="en-CA"/>
        </a:p>
      </dgm:t>
    </dgm:pt>
    <dgm:pt modelId="{E3FBCB6F-C2B4-4A3C-9280-CFA036D3E61D}" type="sibTrans" cxnId="{6C65DC2F-26AD-46C7-AA34-0CCAC6B490E2}">
      <dgm:prSet/>
      <dgm:spPr/>
      <dgm:t>
        <a:bodyPr/>
        <a:lstStyle/>
        <a:p>
          <a:endParaRPr lang="en-CA"/>
        </a:p>
      </dgm:t>
    </dgm:pt>
    <dgm:pt modelId="{6336111F-E33F-4BF6-9878-48D48DE470E7}" type="pres">
      <dgm:prSet presAssocID="{B056A73A-D217-4562-9144-24991E6230A9}" presName="compositeShape" presStyleCnt="0">
        <dgm:presLayoutVars>
          <dgm:chMax val="2"/>
          <dgm:dir/>
          <dgm:resizeHandles val="exact"/>
        </dgm:presLayoutVars>
      </dgm:prSet>
      <dgm:spPr/>
      <dgm:t>
        <a:bodyPr/>
        <a:lstStyle/>
        <a:p>
          <a:endParaRPr lang="en-CA"/>
        </a:p>
      </dgm:t>
    </dgm:pt>
    <dgm:pt modelId="{48D0417E-58ED-4372-A48E-F608D2F17127}" type="pres">
      <dgm:prSet presAssocID="{B056A73A-D217-4562-9144-24991E6230A9}" presName="divider" presStyleLbl="fgShp" presStyleIdx="0" presStyleCnt="1"/>
      <dgm:spPr/>
    </dgm:pt>
    <dgm:pt modelId="{75FDC7FA-D8E3-4F0E-9949-3F2C6E8F1DEB}" type="pres">
      <dgm:prSet presAssocID="{75DC4F2C-8DBE-434B-91A0-C280CA11B7EE}" presName="downArrow" presStyleLbl="node1" presStyleIdx="0" presStyleCnt="2"/>
      <dgm:spPr/>
    </dgm:pt>
    <dgm:pt modelId="{A640463F-98B8-48B4-98E5-FDE4579AC4F4}" type="pres">
      <dgm:prSet presAssocID="{75DC4F2C-8DBE-434B-91A0-C280CA11B7EE}" presName="downArrowText" presStyleLbl="revTx" presStyleIdx="0" presStyleCnt="2">
        <dgm:presLayoutVars>
          <dgm:bulletEnabled val="1"/>
        </dgm:presLayoutVars>
      </dgm:prSet>
      <dgm:spPr/>
      <dgm:t>
        <a:bodyPr/>
        <a:lstStyle/>
        <a:p>
          <a:endParaRPr lang="en-CA"/>
        </a:p>
      </dgm:t>
    </dgm:pt>
    <dgm:pt modelId="{6BC6E971-C753-4F46-8FDB-153EA6AEA8B6}" type="pres">
      <dgm:prSet presAssocID="{FC7F1CB9-C047-411A-8ECA-8803CA118335}" presName="upArrow" presStyleLbl="node1" presStyleIdx="1" presStyleCnt="2"/>
      <dgm:spPr/>
    </dgm:pt>
    <dgm:pt modelId="{947519AD-0C2C-4F8A-9CE5-AB01C1AA7B98}" type="pres">
      <dgm:prSet presAssocID="{FC7F1CB9-C047-411A-8ECA-8803CA118335}" presName="upArrowText" presStyleLbl="revTx" presStyleIdx="1" presStyleCnt="2">
        <dgm:presLayoutVars>
          <dgm:bulletEnabled val="1"/>
        </dgm:presLayoutVars>
      </dgm:prSet>
      <dgm:spPr/>
      <dgm:t>
        <a:bodyPr/>
        <a:lstStyle/>
        <a:p>
          <a:endParaRPr lang="en-CA"/>
        </a:p>
      </dgm:t>
    </dgm:pt>
  </dgm:ptLst>
  <dgm:cxnLst>
    <dgm:cxn modelId="{66252A22-1876-425D-8CFC-CA3B5214829E}" srcId="{B056A73A-D217-4562-9144-24991E6230A9}" destId="{75DC4F2C-8DBE-434B-91A0-C280CA11B7EE}" srcOrd="0" destOrd="0" parTransId="{6A6675F4-F78A-46BE-B8FF-4047D2F4D584}" sibTransId="{5AD9A661-3C7A-49ED-A78E-B064217E9852}"/>
    <dgm:cxn modelId="{3EB8F847-CB99-7349-9E20-E82CC61CC8D9}" type="presOf" srcId="{FC7F1CB9-C047-411A-8ECA-8803CA118335}" destId="{947519AD-0C2C-4F8A-9CE5-AB01C1AA7B98}" srcOrd="0" destOrd="0" presId="urn:microsoft.com/office/officeart/2005/8/layout/arrow3"/>
    <dgm:cxn modelId="{47F2DC97-A8C8-F24A-B217-91366D8F3B86}" type="presOf" srcId="{B056A73A-D217-4562-9144-24991E6230A9}" destId="{6336111F-E33F-4BF6-9878-48D48DE470E7}" srcOrd="0" destOrd="0" presId="urn:microsoft.com/office/officeart/2005/8/layout/arrow3"/>
    <dgm:cxn modelId="{6C65DC2F-26AD-46C7-AA34-0CCAC6B490E2}" srcId="{B056A73A-D217-4562-9144-24991E6230A9}" destId="{FC7F1CB9-C047-411A-8ECA-8803CA118335}" srcOrd="1" destOrd="0" parTransId="{D3F8A7A6-B50C-4262-B831-B7143A93F010}" sibTransId="{E3FBCB6F-C2B4-4A3C-9280-CFA036D3E61D}"/>
    <dgm:cxn modelId="{C221089B-F5F2-3942-ABC9-A2588B5796EF}" type="presOf" srcId="{75DC4F2C-8DBE-434B-91A0-C280CA11B7EE}" destId="{A640463F-98B8-48B4-98E5-FDE4579AC4F4}" srcOrd="0" destOrd="0" presId="urn:microsoft.com/office/officeart/2005/8/layout/arrow3"/>
    <dgm:cxn modelId="{AE44451A-DD4B-8342-AF07-6E751298C2C0}" type="presParOf" srcId="{6336111F-E33F-4BF6-9878-48D48DE470E7}" destId="{48D0417E-58ED-4372-A48E-F608D2F17127}" srcOrd="0" destOrd="0" presId="urn:microsoft.com/office/officeart/2005/8/layout/arrow3"/>
    <dgm:cxn modelId="{3D94C6F3-2147-9E4D-BA43-946965DA07E8}" type="presParOf" srcId="{6336111F-E33F-4BF6-9878-48D48DE470E7}" destId="{75FDC7FA-D8E3-4F0E-9949-3F2C6E8F1DEB}" srcOrd="1" destOrd="0" presId="urn:microsoft.com/office/officeart/2005/8/layout/arrow3"/>
    <dgm:cxn modelId="{CD5965A2-7C49-914A-AC6D-303043C10389}" type="presParOf" srcId="{6336111F-E33F-4BF6-9878-48D48DE470E7}" destId="{A640463F-98B8-48B4-98E5-FDE4579AC4F4}" srcOrd="2" destOrd="0" presId="urn:microsoft.com/office/officeart/2005/8/layout/arrow3"/>
    <dgm:cxn modelId="{A9534DA3-904D-0048-A77A-9A5E043A1597}" type="presParOf" srcId="{6336111F-E33F-4BF6-9878-48D48DE470E7}" destId="{6BC6E971-C753-4F46-8FDB-153EA6AEA8B6}" srcOrd="3" destOrd="0" presId="urn:microsoft.com/office/officeart/2005/8/layout/arrow3"/>
    <dgm:cxn modelId="{B45F6C37-190D-BD49-AA66-0C8B61F1CB93}" type="presParOf" srcId="{6336111F-E33F-4BF6-9878-48D48DE470E7}" destId="{947519AD-0C2C-4F8A-9CE5-AB01C1AA7B98}" srcOrd="4" destOrd="0" presId="urn:microsoft.com/office/officeart/2005/8/layout/arrow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D0417E-58ED-4372-A48E-F608D2F17127}">
      <dsp:nvSpPr>
        <dsp:cNvPr id="0" name=""/>
        <dsp:cNvSpPr/>
      </dsp:nvSpPr>
      <dsp:spPr>
        <a:xfrm rot="21300000">
          <a:off x="237563" y="503454"/>
          <a:ext cx="2891008" cy="252930"/>
        </a:xfrm>
        <a:prstGeom prst="mathMinus">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FDC7FA-D8E3-4F0E-9949-3F2C6E8F1DEB}">
      <dsp:nvSpPr>
        <dsp:cNvPr id="0" name=""/>
        <dsp:cNvSpPr/>
      </dsp:nvSpPr>
      <dsp:spPr>
        <a:xfrm>
          <a:off x="403936" y="62992"/>
          <a:ext cx="1009840" cy="503936"/>
        </a:xfrm>
        <a:prstGeom prst="down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40463F-98B8-48B4-98E5-FDE4579AC4F4}">
      <dsp:nvSpPr>
        <dsp:cNvPr id="0" name=""/>
        <dsp:cNvSpPr/>
      </dsp:nvSpPr>
      <dsp:spPr>
        <a:xfrm>
          <a:off x="1784051" y="0"/>
          <a:ext cx="1077163" cy="5291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CA" sz="1200" i="0" kern="1200" dirty="0" smtClean="0"/>
            <a:t>Legislation</a:t>
          </a:r>
          <a:endParaRPr lang="en-CA" sz="1200" i="0" kern="1200" dirty="0"/>
        </a:p>
      </dsp:txBody>
      <dsp:txXfrm>
        <a:off x="1784051" y="0"/>
        <a:ext cx="1077163" cy="529132"/>
      </dsp:txXfrm>
    </dsp:sp>
    <dsp:sp modelId="{6BC6E971-C753-4F46-8FDB-153EA6AEA8B6}">
      <dsp:nvSpPr>
        <dsp:cNvPr id="0" name=""/>
        <dsp:cNvSpPr/>
      </dsp:nvSpPr>
      <dsp:spPr>
        <a:xfrm>
          <a:off x="1952358" y="692912"/>
          <a:ext cx="1009840" cy="503936"/>
        </a:xfrm>
        <a:prstGeom prst="up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7519AD-0C2C-4F8A-9CE5-AB01C1AA7B98}">
      <dsp:nvSpPr>
        <dsp:cNvPr id="0" name=""/>
        <dsp:cNvSpPr/>
      </dsp:nvSpPr>
      <dsp:spPr>
        <a:xfrm>
          <a:off x="504920" y="730707"/>
          <a:ext cx="1077163" cy="5291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CA" sz="1200" kern="1200" dirty="0" smtClean="0"/>
            <a:t>Common Law</a:t>
          </a:r>
          <a:endParaRPr lang="en-CA" sz="1200" kern="1200" dirty="0"/>
        </a:p>
      </dsp:txBody>
      <dsp:txXfrm>
        <a:off x="504920" y="730707"/>
        <a:ext cx="1077163" cy="529132"/>
      </dsp:txXfrm>
    </dsp:sp>
  </dsp:spTree>
</dsp:drawing>
</file>

<file path=word/diagrams/layout1.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4</Pages>
  <Words>1414</Words>
  <Characters>8061</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3</cp:revision>
  <dcterms:created xsi:type="dcterms:W3CDTF">2017-10-13T03:51:00Z</dcterms:created>
  <dcterms:modified xsi:type="dcterms:W3CDTF">2017-10-15T20:14:00Z</dcterms:modified>
</cp:coreProperties>
</file>