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42D87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Structure of Union Organizations</w:t>
      </w:r>
    </w:p>
    <w:p w14:paraId="27A3674A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•Networks of labour organizations:</w:t>
      </w:r>
    </w:p>
    <w:p w14:paraId="42BE5427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–Local unions (DOES COLLECTIVE BARGAINING)</w:t>
      </w:r>
    </w:p>
    <w:p w14:paraId="1AAF46F2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–Parent unions (DOES COLLECTIVE BARGAINING)</w:t>
      </w:r>
    </w:p>
    <w:p w14:paraId="51415F2C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–Local/regional labour councils (DOESN’T DO DIRECT BARGAINING)</w:t>
      </w:r>
    </w:p>
    <w:p w14:paraId="53ECE9BC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 Provincial federations (DOESN’T DO DIRECT BARGAINING)</w:t>
      </w:r>
    </w:p>
    <w:p w14:paraId="42CFA777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–National federation (DOESN’T DO DIRECT BARGAINING)</w:t>
      </w:r>
    </w:p>
    <w:p w14:paraId="335855BA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 </w:t>
      </w:r>
    </w:p>
    <w:p w14:paraId="5EDD7DB6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The Local Union</w:t>
      </w:r>
    </w:p>
    <w:p w14:paraId="722C9158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•Some “independent”–i.e. no “parent”</w:t>
      </w:r>
    </w:p>
    <w:p w14:paraId="32D0E231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•Internal Structure:</w:t>
      </w:r>
    </w:p>
    <w:p w14:paraId="12824A25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–Amalgamated vs. standalone. Union Executive, Shop Stewards, Business Agents, other staff, etc.</w:t>
      </w:r>
    </w:p>
    <w:p w14:paraId="2B6326D7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•Union democracy</w:t>
      </w:r>
    </w:p>
    <w:p w14:paraId="15D5BED4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–participation, elections, representation, according to own internal structure</w:t>
      </w:r>
    </w:p>
    <w:p w14:paraId="440691BF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proofErr w:type="gramStart"/>
      <w:r w:rsidRPr="00E162FB">
        <w:rPr>
          <w:rFonts w:ascii="Arial" w:hAnsi="Arial" w:cs="Arial"/>
          <w:color w:val="353535"/>
          <w:sz w:val="19"/>
          <w:szCs w:val="19"/>
        </w:rPr>
        <w:t>–“</w:t>
      </w:r>
      <w:proofErr w:type="gramEnd"/>
      <w:r w:rsidRPr="00E162FB">
        <w:rPr>
          <w:rFonts w:ascii="Arial" w:hAnsi="Arial" w:cs="Arial"/>
          <w:color w:val="353535"/>
          <w:sz w:val="19"/>
          <w:szCs w:val="19"/>
        </w:rPr>
        <w:t xml:space="preserve">lightly” regulated </w:t>
      </w:r>
    </w:p>
    <w:p w14:paraId="4B123835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–OLRB “status” rules</w:t>
      </w:r>
    </w:p>
    <w:p w14:paraId="150331B5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 </w:t>
      </w:r>
    </w:p>
    <w:p w14:paraId="3696A82C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“Parent” Unions</w:t>
      </w:r>
    </w:p>
    <w:p w14:paraId="4CBE7B65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•Regional, national or international</w:t>
      </w:r>
    </w:p>
    <w:p w14:paraId="4290C29C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•Executive, Staff</w:t>
      </w:r>
    </w:p>
    <w:p w14:paraId="4686AA3F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•Convention/Congress</w:t>
      </w:r>
    </w:p>
    <w:p w14:paraId="373E08FB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–delegates, elections (OMOV vs delegated elections), union policy, constitution</w:t>
      </w:r>
    </w:p>
    <w:p w14:paraId="61EB53B5" w14:textId="77777777" w:rsidR="00E162FB" w:rsidRPr="00E162FB" w:rsidRDefault="00E162FB" w:rsidP="00E162F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353535"/>
          <w:sz w:val="22"/>
          <w:szCs w:val="22"/>
        </w:rPr>
      </w:pPr>
      <w:r w:rsidRPr="00E162FB">
        <w:rPr>
          <w:rFonts w:ascii="Arial" w:eastAsia="Times New Roman" w:hAnsi="Arial" w:cs="Arial"/>
          <w:color w:val="353535"/>
          <w:sz w:val="19"/>
          <w:szCs w:val="19"/>
        </w:rPr>
        <w:t xml:space="preserve">Often people are elected at these conventions </w:t>
      </w:r>
    </w:p>
    <w:p w14:paraId="1BF72E62" w14:textId="77777777" w:rsidR="00E162FB" w:rsidRPr="00E162FB" w:rsidRDefault="00E162FB" w:rsidP="00E162FB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353535"/>
          <w:sz w:val="22"/>
          <w:szCs w:val="22"/>
        </w:rPr>
      </w:pPr>
      <w:r w:rsidRPr="00E162FB">
        <w:rPr>
          <w:rFonts w:ascii="Arial" w:eastAsia="Times New Roman" w:hAnsi="Arial" w:cs="Arial"/>
          <w:color w:val="353535"/>
          <w:sz w:val="19"/>
          <w:szCs w:val="19"/>
        </w:rPr>
        <w:t>OMOV - one member one vote (</w:t>
      </w:r>
    </w:p>
    <w:p w14:paraId="74BB2117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 </w:t>
      </w:r>
    </w:p>
    <w:p w14:paraId="49F17819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Labour Councils</w:t>
      </w:r>
    </w:p>
    <w:p w14:paraId="4F9943F4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•Regionally defined bodies</w:t>
      </w:r>
    </w:p>
    <w:p w14:paraId="45D0BE8F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•Multiple unions as members, linked to the CLC</w:t>
      </w:r>
    </w:p>
    <w:p w14:paraId="742B4265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•Functions:</w:t>
      </w:r>
    </w:p>
    <w:p w14:paraId="3A9F23B6" w14:textId="77777777" w:rsidR="00E162FB" w:rsidRPr="00E162FB" w:rsidRDefault="00E162FB" w:rsidP="00E162FB">
      <w:pPr>
        <w:rPr>
          <w:rFonts w:ascii="Calibri" w:hAnsi="Calibri" w:cs="Times New Roman"/>
          <w:sz w:val="22"/>
          <w:szCs w:val="22"/>
        </w:rPr>
      </w:pPr>
      <w:r w:rsidRPr="00E162FB">
        <w:rPr>
          <w:rFonts w:ascii="Calibri" w:hAnsi="Calibri" w:cs="Times New Roman"/>
          <w:sz w:val="22"/>
          <w:szCs w:val="22"/>
        </w:rPr>
        <w:t xml:space="preserve"> </w:t>
      </w:r>
      <w:r w:rsidRPr="00E162FB">
        <w:rPr>
          <w:rFonts w:ascii="Arial" w:hAnsi="Arial" w:cs="Arial"/>
          <w:color w:val="353535"/>
          <w:sz w:val="19"/>
          <w:szCs w:val="19"/>
        </w:rPr>
        <w:t>–co-ordination and mutual support amongst unions in region; political/legislative/lobbying; charitable/social</w:t>
      </w:r>
    </w:p>
    <w:p w14:paraId="0629E340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 </w:t>
      </w:r>
    </w:p>
    <w:p w14:paraId="0FFFB178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Federations</w:t>
      </w:r>
    </w:p>
    <w:p w14:paraId="5F480A4E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•Multiple unions as members/affiliates -usually parents, some locals if independent</w:t>
      </w:r>
    </w:p>
    <w:p w14:paraId="69C037A3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•Provincial and National federations</w:t>
      </w:r>
    </w:p>
    <w:p w14:paraId="0E23583C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•Ontario: Ontario Federation of Labour(OFL)</w:t>
      </w:r>
    </w:p>
    <w:p w14:paraId="7CFCBE79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•Canada: Canadian Labour Congress (CLC)</w:t>
      </w:r>
    </w:p>
    <w:p w14:paraId="07242F82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•www.youtube.com/</w:t>
      </w:r>
      <w:proofErr w:type="spellStart"/>
      <w:r w:rsidRPr="00E162FB">
        <w:rPr>
          <w:rFonts w:ascii="Arial" w:hAnsi="Arial" w:cs="Arial"/>
          <w:color w:val="353535"/>
          <w:sz w:val="19"/>
          <w:szCs w:val="19"/>
        </w:rPr>
        <w:t>watch?v</w:t>
      </w:r>
      <w:proofErr w:type="spellEnd"/>
      <w:r w:rsidRPr="00E162FB">
        <w:rPr>
          <w:rFonts w:ascii="Arial" w:hAnsi="Arial" w:cs="Arial"/>
          <w:color w:val="353535"/>
          <w:sz w:val="19"/>
          <w:szCs w:val="19"/>
        </w:rPr>
        <w:t>=</w:t>
      </w:r>
      <w:proofErr w:type="spellStart"/>
      <w:r w:rsidRPr="00E162FB">
        <w:rPr>
          <w:rFonts w:ascii="Arial" w:hAnsi="Arial" w:cs="Arial"/>
          <w:color w:val="353535"/>
          <w:sz w:val="19"/>
          <w:szCs w:val="19"/>
        </w:rPr>
        <w:t>XXcItnfmUEo</w:t>
      </w:r>
      <w:proofErr w:type="spellEnd"/>
    </w:p>
    <w:p w14:paraId="123F31F8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 </w:t>
      </w:r>
    </w:p>
    <w:p w14:paraId="1D6CC339" w14:textId="77777777" w:rsidR="00E162FB" w:rsidRPr="00E162FB" w:rsidRDefault="00E162FB" w:rsidP="00E162FB">
      <w:pPr>
        <w:rPr>
          <w:rFonts w:ascii="Arial" w:hAnsi="Arial" w:cs="Arial"/>
          <w:color w:val="353535"/>
          <w:sz w:val="27"/>
          <w:szCs w:val="27"/>
        </w:rPr>
      </w:pPr>
      <w:r w:rsidRPr="00E162FB">
        <w:rPr>
          <w:rFonts w:ascii="Arial" w:hAnsi="Arial" w:cs="Arial"/>
          <w:color w:val="353535"/>
          <w:sz w:val="27"/>
          <w:szCs w:val="27"/>
        </w:rPr>
        <w:t>Federal/Provincial Jurisdiction</w:t>
      </w:r>
    </w:p>
    <w:p w14:paraId="708A2A29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Federal labour law: Canada Labour Code</w:t>
      </w:r>
    </w:p>
    <w:p w14:paraId="7F805988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•Broadcasting</w:t>
      </w:r>
    </w:p>
    <w:p w14:paraId="79F7B34F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 xml:space="preserve">•Telecommunications </w:t>
      </w:r>
    </w:p>
    <w:p w14:paraId="2EA6D61C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•Banking</w:t>
      </w:r>
    </w:p>
    <w:p w14:paraId="5170C61D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 xml:space="preserve">•Air transportation </w:t>
      </w:r>
    </w:p>
    <w:p w14:paraId="6E6D2D7C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 xml:space="preserve">•Shipping and navigation, </w:t>
      </w:r>
    </w:p>
    <w:p w14:paraId="6D76DDEA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•Interprovincial or international transportation</w:t>
      </w:r>
    </w:p>
    <w:p w14:paraId="042C3B32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•Uranium mining and processing</w:t>
      </w:r>
    </w:p>
    <w:p w14:paraId="2FE790E8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•Grain handling</w:t>
      </w:r>
    </w:p>
    <w:p w14:paraId="61AEE068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 xml:space="preserve">•Federal crown corporations </w:t>
      </w:r>
    </w:p>
    <w:p w14:paraId="0CE3E49B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 xml:space="preserve">•Federal government employees </w:t>
      </w:r>
    </w:p>
    <w:p w14:paraId="1DC5B43A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•All employees in Yukon, Northwest Territories, Nunavut</w:t>
      </w:r>
    </w:p>
    <w:p w14:paraId="449FC519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 </w:t>
      </w:r>
    </w:p>
    <w:p w14:paraId="40593A7B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Tripartite administration of labour law</w:t>
      </w:r>
    </w:p>
    <w:p w14:paraId="3A2557D3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Tribunals</w:t>
      </w:r>
    </w:p>
    <w:p w14:paraId="45A71D02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lastRenderedPageBreak/>
        <w:t xml:space="preserve">•Expertise from both labour and management, chaired by a ‘neutral’ </w:t>
      </w:r>
    </w:p>
    <w:p w14:paraId="3710AA06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 </w:t>
      </w:r>
    </w:p>
    <w:p w14:paraId="155768EC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Why not the courts?</w:t>
      </w:r>
    </w:p>
    <w:p w14:paraId="5560D6D0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•Expertise to help parties find solutions</w:t>
      </w:r>
    </w:p>
    <w:p w14:paraId="7F1DC26D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•History of court antipathy to labour issues</w:t>
      </w:r>
    </w:p>
    <w:p w14:paraId="33B8B9C6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 </w:t>
      </w:r>
    </w:p>
    <w:p w14:paraId="50BBA33E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 xml:space="preserve">Tripartite administration of </w:t>
      </w:r>
    </w:p>
    <w:p w14:paraId="497251D9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labour law</w:t>
      </w:r>
    </w:p>
    <w:p w14:paraId="41BAC0E2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Labour Boards</w:t>
      </w:r>
    </w:p>
    <w:p w14:paraId="348669C8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 xml:space="preserve">•Federal and provincial boards deal with disputes between parties and interpretation of law around union decertification, collective bargaining, etc. </w:t>
      </w:r>
    </w:p>
    <w:p w14:paraId="2394E2AB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 </w:t>
      </w:r>
    </w:p>
    <w:p w14:paraId="21C878C3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Arbitration Boards*</w:t>
      </w:r>
    </w:p>
    <w:p w14:paraId="22CDA4FD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•Rights disputes (interpret collective agreement)</w:t>
      </w:r>
    </w:p>
    <w:p w14:paraId="463F30B6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•Interest disputes (settle collective agreement if parties cannot)</w:t>
      </w:r>
    </w:p>
    <w:p w14:paraId="013C95CE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* increasingly, single arbitrators</w:t>
      </w:r>
    </w:p>
    <w:p w14:paraId="0C4BB198" w14:textId="77777777" w:rsidR="00E162FB" w:rsidRPr="00E162FB" w:rsidRDefault="00E162FB" w:rsidP="00E162FB">
      <w:pPr>
        <w:rPr>
          <w:rFonts w:ascii="Arial" w:hAnsi="Arial" w:cs="Arial"/>
          <w:color w:val="353535"/>
          <w:sz w:val="16"/>
          <w:szCs w:val="16"/>
        </w:rPr>
      </w:pPr>
      <w:r w:rsidRPr="00E162FB">
        <w:rPr>
          <w:rFonts w:ascii="Arial" w:hAnsi="Arial" w:cs="Arial"/>
          <w:color w:val="353535"/>
          <w:sz w:val="16"/>
          <w:szCs w:val="16"/>
        </w:rPr>
        <w:t> </w:t>
      </w:r>
    </w:p>
    <w:p w14:paraId="4EE8B8B6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Tribunal Powers</w:t>
      </w:r>
    </w:p>
    <w:p w14:paraId="5102EEB4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Concept of “remedy”</w:t>
      </w:r>
    </w:p>
    <w:p w14:paraId="788C439B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•Restore, repair, return to pre-offence relations, remove ‘taint’, etc.</w:t>
      </w:r>
    </w:p>
    <w:p w14:paraId="380A97CE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•Compensate vs. punish</w:t>
      </w:r>
    </w:p>
    <w:p w14:paraId="096E957A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•Consistent with purpose of legislation</w:t>
      </w:r>
    </w:p>
    <w:p w14:paraId="7269226A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•Charter consistency</w:t>
      </w:r>
    </w:p>
    <w:p w14:paraId="465A2615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 </w:t>
      </w:r>
    </w:p>
    <w:p w14:paraId="0B73CAED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 xml:space="preserve">OLRA </w:t>
      </w:r>
    </w:p>
    <w:p w14:paraId="743C8AA9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purpose clause</w:t>
      </w:r>
    </w:p>
    <w:p w14:paraId="51A067CF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hyperlink r:id="rId5" w:history="1">
        <w:r w:rsidRPr="00E162FB">
          <w:rPr>
            <w:rFonts w:ascii="Arial" w:hAnsi="Arial" w:cs="Arial"/>
            <w:color w:val="0000FF"/>
            <w:sz w:val="19"/>
            <w:szCs w:val="19"/>
            <w:u w:val="single"/>
          </w:rPr>
          <w:t>www.ontario.ca/laws/statute/95l01#BK2</w:t>
        </w:r>
      </w:hyperlink>
    </w:p>
    <w:p w14:paraId="11BB5821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Section 2</w:t>
      </w:r>
    </w:p>
    <w:p w14:paraId="5B309AFD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 xml:space="preserve">. The following are the purposes of the </w:t>
      </w:r>
    </w:p>
    <w:p w14:paraId="72B6D42B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Act:</w:t>
      </w:r>
    </w:p>
    <w:p w14:paraId="6AF663EA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1.To facilitate collective bargaining between employers and trade unions that are the freely-designated representatives of the employees.</w:t>
      </w:r>
    </w:p>
    <w:p w14:paraId="0963F03D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2. To recognize the importance of workplace parties adapting to change.</w:t>
      </w:r>
    </w:p>
    <w:p w14:paraId="5A03FABF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 xml:space="preserve">3. To promote flexibility, productivity and employee </w:t>
      </w:r>
    </w:p>
    <w:p w14:paraId="65B76021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involvement in the workplace.</w:t>
      </w:r>
    </w:p>
    <w:p w14:paraId="46EFBDA9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 </w:t>
      </w:r>
    </w:p>
    <w:p w14:paraId="764BD6E8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 xml:space="preserve">OLRA </w:t>
      </w:r>
    </w:p>
    <w:p w14:paraId="56806C4E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purpose clause</w:t>
      </w:r>
    </w:p>
    <w:p w14:paraId="17C7C714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hyperlink r:id="rId6" w:history="1">
        <w:r w:rsidRPr="00E162FB">
          <w:rPr>
            <w:rFonts w:ascii="Arial" w:hAnsi="Arial" w:cs="Arial"/>
            <w:color w:val="0000FF"/>
            <w:sz w:val="19"/>
            <w:szCs w:val="19"/>
            <w:u w:val="single"/>
          </w:rPr>
          <w:t>www.ontario.ca/laws/statute/95l01#BK2</w:t>
        </w:r>
      </w:hyperlink>
    </w:p>
    <w:p w14:paraId="662CFC77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4. To encourage communication between employers and employees in the workplace.</w:t>
      </w:r>
    </w:p>
    <w:p w14:paraId="66DE55E4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5. To recognize the importance of economic growth as the foundation for mutually beneficial relations amongst employers, employees and trade unions.</w:t>
      </w:r>
    </w:p>
    <w:p w14:paraId="7A9204E9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6. To encourage co-operative participation of employers and trade unions in resolving workplace issues.</w:t>
      </w:r>
    </w:p>
    <w:p w14:paraId="4ED34CDD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 xml:space="preserve">7. To promote the expeditious resolution of workplace disputes. </w:t>
      </w:r>
    </w:p>
    <w:p w14:paraId="1B389B9F" w14:textId="77777777" w:rsidR="00E162FB" w:rsidRPr="00E162FB" w:rsidRDefault="00E162FB" w:rsidP="00E162FB">
      <w:pPr>
        <w:rPr>
          <w:rFonts w:ascii="Arial" w:hAnsi="Arial" w:cs="Arial"/>
          <w:color w:val="353535"/>
          <w:sz w:val="19"/>
          <w:szCs w:val="19"/>
        </w:rPr>
      </w:pPr>
      <w:r w:rsidRPr="00E162FB">
        <w:rPr>
          <w:rFonts w:ascii="Arial" w:hAnsi="Arial" w:cs="Arial"/>
          <w:color w:val="353535"/>
          <w:sz w:val="19"/>
          <w:szCs w:val="19"/>
        </w:rPr>
        <w:t> </w:t>
      </w:r>
    </w:p>
    <w:p w14:paraId="65B6D45D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 xml:space="preserve">Tribunal Powers </w:t>
      </w:r>
    </w:p>
    <w:p w14:paraId="31FDD711" w14:textId="77777777" w:rsidR="00E162FB" w:rsidRPr="00E162FB" w:rsidRDefault="00E162FB" w:rsidP="00E162FB">
      <w:pPr>
        <w:rPr>
          <w:rFonts w:ascii="Arial" w:hAnsi="Arial" w:cs="Arial"/>
          <w:color w:val="353535"/>
          <w:sz w:val="30"/>
          <w:szCs w:val="30"/>
        </w:rPr>
      </w:pPr>
      <w:r w:rsidRPr="00E162FB">
        <w:rPr>
          <w:rFonts w:ascii="Arial" w:hAnsi="Arial" w:cs="Arial"/>
          <w:color w:val="353535"/>
          <w:sz w:val="30"/>
          <w:szCs w:val="30"/>
        </w:rPr>
        <w:t>-remedies</w:t>
      </w:r>
    </w:p>
    <w:p w14:paraId="72307480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•Declarations</w:t>
      </w:r>
    </w:p>
    <w:p w14:paraId="47F23DB9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•Cease &amp; desist</w:t>
      </w:r>
    </w:p>
    <w:p w14:paraId="3336B95A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•Reinstatement, with (some) compensation</w:t>
      </w:r>
    </w:p>
    <w:p w14:paraId="55716EB0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•Communication orders</w:t>
      </w:r>
    </w:p>
    <w:p w14:paraId="7BB02A3A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•Certification as remedy</w:t>
      </w:r>
    </w:p>
    <w:p w14:paraId="30510089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 xml:space="preserve">‡Court overview (judicial review)? </w:t>
      </w:r>
    </w:p>
    <w:p w14:paraId="2E8E5F36" w14:textId="77777777" w:rsidR="00E162FB" w:rsidRPr="00E162FB" w:rsidRDefault="00E162FB" w:rsidP="00E162FB">
      <w:pPr>
        <w:rPr>
          <w:rFonts w:ascii="Arial" w:hAnsi="Arial" w:cs="Arial"/>
          <w:color w:val="353535"/>
          <w:sz w:val="22"/>
          <w:szCs w:val="22"/>
        </w:rPr>
      </w:pPr>
      <w:r w:rsidRPr="00E162FB">
        <w:rPr>
          <w:rFonts w:ascii="Arial" w:hAnsi="Arial" w:cs="Arial"/>
          <w:color w:val="353535"/>
          <w:sz w:val="22"/>
          <w:szCs w:val="22"/>
        </w:rPr>
        <w:t>–errors in law vs. review of the fact</w:t>
      </w:r>
    </w:p>
    <w:p w14:paraId="26E7737C" w14:textId="77777777" w:rsidR="0012719A" w:rsidRDefault="0012719A">
      <w:bookmarkStart w:id="0" w:name="_GoBack"/>
      <w:bookmarkEnd w:id="0"/>
    </w:p>
    <w:sectPr w:rsidR="0012719A" w:rsidSect="00EB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174FCA"/>
    <w:multiLevelType w:val="multilevel"/>
    <w:tmpl w:val="9882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2FB"/>
    <w:rsid w:val="0012719A"/>
    <w:rsid w:val="00E162FB"/>
    <w:rsid w:val="00EB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E857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62FB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16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9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ontario.ca/laws/statute/95l01" TargetMode="External"/><Relationship Id="rId6" Type="http://schemas.openxmlformats.org/officeDocument/2006/relationships/hyperlink" Target="http://www.ontario.ca/laws/statute/95l01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559</Words>
  <Characters>3189</Characters>
  <Application>Microsoft Macintosh Word</Application>
  <DocSecurity>0</DocSecurity>
  <Lines>26</Lines>
  <Paragraphs>7</Paragraphs>
  <ScaleCrop>false</ScaleCrop>
  <LinksUpToDate>false</LinksUpToDate>
  <CharactersWithSpaces>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Soleimani</dc:creator>
  <cp:keywords/>
  <dc:description/>
  <cp:lastModifiedBy>Daniella Soleimani</cp:lastModifiedBy>
  <cp:revision>1</cp:revision>
  <dcterms:created xsi:type="dcterms:W3CDTF">2017-05-22T15:16:00Z</dcterms:created>
  <dcterms:modified xsi:type="dcterms:W3CDTF">2017-05-22T15:16:00Z</dcterms:modified>
</cp:coreProperties>
</file>