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50B5" w:rsidRDefault="001126CF" w:rsidP="001126CF">
      <w:pPr>
        <w:pStyle w:val="Heading1"/>
        <w:rPr>
          <w:lang w:val="en-US"/>
        </w:rPr>
      </w:pPr>
      <w:r>
        <w:rPr>
          <w:lang w:val="en-US"/>
        </w:rPr>
        <w:t>Chapter 9- Shareholders Equity</w:t>
      </w:r>
    </w:p>
    <w:p w:rsidR="001126CF" w:rsidRDefault="001126CF" w:rsidP="001126CF">
      <w:pPr>
        <w:pStyle w:val="Heading2"/>
        <w:rPr>
          <w:lang w:val="en-US"/>
        </w:rPr>
      </w:pPr>
      <w:r>
        <w:rPr>
          <w:lang w:val="en-US"/>
        </w:rPr>
        <w:t>Characteristics of a Corporation</w:t>
      </w:r>
    </w:p>
    <w:p w:rsidR="001126CF" w:rsidRDefault="001126CF" w:rsidP="001126CF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Separate Legal existence; taxable entity</w:t>
      </w:r>
    </w:p>
    <w:p w:rsidR="001126CF" w:rsidRDefault="001126CF" w:rsidP="001126CF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Limited liability of shareholders</w:t>
      </w:r>
    </w:p>
    <w:p w:rsidR="001126CF" w:rsidRDefault="001126CF" w:rsidP="001126CF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Transferable ownership rights</w:t>
      </w:r>
    </w:p>
    <w:p w:rsidR="001126CF" w:rsidRDefault="001126CF" w:rsidP="001126CF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Ability to raise capital</w:t>
      </w:r>
    </w:p>
    <w:p w:rsidR="001126CF" w:rsidRDefault="001126CF" w:rsidP="001126CF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Continuous life</w:t>
      </w:r>
    </w:p>
    <w:p w:rsidR="001126CF" w:rsidRDefault="001126CF" w:rsidP="001126CF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Separation of management and ownership</w:t>
      </w:r>
    </w:p>
    <w:p w:rsidR="001126CF" w:rsidRDefault="001126CF" w:rsidP="001126CF">
      <w:pPr>
        <w:pStyle w:val="Heading2"/>
        <w:rPr>
          <w:lang w:val="en-US"/>
        </w:rPr>
      </w:pPr>
      <w:r>
        <w:rPr>
          <w:lang w:val="en-US"/>
        </w:rPr>
        <w:t>Shareholders’ equity</w:t>
      </w:r>
    </w:p>
    <w:p w:rsidR="001126CF" w:rsidRDefault="001126CF" w:rsidP="001126CF">
      <w:pPr>
        <w:rPr>
          <w:lang w:val="en-US"/>
        </w:rPr>
      </w:pPr>
      <w:r>
        <w:rPr>
          <w:lang w:val="en-US"/>
        </w:rPr>
        <w:t>Composition of Shareholders’ Equity</w:t>
      </w:r>
    </w:p>
    <w:p w:rsidR="001126CF" w:rsidRDefault="001126CF" w:rsidP="001126CF">
      <w:pPr>
        <w:rPr>
          <w:lang w:val="en-US"/>
        </w:rPr>
      </w:pPr>
      <w:r>
        <w:rPr>
          <w:lang w:val="en-US"/>
        </w:rPr>
        <w:t>Contributed Capital</w:t>
      </w:r>
    </w:p>
    <w:p w:rsidR="001126CF" w:rsidRDefault="001126CF" w:rsidP="001126CF">
      <w:pPr>
        <w:rPr>
          <w:lang w:val="en-US"/>
        </w:rPr>
      </w:pPr>
      <w:r>
        <w:rPr>
          <w:lang w:val="en-US"/>
        </w:rPr>
        <w:tab/>
        <w:t>Preferred Shares</w:t>
      </w:r>
    </w:p>
    <w:p w:rsidR="001126CF" w:rsidRDefault="001126CF" w:rsidP="001126CF">
      <w:pPr>
        <w:rPr>
          <w:lang w:val="en-US"/>
        </w:rPr>
      </w:pPr>
      <w:r>
        <w:rPr>
          <w:lang w:val="en-US"/>
        </w:rPr>
        <w:tab/>
        <w:t>Common Shares</w:t>
      </w:r>
    </w:p>
    <w:p w:rsidR="001126CF" w:rsidRDefault="001126CF" w:rsidP="001126CF">
      <w:pPr>
        <w:rPr>
          <w:lang w:val="en-US"/>
        </w:rPr>
      </w:pPr>
      <w:r>
        <w:rPr>
          <w:lang w:val="en-US"/>
        </w:rPr>
        <w:t>Retained Earnings</w:t>
      </w:r>
    </w:p>
    <w:p w:rsidR="001126CF" w:rsidRDefault="001126CF" w:rsidP="001126CF">
      <w:pPr>
        <w:rPr>
          <w:lang w:val="en-US"/>
        </w:rPr>
      </w:pPr>
      <w:r>
        <w:rPr>
          <w:lang w:val="en-US"/>
        </w:rPr>
        <w:t>Other Comprehensive Income</w:t>
      </w:r>
    </w:p>
    <w:p w:rsidR="001126CF" w:rsidRDefault="001126CF" w:rsidP="001126CF">
      <w:pPr>
        <w:pStyle w:val="Heading2"/>
        <w:rPr>
          <w:lang w:val="en-US"/>
        </w:rPr>
      </w:pPr>
      <w:r>
        <w:rPr>
          <w:lang w:val="en-US"/>
        </w:rPr>
        <w:t>Common Shares</w:t>
      </w:r>
    </w:p>
    <w:p w:rsidR="001126CF" w:rsidRDefault="001126CF" w:rsidP="001126CF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Common shareholders typically have the right to vote at the annual shareholders’ meeting</w:t>
      </w:r>
    </w:p>
    <w:p w:rsidR="001126CF" w:rsidRDefault="001126CF" w:rsidP="001126CF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Dividends to common shareholders are at the discretion of the company’s board of directors</w:t>
      </w:r>
    </w:p>
    <w:p w:rsidR="001126CF" w:rsidRDefault="001126CF" w:rsidP="001126CF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The following must be disclosed:</w:t>
      </w:r>
    </w:p>
    <w:p w:rsidR="001126CF" w:rsidRDefault="001126CF" w:rsidP="001126CF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Authorized: maximum allowable number of shares to be issued</w:t>
      </w:r>
    </w:p>
    <w:p w:rsidR="001126CF" w:rsidRDefault="001126CF" w:rsidP="001126CF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Issued: sold and distributed</w:t>
      </w:r>
    </w:p>
    <w:p w:rsidR="001126CF" w:rsidRDefault="001126CF" w:rsidP="001126CF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Outstanding: number of shares not repurchased</w:t>
      </w:r>
    </w:p>
    <w:p w:rsidR="001126CF" w:rsidRDefault="001126CF" w:rsidP="001126CF">
      <w:pPr>
        <w:pStyle w:val="Heading2"/>
        <w:rPr>
          <w:lang w:val="en-US"/>
        </w:rPr>
      </w:pPr>
      <w:r>
        <w:rPr>
          <w:lang w:val="en-US"/>
        </w:rPr>
        <w:t>Preferred Shares</w:t>
      </w:r>
    </w:p>
    <w:p w:rsidR="001126CF" w:rsidRDefault="001126CF" w:rsidP="001126CF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Characteristics of common shares and bonds</w:t>
      </w:r>
    </w:p>
    <w:p w:rsidR="001126CF" w:rsidRDefault="001126CF" w:rsidP="001126CF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They have preference on dividends; the preferred dividend must be paid before any common dividends are paid</w:t>
      </w:r>
    </w:p>
    <w:p w:rsidR="001126CF" w:rsidRDefault="001126CF" w:rsidP="001126CF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Dividend rate is fixed- usually stated as a% of book value or a $ amount per share</w:t>
      </w:r>
    </w:p>
    <w:p w:rsidR="001126CF" w:rsidRDefault="001126CF" w:rsidP="001126CF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Most of the time the dividends are cumulative in case of liquidation</w:t>
      </w:r>
    </w:p>
    <w:p w:rsidR="001126CF" w:rsidRDefault="001126CF" w:rsidP="001126CF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May be participating, convertible, callable, retractable</w:t>
      </w:r>
    </w:p>
    <w:p w:rsidR="001126CF" w:rsidRDefault="001126CF" w:rsidP="001126CF">
      <w:pPr>
        <w:pStyle w:val="Heading2"/>
        <w:rPr>
          <w:lang w:val="en-US"/>
        </w:rPr>
      </w:pPr>
      <w:r>
        <w:rPr>
          <w:lang w:val="en-US"/>
        </w:rPr>
        <w:t>Reacquisition of Common Shares- example</w:t>
      </w:r>
    </w:p>
    <w:p w:rsidR="001126CF" w:rsidRDefault="001126CF" w:rsidP="001126CF">
      <w:pPr>
        <w:rPr>
          <w:lang w:val="en-US"/>
        </w:rPr>
      </w:pPr>
      <w:r>
        <w:rPr>
          <w:lang w:val="en-US"/>
        </w:rPr>
        <w:t>Company starts with 500,000 common shares outstanding with a book value of $2,000,000</w:t>
      </w:r>
    </w:p>
    <w:p w:rsidR="001126CF" w:rsidRDefault="001126CF" w:rsidP="001126CF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On May 1 they issue 100,000 @$6</w:t>
      </w:r>
    </w:p>
    <w:p w:rsidR="001126CF" w:rsidRDefault="001126CF" w:rsidP="001126CF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On June 15 they issue 250,000 shares @7.50</w:t>
      </w:r>
    </w:p>
    <w:p w:rsidR="001126CF" w:rsidRDefault="00CE43B2" w:rsidP="001126CF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On Aug 7 they repurchase and cancel 50,000 shares @4.60</w:t>
      </w:r>
    </w:p>
    <w:p w:rsidR="00CE43B2" w:rsidRDefault="00CE43B2" w:rsidP="001126CF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On Sep 16 they repurchase and cancel 100,000 shares @7.00</w:t>
      </w:r>
    </w:p>
    <w:p w:rsidR="00CE43B2" w:rsidRDefault="00CE43B2" w:rsidP="00CE43B2">
      <w:pPr>
        <w:rPr>
          <w:lang w:val="en-US"/>
        </w:rPr>
      </w:pPr>
      <w:r>
        <w:rPr>
          <w:lang w:val="en-US"/>
        </w:rPr>
        <w:lastRenderedPageBreak/>
        <w:t xml:space="preserve">May </w:t>
      </w:r>
      <w:proofErr w:type="gramStart"/>
      <w:r>
        <w:rPr>
          <w:lang w:val="en-US"/>
        </w:rPr>
        <w:t>1  Cash</w:t>
      </w:r>
      <w:proofErr w:type="gramEnd"/>
      <w:r>
        <w:rPr>
          <w:lang w:val="en-US"/>
        </w:rPr>
        <w:t xml:space="preserve"> (100,000*$6)</w:t>
      </w:r>
      <w:r>
        <w:rPr>
          <w:lang w:val="en-US"/>
        </w:rPr>
        <w:tab/>
      </w:r>
      <w:r>
        <w:rPr>
          <w:lang w:val="en-US"/>
        </w:rPr>
        <w:tab/>
        <w:t>600,000</w:t>
      </w:r>
      <w:r>
        <w:rPr>
          <w:lang w:val="en-US"/>
        </w:rPr>
        <w:tab/>
      </w:r>
    </w:p>
    <w:p w:rsidR="00CE43B2" w:rsidRDefault="00CE43B2" w:rsidP="00CE43B2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Common Shares`</w:t>
      </w:r>
      <w:r>
        <w:rPr>
          <w:lang w:val="en-US"/>
        </w:rPr>
        <w:tab/>
        <w:t>600,000</w:t>
      </w:r>
    </w:p>
    <w:p w:rsidR="00CE43B2" w:rsidRDefault="00CE43B2" w:rsidP="00CE43B2">
      <w:pPr>
        <w:rPr>
          <w:lang w:val="en-US"/>
        </w:rPr>
      </w:pPr>
      <w:r>
        <w:rPr>
          <w:lang w:val="en-US"/>
        </w:rPr>
        <w:t>June 15 Cash (250,000*7.5)</w:t>
      </w:r>
      <w:r>
        <w:rPr>
          <w:lang w:val="en-US"/>
        </w:rPr>
        <w:tab/>
      </w:r>
      <w:r>
        <w:rPr>
          <w:lang w:val="en-US"/>
        </w:rPr>
        <w:tab/>
        <w:t>1,875,000</w:t>
      </w:r>
    </w:p>
    <w:p w:rsidR="00CE43B2" w:rsidRDefault="00CE43B2" w:rsidP="00CE43B2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Common Shares</w:t>
      </w:r>
      <w:r>
        <w:rPr>
          <w:lang w:val="en-US"/>
        </w:rPr>
        <w:tab/>
        <w:t>1,875,000</w:t>
      </w:r>
    </w:p>
    <w:p w:rsidR="00CE43B2" w:rsidRDefault="00CE43B2" w:rsidP="00CE43B2">
      <w:pPr>
        <w:rPr>
          <w:lang w:val="en-US"/>
        </w:rPr>
      </w:pPr>
      <w:r>
        <w:rPr>
          <w:lang w:val="en-US"/>
        </w:rPr>
        <w:t xml:space="preserve">Aug 7   </w:t>
      </w:r>
    </w:p>
    <w:p w:rsidR="00CE43B2" w:rsidRDefault="00CE43B2" w:rsidP="00CE43B2">
      <w:pPr>
        <w:rPr>
          <w:lang w:val="en-US"/>
        </w:rPr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782"/>
        <w:gridCol w:w="1782"/>
      </w:tblGrid>
      <w:tr w:rsidR="00CE43B2" w:rsidTr="00CE43B2">
        <w:trPr>
          <w:trHeight w:val="252"/>
        </w:trPr>
        <w:tc>
          <w:tcPr>
            <w:tcW w:w="1782" w:type="dxa"/>
          </w:tcPr>
          <w:p w:rsidR="00CE43B2" w:rsidRDefault="00CE43B2" w:rsidP="00CE43B2">
            <w:pPr>
              <w:rPr>
                <w:lang w:val="en-US"/>
              </w:rPr>
            </w:pPr>
          </w:p>
        </w:tc>
        <w:tc>
          <w:tcPr>
            <w:tcW w:w="1782" w:type="dxa"/>
          </w:tcPr>
          <w:p w:rsidR="00CE43B2" w:rsidRDefault="00CE43B2" w:rsidP="00CE43B2">
            <w:pPr>
              <w:rPr>
                <w:lang w:val="en-US"/>
              </w:rPr>
            </w:pPr>
            <w:r>
              <w:rPr>
                <w:lang w:val="en-US"/>
              </w:rPr>
              <w:t>2,000,000</w:t>
            </w:r>
          </w:p>
        </w:tc>
      </w:tr>
      <w:tr w:rsidR="00CE43B2" w:rsidTr="00CE43B2">
        <w:trPr>
          <w:trHeight w:val="252"/>
        </w:trPr>
        <w:tc>
          <w:tcPr>
            <w:tcW w:w="1782" w:type="dxa"/>
          </w:tcPr>
          <w:p w:rsidR="00CE43B2" w:rsidRDefault="00CE43B2" w:rsidP="00CE43B2">
            <w:pPr>
              <w:rPr>
                <w:lang w:val="en-US"/>
              </w:rPr>
            </w:pPr>
          </w:p>
        </w:tc>
        <w:tc>
          <w:tcPr>
            <w:tcW w:w="1782" w:type="dxa"/>
          </w:tcPr>
          <w:p w:rsidR="00CE43B2" w:rsidRDefault="00CE43B2" w:rsidP="00CE43B2">
            <w:pPr>
              <w:rPr>
                <w:lang w:val="en-US"/>
              </w:rPr>
            </w:pPr>
            <w:r>
              <w:rPr>
                <w:lang w:val="en-US"/>
              </w:rPr>
              <w:t>600,000</w:t>
            </w:r>
          </w:p>
        </w:tc>
      </w:tr>
      <w:tr w:rsidR="00CE43B2" w:rsidTr="00CE43B2">
        <w:trPr>
          <w:trHeight w:val="268"/>
        </w:trPr>
        <w:tc>
          <w:tcPr>
            <w:tcW w:w="1782" w:type="dxa"/>
          </w:tcPr>
          <w:p w:rsidR="00CE43B2" w:rsidRDefault="00CE43B2" w:rsidP="00CE43B2">
            <w:pPr>
              <w:rPr>
                <w:lang w:val="en-US"/>
              </w:rPr>
            </w:pPr>
          </w:p>
        </w:tc>
        <w:tc>
          <w:tcPr>
            <w:tcW w:w="1782" w:type="dxa"/>
          </w:tcPr>
          <w:p w:rsidR="00CE43B2" w:rsidRDefault="00CE43B2" w:rsidP="00CE43B2">
            <w:pPr>
              <w:rPr>
                <w:lang w:val="en-US"/>
              </w:rPr>
            </w:pPr>
            <w:r>
              <w:rPr>
                <w:lang w:val="en-US"/>
              </w:rPr>
              <w:t>1,875,000</w:t>
            </w:r>
          </w:p>
        </w:tc>
      </w:tr>
      <w:tr w:rsidR="00CE43B2" w:rsidTr="00CE43B2">
        <w:trPr>
          <w:trHeight w:val="252"/>
        </w:trPr>
        <w:tc>
          <w:tcPr>
            <w:tcW w:w="1782" w:type="dxa"/>
          </w:tcPr>
          <w:p w:rsidR="00CE43B2" w:rsidRDefault="00CE43B2" w:rsidP="00CE43B2">
            <w:pPr>
              <w:rPr>
                <w:lang w:val="en-US"/>
              </w:rPr>
            </w:pPr>
          </w:p>
        </w:tc>
        <w:tc>
          <w:tcPr>
            <w:tcW w:w="1782" w:type="dxa"/>
          </w:tcPr>
          <w:p w:rsidR="00CE43B2" w:rsidRDefault="00CE43B2" w:rsidP="00CE43B2">
            <w:pPr>
              <w:rPr>
                <w:lang w:val="en-US"/>
              </w:rPr>
            </w:pPr>
            <w:r>
              <w:rPr>
                <w:lang w:val="en-US"/>
              </w:rPr>
              <w:t>4,475,000</w:t>
            </w:r>
          </w:p>
        </w:tc>
      </w:tr>
      <w:tr w:rsidR="00CE43B2" w:rsidTr="00CE43B2">
        <w:trPr>
          <w:trHeight w:val="252"/>
        </w:trPr>
        <w:tc>
          <w:tcPr>
            <w:tcW w:w="1782" w:type="dxa"/>
          </w:tcPr>
          <w:p w:rsidR="00CE43B2" w:rsidRDefault="00CE43B2" w:rsidP="00CE43B2">
            <w:pPr>
              <w:rPr>
                <w:lang w:val="en-US"/>
              </w:rPr>
            </w:pPr>
          </w:p>
        </w:tc>
        <w:tc>
          <w:tcPr>
            <w:tcW w:w="1782" w:type="dxa"/>
          </w:tcPr>
          <w:p w:rsidR="00CE43B2" w:rsidRDefault="00CE43B2" w:rsidP="00CE43B2">
            <w:pPr>
              <w:rPr>
                <w:lang w:val="en-US"/>
              </w:rPr>
            </w:pPr>
          </w:p>
        </w:tc>
      </w:tr>
    </w:tbl>
    <w:p w:rsidR="00CE43B2" w:rsidRDefault="00CE43B2" w:rsidP="00CE43B2">
      <w:pPr>
        <w:spacing w:line="240" w:lineRule="auto"/>
        <w:rPr>
          <w:lang w:val="en-US"/>
        </w:rPr>
      </w:pPr>
      <w:r>
        <w:rPr>
          <w:lang w:val="en-US"/>
        </w:rPr>
        <w:t>500,000</w:t>
      </w:r>
    </w:p>
    <w:p w:rsidR="00CE43B2" w:rsidRDefault="00CE43B2" w:rsidP="00CE43B2">
      <w:pPr>
        <w:spacing w:line="240" w:lineRule="auto"/>
        <w:rPr>
          <w:lang w:val="en-US"/>
        </w:rPr>
      </w:pPr>
      <w:r>
        <w:rPr>
          <w:lang w:val="en-US"/>
        </w:rPr>
        <w:t>100,000</w:t>
      </w:r>
    </w:p>
    <w:p w:rsidR="00CE43B2" w:rsidRDefault="00CE43B2" w:rsidP="00CE43B2">
      <w:pPr>
        <w:spacing w:line="240" w:lineRule="auto"/>
        <w:rPr>
          <w:lang w:val="en-US"/>
        </w:rPr>
      </w:pPr>
      <w:r>
        <w:rPr>
          <w:lang w:val="en-US"/>
        </w:rPr>
        <w:t>250,000</w:t>
      </w:r>
    </w:p>
    <w:p w:rsidR="00CE43B2" w:rsidRDefault="00CE43B2" w:rsidP="00CE43B2">
      <w:pPr>
        <w:spacing w:line="240" w:lineRule="auto"/>
        <w:rPr>
          <w:lang w:val="en-US"/>
        </w:rPr>
      </w:pPr>
      <w:r>
        <w:rPr>
          <w:lang w:val="en-US"/>
        </w:rPr>
        <w:t>850,000</w:t>
      </w:r>
    </w:p>
    <w:p w:rsidR="00CE43B2" w:rsidRDefault="00CE43B2" w:rsidP="00CE43B2">
      <w:pPr>
        <w:rPr>
          <w:lang w:val="en-US"/>
        </w:rPr>
      </w:pPr>
      <w:r>
        <w:rPr>
          <w:lang w:val="en-US"/>
        </w:rPr>
        <w:t xml:space="preserve"> 4,475,000/850,000=5.265</w:t>
      </w:r>
    </w:p>
    <w:p w:rsidR="00CE43B2" w:rsidRDefault="00CE43B2" w:rsidP="00CE43B2">
      <w:pPr>
        <w:rPr>
          <w:lang w:val="en-US"/>
        </w:rPr>
      </w:pPr>
      <w:r>
        <w:rPr>
          <w:lang w:val="en-US"/>
        </w:rPr>
        <w:t>Aug 7 Common Shares (50,000*5.265)</w:t>
      </w:r>
      <w:r>
        <w:rPr>
          <w:lang w:val="en-US"/>
        </w:rPr>
        <w:tab/>
        <w:t>263,250</w:t>
      </w:r>
    </w:p>
    <w:p w:rsidR="00CE43B2" w:rsidRDefault="00CE43B2" w:rsidP="00CE43B2">
      <w:pPr>
        <w:rPr>
          <w:lang w:val="en-US"/>
        </w:rPr>
      </w:pPr>
      <w:r>
        <w:rPr>
          <w:lang w:val="en-US"/>
        </w:rPr>
        <w:t xml:space="preserve">             </w:t>
      </w:r>
      <w:r>
        <w:rPr>
          <w:lang w:val="en-US"/>
        </w:rPr>
        <w:tab/>
      </w:r>
      <w:r w:rsidR="0035639C">
        <w:rPr>
          <w:lang w:val="en-US"/>
        </w:rPr>
        <w:tab/>
      </w:r>
      <w:r w:rsidR="0035639C">
        <w:rPr>
          <w:lang w:val="en-US"/>
        </w:rPr>
        <w:tab/>
        <w:t>Contributed Surplus</w:t>
      </w:r>
      <w:r w:rsidR="0035639C">
        <w:rPr>
          <w:lang w:val="en-US"/>
        </w:rPr>
        <w:tab/>
        <w:t>33,250</w:t>
      </w:r>
    </w:p>
    <w:p w:rsidR="00CE43B2" w:rsidRDefault="00CE43B2" w:rsidP="00CE43B2">
      <w:pPr>
        <w:rPr>
          <w:lang w:val="en-US"/>
        </w:rPr>
      </w:pPr>
      <w:r>
        <w:rPr>
          <w:lang w:val="en-US"/>
        </w:rPr>
        <w:tab/>
      </w:r>
      <w:r w:rsidR="0035639C">
        <w:rPr>
          <w:lang w:val="en-US"/>
        </w:rPr>
        <w:tab/>
      </w:r>
      <w:r w:rsidR="0035639C">
        <w:rPr>
          <w:lang w:val="en-US"/>
        </w:rPr>
        <w:tab/>
      </w:r>
      <w:r>
        <w:rPr>
          <w:lang w:val="en-US"/>
        </w:rPr>
        <w:t>Cash (50,000*4.6)</w:t>
      </w:r>
      <w:r>
        <w:rPr>
          <w:lang w:val="en-US"/>
        </w:rPr>
        <w:tab/>
        <w:t>230,000</w:t>
      </w:r>
    </w:p>
    <w:p w:rsidR="0035639C" w:rsidRDefault="0035639C" w:rsidP="00CE43B2">
      <w:pPr>
        <w:rPr>
          <w:lang w:val="en-US"/>
        </w:rPr>
      </w:pPr>
      <w:r>
        <w:rPr>
          <w:lang w:val="en-US"/>
        </w:rPr>
        <w:t>Sep 16  Common Shares (100,000*5.265)</w:t>
      </w:r>
      <w:r>
        <w:rPr>
          <w:lang w:val="en-US"/>
        </w:rPr>
        <w:tab/>
      </w:r>
      <w:r>
        <w:rPr>
          <w:lang w:val="en-US"/>
        </w:rPr>
        <w:tab/>
        <w:t>526,500</w:t>
      </w:r>
    </w:p>
    <w:p w:rsidR="0035639C" w:rsidRDefault="0035639C" w:rsidP="00CE43B2">
      <w:pPr>
        <w:rPr>
          <w:lang w:val="en-US"/>
        </w:rPr>
      </w:pPr>
      <w:r>
        <w:rPr>
          <w:lang w:val="en-US"/>
        </w:rPr>
        <w:tab/>
        <w:t>Contributed Surplus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33,250</w:t>
      </w:r>
    </w:p>
    <w:p w:rsidR="0035639C" w:rsidRDefault="0035639C" w:rsidP="00CE43B2">
      <w:pPr>
        <w:rPr>
          <w:lang w:val="en-US"/>
        </w:rPr>
      </w:pPr>
      <w:r>
        <w:rPr>
          <w:lang w:val="en-US"/>
        </w:rPr>
        <w:tab/>
        <w:t>Retained Earnings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140,250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:rsidR="0035639C" w:rsidRDefault="0035639C" w:rsidP="00CE43B2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Cash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700,000</w:t>
      </w:r>
    </w:p>
    <w:p w:rsidR="0035639C" w:rsidRPr="00CE43B2" w:rsidRDefault="0035639C" w:rsidP="00CE43B2">
      <w:pPr>
        <w:rPr>
          <w:lang w:val="en-US"/>
        </w:rPr>
      </w:pPr>
      <w:r>
        <w:rPr>
          <w:lang w:val="en-US"/>
        </w:rPr>
        <w:tab/>
      </w:r>
    </w:p>
    <w:p w:rsidR="001126CF" w:rsidRDefault="00E35446" w:rsidP="00E35446">
      <w:pPr>
        <w:pStyle w:val="Heading2"/>
        <w:rPr>
          <w:lang w:val="en-US"/>
        </w:rPr>
      </w:pPr>
      <w:r>
        <w:rPr>
          <w:lang w:val="en-US"/>
        </w:rPr>
        <w:t>Reacquisition of common shares</w:t>
      </w:r>
    </w:p>
    <w:p w:rsidR="00E35446" w:rsidRDefault="00E35446" w:rsidP="00E35446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Reacquired shares must be cancelled. i.e. cannot be re-issued</w:t>
      </w:r>
    </w:p>
    <w:p w:rsidR="00E35446" w:rsidRDefault="00E35446" w:rsidP="00E35446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If cost of reacquired shares &lt; stated value (gain) allocate to:</w:t>
      </w:r>
    </w:p>
    <w:p w:rsidR="00E35446" w:rsidRDefault="00E35446" w:rsidP="00E35446">
      <w:pPr>
        <w:pStyle w:val="ListParagraph"/>
        <w:numPr>
          <w:ilvl w:val="1"/>
          <w:numId w:val="5"/>
        </w:numPr>
        <w:rPr>
          <w:lang w:val="en-US"/>
        </w:rPr>
      </w:pPr>
      <w:r>
        <w:rPr>
          <w:lang w:val="en-US"/>
        </w:rPr>
        <w:t>Share capital in an amount equal to the stated value</w:t>
      </w:r>
    </w:p>
    <w:p w:rsidR="00E35446" w:rsidRDefault="00E35446" w:rsidP="00E35446">
      <w:pPr>
        <w:pStyle w:val="ListParagraph"/>
        <w:numPr>
          <w:ilvl w:val="1"/>
          <w:numId w:val="5"/>
        </w:numPr>
        <w:rPr>
          <w:lang w:val="en-US"/>
        </w:rPr>
      </w:pPr>
      <w:r>
        <w:rPr>
          <w:lang w:val="en-US"/>
        </w:rPr>
        <w:t>Balance to contributed surplus</w:t>
      </w:r>
    </w:p>
    <w:p w:rsidR="00E35446" w:rsidRDefault="00E35446" w:rsidP="00E35446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If cost of reacquired shares &gt; stated value (loss) allocate to:</w:t>
      </w:r>
    </w:p>
    <w:p w:rsidR="00E35446" w:rsidRDefault="00E35446" w:rsidP="00E35446">
      <w:pPr>
        <w:pStyle w:val="ListParagraph"/>
        <w:numPr>
          <w:ilvl w:val="1"/>
          <w:numId w:val="5"/>
        </w:numPr>
        <w:rPr>
          <w:lang w:val="en-US"/>
        </w:rPr>
      </w:pPr>
      <w:r>
        <w:rPr>
          <w:lang w:val="en-US"/>
        </w:rPr>
        <w:t>Share capital in an amount equal to the stated value</w:t>
      </w:r>
    </w:p>
    <w:p w:rsidR="00E35446" w:rsidRDefault="00E35446" w:rsidP="00E35446">
      <w:pPr>
        <w:pStyle w:val="ListParagraph"/>
        <w:numPr>
          <w:ilvl w:val="1"/>
          <w:numId w:val="5"/>
        </w:numPr>
        <w:rPr>
          <w:lang w:val="en-US"/>
        </w:rPr>
      </w:pPr>
      <w:r>
        <w:rPr>
          <w:lang w:val="en-US"/>
        </w:rPr>
        <w:t>Contributed surplus</w:t>
      </w:r>
    </w:p>
    <w:p w:rsidR="00E35446" w:rsidRDefault="00E35446" w:rsidP="00E35446">
      <w:pPr>
        <w:pStyle w:val="ListParagraph"/>
        <w:numPr>
          <w:ilvl w:val="1"/>
          <w:numId w:val="5"/>
        </w:numPr>
        <w:rPr>
          <w:lang w:val="en-US"/>
        </w:rPr>
      </w:pPr>
      <w:r>
        <w:rPr>
          <w:lang w:val="en-US"/>
        </w:rPr>
        <w:t>Any remainder to retained earnings</w:t>
      </w:r>
    </w:p>
    <w:p w:rsidR="00E35446" w:rsidRDefault="00E35446" w:rsidP="00E35446">
      <w:pPr>
        <w:pStyle w:val="Heading2"/>
        <w:rPr>
          <w:lang w:val="en-US"/>
        </w:rPr>
      </w:pPr>
      <w:r>
        <w:rPr>
          <w:lang w:val="en-US"/>
        </w:rPr>
        <w:t>Cash dividends and stock splits</w:t>
      </w:r>
    </w:p>
    <w:p w:rsidR="00E35446" w:rsidRDefault="00E35446" w:rsidP="00E35446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Cash dividends</w:t>
      </w:r>
    </w:p>
    <w:p w:rsidR="00E35446" w:rsidRDefault="00E35446" w:rsidP="00E35446">
      <w:pPr>
        <w:pStyle w:val="ListParagraph"/>
        <w:numPr>
          <w:ilvl w:val="1"/>
          <w:numId w:val="6"/>
        </w:numPr>
        <w:rPr>
          <w:lang w:val="en-US"/>
        </w:rPr>
      </w:pPr>
      <w:r>
        <w:rPr>
          <w:lang w:val="en-US"/>
        </w:rPr>
        <w:t>Date of declaration, date of record, date of payment</w:t>
      </w:r>
    </w:p>
    <w:p w:rsidR="00E35446" w:rsidRDefault="00E35446" w:rsidP="00E35446">
      <w:pPr>
        <w:pStyle w:val="ListParagraph"/>
        <w:numPr>
          <w:ilvl w:val="1"/>
          <w:numId w:val="6"/>
        </w:numPr>
        <w:rPr>
          <w:lang w:val="en-US"/>
        </w:rPr>
      </w:pPr>
      <w:r>
        <w:rPr>
          <w:lang w:val="en-US"/>
        </w:rPr>
        <w:t>Once declared, the dividend is a legal liability</w:t>
      </w:r>
    </w:p>
    <w:p w:rsidR="00E35446" w:rsidRDefault="00E35446" w:rsidP="00E35446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lastRenderedPageBreak/>
        <w:t>Stock split: used to reduce the market price of shares; no entry; shares issued and outstanding change</w:t>
      </w:r>
    </w:p>
    <w:p w:rsidR="00E35446" w:rsidRPr="00E35446" w:rsidRDefault="00E35446" w:rsidP="00E35446">
      <w:pPr>
        <w:rPr>
          <w:lang w:val="en-US"/>
        </w:rPr>
      </w:pPr>
      <w:bookmarkStart w:id="0" w:name="_GoBack"/>
      <w:bookmarkEnd w:id="0"/>
    </w:p>
    <w:p w:rsidR="001126CF" w:rsidRDefault="001126CF">
      <w:pPr>
        <w:rPr>
          <w:lang w:val="en-US"/>
        </w:rPr>
      </w:pPr>
    </w:p>
    <w:p w:rsidR="001126CF" w:rsidRPr="001126CF" w:rsidRDefault="001126CF">
      <w:pPr>
        <w:rPr>
          <w:lang w:val="en-US"/>
        </w:rPr>
      </w:pPr>
    </w:p>
    <w:sectPr w:rsidR="001126CF" w:rsidRPr="001126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AB0B78"/>
    <w:multiLevelType w:val="hybridMultilevel"/>
    <w:tmpl w:val="63D41C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9A499D"/>
    <w:multiLevelType w:val="hybridMultilevel"/>
    <w:tmpl w:val="B8A88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75338A"/>
    <w:multiLevelType w:val="hybridMultilevel"/>
    <w:tmpl w:val="D9FC25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C23CE3"/>
    <w:multiLevelType w:val="hybridMultilevel"/>
    <w:tmpl w:val="022A3C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DA4395"/>
    <w:multiLevelType w:val="hybridMultilevel"/>
    <w:tmpl w:val="E7007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E76DDF"/>
    <w:multiLevelType w:val="hybridMultilevel"/>
    <w:tmpl w:val="BECAC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6CF"/>
    <w:rsid w:val="001126CF"/>
    <w:rsid w:val="0035639C"/>
    <w:rsid w:val="006C156D"/>
    <w:rsid w:val="007850B5"/>
    <w:rsid w:val="00CE43B2"/>
    <w:rsid w:val="00E35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B81EF9"/>
  <w15:chartTrackingRefBased/>
  <w15:docId w15:val="{CCC5CA06-15AE-4DD0-AE76-55D7B790D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CA"/>
    </w:rPr>
  </w:style>
  <w:style w:type="paragraph" w:styleId="Heading1">
    <w:name w:val="heading 1"/>
    <w:basedOn w:val="Normal"/>
    <w:next w:val="Normal"/>
    <w:link w:val="Heading1Char"/>
    <w:uiPriority w:val="9"/>
    <w:qFormat/>
    <w:rsid w:val="001126C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126C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26C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CA"/>
    </w:rPr>
  </w:style>
  <w:style w:type="character" w:customStyle="1" w:styleId="Heading2Char">
    <w:name w:val="Heading 2 Char"/>
    <w:basedOn w:val="DefaultParagraphFont"/>
    <w:link w:val="Heading2"/>
    <w:uiPriority w:val="9"/>
    <w:rsid w:val="001126C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CA"/>
    </w:rPr>
  </w:style>
  <w:style w:type="paragraph" w:styleId="ListParagraph">
    <w:name w:val="List Paragraph"/>
    <w:basedOn w:val="Normal"/>
    <w:uiPriority w:val="34"/>
    <w:qFormat/>
    <w:rsid w:val="001126CF"/>
    <w:pPr>
      <w:ind w:left="720"/>
      <w:contextualSpacing/>
    </w:pPr>
  </w:style>
  <w:style w:type="table" w:styleId="TableGrid">
    <w:name w:val="Table Grid"/>
    <w:basedOn w:val="TableNormal"/>
    <w:uiPriority w:val="39"/>
    <w:rsid w:val="00CE43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390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Aryan Ahadimoghaddam</dc:creator>
  <cp:keywords/>
  <dc:description/>
  <cp:lastModifiedBy>Aryan Ahadimoghaddam</cp:lastModifiedBy>
  <cp:revision>2</cp:revision>
  <dcterms:created xsi:type="dcterms:W3CDTF">2017-11-20T01:40:00Z</dcterms:created>
  <dcterms:modified xsi:type="dcterms:W3CDTF">2017-11-21T04:19:00Z</dcterms:modified>
</cp:coreProperties>
</file>