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159AE7" w14:textId="77777777" w:rsidR="000D189C" w:rsidRDefault="000D189C" w:rsidP="000D189C">
      <w:pPr>
        <w:jc w:val="center"/>
        <w:rPr>
          <w:rFonts w:ascii="Times New Roman" w:hAnsi="Times New Roman" w:cs="Times New Roman"/>
          <w:sz w:val="24"/>
        </w:rPr>
      </w:pPr>
    </w:p>
    <w:p w14:paraId="29E48FE6" w14:textId="77777777" w:rsidR="000D189C" w:rsidRDefault="000D189C" w:rsidP="000D189C">
      <w:pPr>
        <w:jc w:val="center"/>
        <w:rPr>
          <w:rFonts w:ascii="Times New Roman" w:hAnsi="Times New Roman" w:cs="Times New Roman"/>
          <w:sz w:val="24"/>
        </w:rPr>
      </w:pPr>
    </w:p>
    <w:p w14:paraId="40712752" w14:textId="77777777" w:rsidR="000D189C" w:rsidRDefault="000D189C" w:rsidP="000D189C">
      <w:pPr>
        <w:jc w:val="center"/>
        <w:rPr>
          <w:rFonts w:ascii="Times New Roman" w:hAnsi="Times New Roman" w:cs="Times New Roman"/>
          <w:sz w:val="24"/>
        </w:rPr>
      </w:pPr>
    </w:p>
    <w:p w14:paraId="4FFE5A8B" w14:textId="77777777" w:rsidR="000D189C" w:rsidRDefault="000D189C" w:rsidP="000D189C">
      <w:pPr>
        <w:jc w:val="center"/>
        <w:rPr>
          <w:rFonts w:ascii="Times New Roman" w:hAnsi="Times New Roman" w:cs="Times New Roman"/>
          <w:sz w:val="24"/>
        </w:rPr>
      </w:pPr>
    </w:p>
    <w:p w14:paraId="6BE45398" w14:textId="77777777" w:rsidR="000D189C" w:rsidRDefault="000D189C" w:rsidP="000D189C">
      <w:pPr>
        <w:jc w:val="center"/>
        <w:rPr>
          <w:rFonts w:ascii="Times New Roman" w:hAnsi="Times New Roman" w:cs="Times New Roman"/>
          <w:sz w:val="24"/>
        </w:rPr>
      </w:pPr>
    </w:p>
    <w:p w14:paraId="3167EAE7" w14:textId="77777777" w:rsidR="000D189C" w:rsidRDefault="000D189C" w:rsidP="000D189C">
      <w:pPr>
        <w:jc w:val="center"/>
        <w:rPr>
          <w:rFonts w:ascii="Times New Roman" w:hAnsi="Times New Roman" w:cs="Times New Roman"/>
          <w:sz w:val="24"/>
        </w:rPr>
      </w:pPr>
    </w:p>
    <w:p w14:paraId="7AAB5CFB" w14:textId="77777777" w:rsidR="000D189C" w:rsidRDefault="000D189C" w:rsidP="000D189C">
      <w:pPr>
        <w:jc w:val="center"/>
        <w:rPr>
          <w:rFonts w:ascii="Times New Roman" w:hAnsi="Times New Roman" w:cs="Times New Roman"/>
          <w:sz w:val="24"/>
        </w:rPr>
      </w:pPr>
    </w:p>
    <w:p w14:paraId="1B1B0AD0" w14:textId="77777777" w:rsidR="000D189C" w:rsidRDefault="000D189C" w:rsidP="000D189C">
      <w:pPr>
        <w:jc w:val="center"/>
        <w:rPr>
          <w:rFonts w:ascii="Times New Roman" w:hAnsi="Times New Roman" w:cs="Times New Roman"/>
          <w:sz w:val="24"/>
        </w:rPr>
      </w:pPr>
    </w:p>
    <w:p w14:paraId="777A8A54" w14:textId="77777777" w:rsidR="000D189C" w:rsidRDefault="000D189C" w:rsidP="000D189C">
      <w:pPr>
        <w:jc w:val="center"/>
        <w:rPr>
          <w:rFonts w:ascii="Times New Roman" w:hAnsi="Times New Roman" w:cs="Times New Roman"/>
          <w:sz w:val="24"/>
        </w:rPr>
      </w:pPr>
      <w:r>
        <w:rPr>
          <w:rFonts w:ascii="Times New Roman" w:hAnsi="Times New Roman" w:cs="Times New Roman"/>
          <w:sz w:val="24"/>
        </w:rPr>
        <w:t xml:space="preserve">Citizenship and Foreignness in </w:t>
      </w:r>
      <w:r w:rsidRPr="000D189C">
        <w:rPr>
          <w:rFonts w:ascii="Times New Roman" w:hAnsi="Times New Roman" w:cs="Times New Roman"/>
          <w:sz w:val="24"/>
        </w:rPr>
        <w:t>Canada</w:t>
      </w:r>
      <w:r>
        <w:rPr>
          <w:rFonts w:ascii="Times New Roman" w:hAnsi="Times New Roman" w:cs="Times New Roman"/>
          <w:sz w:val="24"/>
        </w:rPr>
        <w:t>:</w:t>
      </w:r>
    </w:p>
    <w:p w14:paraId="33199E45" w14:textId="77777777" w:rsidR="000D189C" w:rsidRDefault="000D189C" w:rsidP="000D189C">
      <w:pPr>
        <w:jc w:val="center"/>
        <w:rPr>
          <w:rFonts w:ascii="Times New Roman" w:hAnsi="Times New Roman" w:cs="Times New Roman"/>
          <w:sz w:val="24"/>
        </w:rPr>
      </w:pPr>
      <w:r>
        <w:rPr>
          <w:rFonts w:ascii="Times New Roman" w:hAnsi="Times New Roman" w:cs="Times New Roman"/>
          <w:sz w:val="24"/>
        </w:rPr>
        <w:t xml:space="preserve"> A Critical Analysis </w:t>
      </w:r>
    </w:p>
    <w:p w14:paraId="78D98A50" w14:textId="77777777" w:rsidR="000D189C" w:rsidRDefault="000D189C" w:rsidP="000D189C">
      <w:pPr>
        <w:jc w:val="center"/>
        <w:rPr>
          <w:rFonts w:ascii="Times New Roman" w:hAnsi="Times New Roman" w:cs="Times New Roman"/>
          <w:sz w:val="24"/>
        </w:rPr>
      </w:pPr>
    </w:p>
    <w:p w14:paraId="4C9C29AE" w14:textId="77777777" w:rsidR="000D189C" w:rsidRDefault="000D189C" w:rsidP="000D189C">
      <w:pPr>
        <w:jc w:val="center"/>
        <w:rPr>
          <w:rFonts w:ascii="Times New Roman" w:hAnsi="Times New Roman" w:cs="Times New Roman"/>
          <w:sz w:val="24"/>
        </w:rPr>
      </w:pPr>
    </w:p>
    <w:p w14:paraId="1DF7D38D" w14:textId="77777777" w:rsidR="000D189C" w:rsidRDefault="000D189C" w:rsidP="000D189C">
      <w:pPr>
        <w:jc w:val="center"/>
        <w:rPr>
          <w:rFonts w:ascii="Times New Roman" w:hAnsi="Times New Roman" w:cs="Times New Roman"/>
          <w:sz w:val="24"/>
        </w:rPr>
      </w:pPr>
    </w:p>
    <w:p w14:paraId="477B8BCF" w14:textId="77777777" w:rsidR="000D189C" w:rsidRDefault="000D189C" w:rsidP="000D189C">
      <w:pPr>
        <w:jc w:val="center"/>
        <w:rPr>
          <w:rFonts w:ascii="Times New Roman" w:hAnsi="Times New Roman" w:cs="Times New Roman"/>
          <w:sz w:val="24"/>
        </w:rPr>
      </w:pPr>
    </w:p>
    <w:p w14:paraId="69AF57E4" w14:textId="77777777" w:rsidR="000D189C" w:rsidRDefault="000D189C" w:rsidP="000D189C">
      <w:pPr>
        <w:jc w:val="center"/>
        <w:rPr>
          <w:rFonts w:ascii="Times New Roman" w:hAnsi="Times New Roman" w:cs="Times New Roman"/>
          <w:sz w:val="24"/>
        </w:rPr>
      </w:pPr>
    </w:p>
    <w:p w14:paraId="06CBC1EA" w14:textId="77777777" w:rsidR="000D189C" w:rsidRDefault="000D189C" w:rsidP="000D189C">
      <w:pPr>
        <w:jc w:val="center"/>
        <w:rPr>
          <w:rFonts w:ascii="Times New Roman" w:hAnsi="Times New Roman" w:cs="Times New Roman"/>
          <w:sz w:val="24"/>
        </w:rPr>
      </w:pPr>
    </w:p>
    <w:p w14:paraId="51DAD9B1" w14:textId="77777777" w:rsidR="000D189C" w:rsidRDefault="000D189C" w:rsidP="000D189C">
      <w:pPr>
        <w:jc w:val="right"/>
        <w:rPr>
          <w:rFonts w:ascii="Times New Roman" w:hAnsi="Times New Roman" w:cs="Times New Roman"/>
          <w:sz w:val="24"/>
        </w:rPr>
      </w:pPr>
    </w:p>
    <w:p w14:paraId="53DE312B" w14:textId="77777777" w:rsidR="000D189C" w:rsidRDefault="000D189C" w:rsidP="000D189C">
      <w:pPr>
        <w:jc w:val="right"/>
        <w:rPr>
          <w:rFonts w:ascii="Times New Roman" w:hAnsi="Times New Roman" w:cs="Times New Roman"/>
          <w:sz w:val="24"/>
        </w:rPr>
      </w:pPr>
    </w:p>
    <w:p w14:paraId="0E111E9C" w14:textId="77777777" w:rsidR="000D189C" w:rsidRDefault="000D189C" w:rsidP="000D189C">
      <w:pPr>
        <w:jc w:val="right"/>
        <w:rPr>
          <w:rFonts w:ascii="Times New Roman" w:hAnsi="Times New Roman" w:cs="Times New Roman"/>
          <w:sz w:val="24"/>
        </w:rPr>
      </w:pPr>
    </w:p>
    <w:p w14:paraId="4C36520F" w14:textId="77777777" w:rsidR="00B01BBA" w:rsidRDefault="00B01BBA" w:rsidP="0031203B">
      <w:pPr>
        <w:spacing w:line="480" w:lineRule="auto"/>
        <w:ind w:firstLine="720"/>
        <w:rPr>
          <w:rFonts w:ascii="Times New Roman" w:hAnsi="Times New Roman" w:cs="Times New Roman"/>
          <w:sz w:val="24"/>
        </w:rPr>
      </w:pPr>
    </w:p>
    <w:p w14:paraId="4B4E548D" w14:textId="77777777" w:rsidR="00C05071" w:rsidRDefault="00C05071" w:rsidP="0031203B">
      <w:pPr>
        <w:spacing w:line="480" w:lineRule="auto"/>
        <w:ind w:firstLine="720"/>
        <w:rPr>
          <w:rFonts w:ascii="Times New Roman" w:hAnsi="Times New Roman" w:cs="Times New Roman"/>
          <w:sz w:val="24"/>
        </w:rPr>
      </w:pPr>
    </w:p>
    <w:p w14:paraId="170E70FA" w14:textId="77777777" w:rsidR="00C05071" w:rsidRDefault="00C05071" w:rsidP="0031203B">
      <w:pPr>
        <w:spacing w:line="480" w:lineRule="auto"/>
        <w:ind w:firstLine="720"/>
        <w:rPr>
          <w:rFonts w:ascii="Times New Roman" w:hAnsi="Times New Roman" w:cs="Times New Roman"/>
          <w:sz w:val="24"/>
        </w:rPr>
      </w:pPr>
    </w:p>
    <w:p w14:paraId="2010F2CD" w14:textId="77777777" w:rsidR="00C05071" w:rsidRDefault="00C05071" w:rsidP="0031203B">
      <w:pPr>
        <w:spacing w:line="480" w:lineRule="auto"/>
        <w:ind w:firstLine="720"/>
        <w:rPr>
          <w:rFonts w:ascii="Times New Roman" w:hAnsi="Times New Roman" w:cs="Times New Roman"/>
          <w:sz w:val="24"/>
        </w:rPr>
      </w:pPr>
    </w:p>
    <w:p w14:paraId="453F5CFE" w14:textId="77777777" w:rsidR="00C05071" w:rsidRDefault="00C05071" w:rsidP="0031203B">
      <w:pPr>
        <w:spacing w:line="480" w:lineRule="auto"/>
        <w:ind w:firstLine="720"/>
        <w:rPr>
          <w:rFonts w:ascii="Times New Roman" w:hAnsi="Times New Roman" w:cs="Times New Roman"/>
          <w:sz w:val="24"/>
        </w:rPr>
      </w:pPr>
    </w:p>
    <w:p w14:paraId="2ADF50CB" w14:textId="77777777" w:rsidR="00C05071" w:rsidRDefault="00C05071" w:rsidP="0031203B">
      <w:pPr>
        <w:spacing w:line="480" w:lineRule="auto"/>
        <w:ind w:firstLine="720"/>
        <w:rPr>
          <w:rFonts w:ascii="Times New Roman" w:hAnsi="Times New Roman" w:cs="Times New Roman"/>
          <w:sz w:val="24"/>
        </w:rPr>
      </w:pPr>
    </w:p>
    <w:p w14:paraId="542B5163" w14:textId="77777777" w:rsidR="00C05071" w:rsidRDefault="00C05071" w:rsidP="0031203B">
      <w:pPr>
        <w:spacing w:line="480" w:lineRule="auto"/>
        <w:ind w:firstLine="720"/>
        <w:rPr>
          <w:rFonts w:ascii="Times New Roman" w:hAnsi="Times New Roman" w:cs="Times New Roman"/>
          <w:sz w:val="24"/>
        </w:rPr>
      </w:pPr>
      <w:bookmarkStart w:id="0" w:name="_GoBack"/>
      <w:bookmarkEnd w:id="0"/>
    </w:p>
    <w:p w14:paraId="5AF6D55A" w14:textId="0129FE22" w:rsidR="006118E8" w:rsidRDefault="003B4A90" w:rsidP="0031203B">
      <w:pPr>
        <w:spacing w:line="480" w:lineRule="auto"/>
        <w:ind w:firstLine="720"/>
        <w:rPr>
          <w:rFonts w:ascii="Times New Roman" w:hAnsi="Times New Roman" w:cs="Times New Roman"/>
          <w:sz w:val="24"/>
        </w:rPr>
      </w:pPr>
      <w:r>
        <w:rPr>
          <w:rFonts w:ascii="Times New Roman" w:hAnsi="Times New Roman" w:cs="Times New Roman"/>
          <w:sz w:val="24"/>
        </w:rPr>
        <w:t xml:space="preserve">Yasmeen </w:t>
      </w:r>
      <w:r w:rsidRPr="003B4A90">
        <w:rPr>
          <w:rFonts w:ascii="Times New Roman" w:hAnsi="Times New Roman" w:cs="Times New Roman"/>
          <w:sz w:val="24"/>
        </w:rPr>
        <w:t>Abu-L</w:t>
      </w:r>
      <w:r>
        <w:rPr>
          <w:rFonts w:ascii="Times New Roman" w:hAnsi="Times New Roman" w:cs="Times New Roman"/>
          <w:sz w:val="24"/>
        </w:rPr>
        <w:t xml:space="preserve">aban’s essay, “Citizenship and Foreignness in </w:t>
      </w:r>
      <w:r w:rsidRPr="003B4A90">
        <w:rPr>
          <w:rFonts w:ascii="Times New Roman" w:hAnsi="Times New Roman" w:cs="Times New Roman"/>
          <w:sz w:val="24"/>
        </w:rPr>
        <w:t>Canada”</w:t>
      </w:r>
      <w:r w:rsidR="00E83068">
        <w:rPr>
          <w:rFonts w:ascii="Times New Roman" w:hAnsi="Times New Roman" w:cs="Times New Roman"/>
          <w:sz w:val="24"/>
        </w:rPr>
        <w:t xml:space="preserve"> is a piece that attempts to clarify the authors </w:t>
      </w:r>
      <w:r w:rsidR="00286688">
        <w:rPr>
          <w:rFonts w:ascii="Times New Roman" w:hAnsi="Times New Roman" w:cs="Times New Roman"/>
          <w:sz w:val="24"/>
        </w:rPr>
        <w:t xml:space="preserve">designed concept of foreignness through a </w:t>
      </w:r>
      <w:r w:rsidR="002079CC">
        <w:rPr>
          <w:rFonts w:ascii="Times New Roman" w:hAnsi="Times New Roman" w:cs="Times New Roman"/>
          <w:sz w:val="24"/>
        </w:rPr>
        <w:t>three-fold</w:t>
      </w:r>
      <w:r w:rsidR="00286688">
        <w:rPr>
          <w:rFonts w:ascii="Times New Roman" w:hAnsi="Times New Roman" w:cs="Times New Roman"/>
          <w:sz w:val="24"/>
        </w:rPr>
        <w:t xml:space="preserve"> approach that identifies three levels of citizenship. Abu-Laban utilizes these arguments to </w:t>
      </w:r>
      <w:r w:rsidR="00286688" w:rsidRPr="00286688">
        <w:rPr>
          <w:rFonts w:ascii="Times New Roman" w:hAnsi="Times New Roman" w:cs="Times New Roman"/>
          <w:sz w:val="24"/>
        </w:rPr>
        <w:t>substantiate</w:t>
      </w:r>
      <w:r w:rsidR="005071EE">
        <w:rPr>
          <w:rFonts w:ascii="Times New Roman" w:hAnsi="Times New Roman" w:cs="Times New Roman"/>
          <w:sz w:val="24"/>
        </w:rPr>
        <w:t xml:space="preserve"> his thesis, </w:t>
      </w:r>
      <w:r w:rsidR="00286688">
        <w:rPr>
          <w:rFonts w:ascii="Times New Roman" w:hAnsi="Times New Roman" w:cs="Times New Roman"/>
          <w:sz w:val="24"/>
        </w:rPr>
        <w:t xml:space="preserve">which is </w:t>
      </w:r>
      <w:r w:rsidR="00721FAF">
        <w:rPr>
          <w:rFonts w:ascii="Times New Roman" w:hAnsi="Times New Roman" w:cs="Times New Roman"/>
          <w:sz w:val="24"/>
        </w:rPr>
        <w:t xml:space="preserve">that, citizen belonging as well as </w:t>
      </w:r>
      <w:r w:rsidR="00286688" w:rsidRPr="00286688">
        <w:rPr>
          <w:rFonts w:ascii="Times New Roman" w:hAnsi="Times New Roman" w:cs="Times New Roman"/>
          <w:sz w:val="24"/>
        </w:rPr>
        <w:t xml:space="preserve">foreignness are not stable categories, but rather socially and politically constructed, historically variable, and reflective of </w:t>
      </w:r>
      <w:r w:rsidR="00721FAF">
        <w:rPr>
          <w:rFonts w:ascii="Times New Roman" w:hAnsi="Times New Roman" w:cs="Times New Roman"/>
          <w:sz w:val="24"/>
        </w:rPr>
        <w:t>a myriad of s</w:t>
      </w:r>
      <w:r w:rsidR="00286688" w:rsidRPr="00286688">
        <w:rPr>
          <w:rFonts w:ascii="Times New Roman" w:hAnsi="Times New Roman" w:cs="Times New Roman"/>
          <w:sz w:val="24"/>
        </w:rPr>
        <w:t>truggles and contradictions.</w:t>
      </w:r>
      <w:r w:rsidR="005071EE">
        <w:rPr>
          <w:rFonts w:ascii="Times New Roman" w:hAnsi="Times New Roman" w:cs="Times New Roman"/>
          <w:sz w:val="24"/>
        </w:rPr>
        <w:t xml:space="preserve"> The main arguments of this essay are based around the principles of citizenship, as Abu-Laban </w:t>
      </w:r>
      <w:r w:rsidR="005071EE" w:rsidRPr="005071EE">
        <w:rPr>
          <w:rFonts w:ascii="Times New Roman" w:hAnsi="Times New Roman" w:cs="Times New Roman"/>
          <w:sz w:val="24"/>
        </w:rPr>
        <w:t>provides an explanation of formal, substa</w:t>
      </w:r>
      <w:r w:rsidR="005071EE">
        <w:rPr>
          <w:rFonts w:ascii="Times New Roman" w:hAnsi="Times New Roman" w:cs="Times New Roman"/>
          <w:sz w:val="24"/>
        </w:rPr>
        <w:t>ntive and belonging.</w:t>
      </w:r>
      <w:r w:rsidR="00705664">
        <w:rPr>
          <w:rStyle w:val="FootnoteReference"/>
          <w:rFonts w:ascii="Times New Roman" w:hAnsi="Times New Roman" w:cs="Times New Roman"/>
          <w:sz w:val="24"/>
        </w:rPr>
        <w:footnoteReference w:id="1"/>
      </w:r>
      <w:r w:rsidR="005071EE">
        <w:rPr>
          <w:rFonts w:ascii="Times New Roman" w:hAnsi="Times New Roman" w:cs="Times New Roman"/>
          <w:sz w:val="24"/>
        </w:rPr>
        <w:t xml:space="preserve"> </w:t>
      </w:r>
      <w:r w:rsidR="006F6302">
        <w:rPr>
          <w:rFonts w:ascii="Times New Roman" w:hAnsi="Times New Roman" w:cs="Times New Roman"/>
          <w:sz w:val="24"/>
        </w:rPr>
        <w:t xml:space="preserve">Formal citizenship is described as </w:t>
      </w:r>
      <w:r w:rsidR="00721FAF">
        <w:rPr>
          <w:rFonts w:ascii="Times New Roman" w:hAnsi="Times New Roman" w:cs="Times New Roman"/>
          <w:sz w:val="24"/>
        </w:rPr>
        <w:t xml:space="preserve">a formal-legal status. It is also </w:t>
      </w:r>
      <w:r w:rsidR="006F6302" w:rsidRPr="006F6302">
        <w:rPr>
          <w:rFonts w:ascii="Times New Roman" w:hAnsi="Times New Roman" w:cs="Times New Roman"/>
          <w:sz w:val="24"/>
        </w:rPr>
        <w:t>his</w:t>
      </w:r>
      <w:r w:rsidR="006F6302">
        <w:rPr>
          <w:rFonts w:ascii="Times New Roman" w:hAnsi="Times New Roman" w:cs="Times New Roman"/>
          <w:sz w:val="24"/>
        </w:rPr>
        <w:t>torically and contemporaneously related</w:t>
      </w:r>
      <w:r w:rsidR="00721FAF">
        <w:rPr>
          <w:rFonts w:ascii="Times New Roman" w:hAnsi="Times New Roman" w:cs="Times New Roman"/>
          <w:sz w:val="24"/>
        </w:rPr>
        <w:t xml:space="preserve"> to the struggle of citizenship and foreignness itself.</w:t>
      </w:r>
      <w:r w:rsidR="00705664">
        <w:rPr>
          <w:rStyle w:val="FootnoteReference"/>
          <w:rFonts w:ascii="Times New Roman" w:hAnsi="Times New Roman" w:cs="Times New Roman"/>
          <w:sz w:val="24"/>
        </w:rPr>
        <w:footnoteReference w:id="2"/>
      </w:r>
      <w:r w:rsidR="006F6302">
        <w:rPr>
          <w:rFonts w:ascii="Times New Roman" w:hAnsi="Times New Roman" w:cs="Times New Roman"/>
          <w:sz w:val="24"/>
        </w:rPr>
        <w:t xml:space="preserve"> Substantive citizenship actively addresses policy as well as the </w:t>
      </w:r>
      <w:r w:rsidR="006F6302" w:rsidRPr="006F6302">
        <w:rPr>
          <w:rFonts w:ascii="Times New Roman" w:hAnsi="Times New Roman" w:cs="Times New Roman"/>
          <w:sz w:val="24"/>
        </w:rPr>
        <w:t>relation to the shifting entitlements associated with Canadian citizenship.</w:t>
      </w:r>
      <w:r w:rsidR="006F6302">
        <w:rPr>
          <w:rFonts w:ascii="Times New Roman" w:hAnsi="Times New Roman" w:cs="Times New Roman"/>
          <w:sz w:val="24"/>
        </w:rPr>
        <w:t xml:space="preserve"> The article finalizes with the argument of citizenship belonging which is an expression of political community, being elastic and membership fluid</w:t>
      </w:r>
      <w:r w:rsidR="000D785A">
        <w:rPr>
          <w:rFonts w:ascii="Times New Roman" w:hAnsi="Times New Roman" w:cs="Times New Roman"/>
          <w:sz w:val="24"/>
        </w:rPr>
        <w:t xml:space="preserve"> in practice. The author takes primitive approaches in order to ground the concept of citizen in a Canadian context</w:t>
      </w:r>
      <w:r w:rsidR="003D7602">
        <w:rPr>
          <w:rFonts w:ascii="Times New Roman" w:hAnsi="Times New Roman" w:cs="Times New Roman"/>
          <w:sz w:val="24"/>
        </w:rPr>
        <w:t xml:space="preserve">, specifically outlining the treatment of aboriginals and the ramifications of the white settler colony in which Canada </w:t>
      </w:r>
      <w:r w:rsidR="00787EC0">
        <w:rPr>
          <w:rFonts w:ascii="Times New Roman" w:hAnsi="Times New Roman" w:cs="Times New Roman"/>
          <w:sz w:val="24"/>
        </w:rPr>
        <w:t>has been founded on</w:t>
      </w:r>
      <w:r w:rsidR="006118E8">
        <w:rPr>
          <w:rFonts w:ascii="Times New Roman" w:hAnsi="Times New Roman" w:cs="Times New Roman"/>
          <w:sz w:val="24"/>
        </w:rPr>
        <w:t>.</w:t>
      </w:r>
      <w:r w:rsidR="00705664">
        <w:rPr>
          <w:rStyle w:val="FootnoteReference"/>
          <w:rFonts w:ascii="Times New Roman" w:hAnsi="Times New Roman" w:cs="Times New Roman"/>
          <w:sz w:val="24"/>
        </w:rPr>
        <w:footnoteReference w:id="3"/>
      </w:r>
      <w:r w:rsidR="006118E8">
        <w:rPr>
          <w:rFonts w:ascii="Times New Roman" w:hAnsi="Times New Roman" w:cs="Times New Roman"/>
          <w:sz w:val="24"/>
        </w:rPr>
        <w:t xml:space="preserve"> In this capacity, the main ideas of this work are found in the second argument regarding substantive citizenship, where </w:t>
      </w:r>
      <w:r w:rsidR="00787EC0">
        <w:rPr>
          <w:rFonts w:ascii="Times New Roman" w:hAnsi="Times New Roman" w:cs="Times New Roman"/>
          <w:sz w:val="24"/>
        </w:rPr>
        <w:t>citizenship is</w:t>
      </w:r>
      <w:r w:rsidR="006118E8" w:rsidRPr="006118E8">
        <w:rPr>
          <w:rFonts w:ascii="Times New Roman" w:hAnsi="Times New Roman" w:cs="Times New Roman"/>
          <w:sz w:val="24"/>
        </w:rPr>
        <w:t xml:space="preserve"> presented as </w:t>
      </w:r>
      <w:r w:rsidR="00787EC0">
        <w:rPr>
          <w:rFonts w:ascii="Times New Roman" w:hAnsi="Times New Roman" w:cs="Times New Roman"/>
          <w:sz w:val="24"/>
        </w:rPr>
        <w:t xml:space="preserve">being </w:t>
      </w:r>
      <w:r w:rsidR="006118E8" w:rsidRPr="006118E8">
        <w:rPr>
          <w:rFonts w:ascii="Times New Roman" w:hAnsi="Times New Roman" w:cs="Times New Roman"/>
          <w:sz w:val="24"/>
        </w:rPr>
        <w:t xml:space="preserve">connected to rights, and rights were presented as </w:t>
      </w:r>
      <w:r w:rsidR="006118E8">
        <w:rPr>
          <w:rFonts w:ascii="Times New Roman" w:hAnsi="Times New Roman" w:cs="Times New Roman"/>
          <w:sz w:val="24"/>
        </w:rPr>
        <w:t xml:space="preserve">following an evolutionary </w:t>
      </w:r>
      <w:r w:rsidR="006118E8" w:rsidRPr="006118E8">
        <w:rPr>
          <w:rFonts w:ascii="Times New Roman" w:hAnsi="Times New Roman" w:cs="Times New Roman"/>
          <w:sz w:val="24"/>
        </w:rPr>
        <w:t xml:space="preserve">path towards </w:t>
      </w:r>
      <w:r w:rsidR="006118E8" w:rsidRPr="006118E8">
        <w:rPr>
          <w:rFonts w:ascii="Times New Roman" w:hAnsi="Times New Roman" w:cs="Times New Roman"/>
          <w:sz w:val="24"/>
        </w:rPr>
        <w:lastRenderedPageBreak/>
        <w:t>greater egalitarianism</w:t>
      </w:r>
      <w:r w:rsidR="006118E8">
        <w:rPr>
          <w:rFonts w:ascii="Times New Roman" w:hAnsi="Times New Roman" w:cs="Times New Roman"/>
          <w:sz w:val="24"/>
        </w:rPr>
        <w:t xml:space="preserve">. After reviewing each argument in regards to the author’s original thesis, </w:t>
      </w:r>
      <w:r w:rsidR="00787EC0">
        <w:rPr>
          <w:rFonts w:ascii="Times New Roman" w:hAnsi="Times New Roman" w:cs="Times New Roman"/>
          <w:sz w:val="24"/>
        </w:rPr>
        <w:t xml:space="preserve">a more accurate thesis would read as follows. </w:t>
      </w:r>
      <w:r w:rsidR="00537DE0" w:rsidRPr="00537DE0">
        <w:rPr>
          <w:rFonts w:ascii="Times New Roman" w:hAnsi="Times New Roman" w:cs="Times New Roman"/>
          <w:sz w:val="24"/>
        </w:rPr>
        <w:t>The demands and claims for recognition, inclusion and in some cases self rule has given rise to a strong tradition in Canada, the consideration and theorizing of differentiated citizenship.</w:t>
      </w:r>
      <w:r w:rsidR="00537DE0">
        <w:rPr>
          <w:rFonts w:ascii="Times New Roman" w:hAnsi="Times New Roman" w:cs="Times New Roman"/>
          <w:sz w:val="24"/>
        </w:rPr>
        <w:t xml:space="preserve"> </w:t>
      </w:r>
      <w:r w:rsidR="006118E8">
        <w:rPr>
          <w:rFonts w:ascii="Times New Roman" w:hAnsi="Times New Roman" w:cs="Times New Roman"/>
          <w:sz w:val="24"/>
        </w:rPr>
        <w:t>The primary discussion found in the arguments of Formal and belonging citizenship discuss shifting identification among specific groups within Canada, utilizing a British narrative and colonialism as being responsible for rendering French-English divides, as well as aboriginal dissonance.</w:t>
      </w:r>
      <w:r w:rsidR="00705664">
        <w:rPr>
          <w:rStyle w:val="FootnoteReference"/>
          <w:rFonts w:ascii="Times New Roman" w:hAnsi="Times New Roman" w:cs="Times New Roman"/>
          <w:sz w:val="24"/>
        </w:rPr>
        <w:footnoteReference w:id="4"/>
      </w:r>
      <w:r w:rsidR="006118E8">
        <w:rPr>
          <w:rFonts w:ascii="Times New Roman" w:hAnsi="Times New Roman" w:cs="Times New Roman"/>
          <w:sz w:val="24"/>
        </w:rPr>
        <w:t xml:space="preserve"> </w:t>
      </w:r>
    </w:p>
    <w:p w14:paraId="4A63B79C" w14:textId="60367E2E" w:rsidR="005A106B" w:rsidRDefault="006578C9" w:rsidP="0031203B">
      <w:pPr>
        <w:spacing w:line="480" w:lineRule="auto"/>
        <w:rPr>
          <w:rFonts w:ascii="Times New Roman" w:hAnsi="Times New Roman" w:cs="Times New Roman"/>
          <w:sz w:val="24"/>
        </w:rPr>
      </w:pPr>
      <w:r>
        <w:rPr>
          <w:rFonts w:ascii="Times New Roman" w:hAnsi="Times New Roman" w:cs="Times New Roman"/>
          <w:sz w:val="24"/>
        </w:rPr>
        <w:t xml:space="preserve">This essay is primarily about the </w:t>
      </w:r>
      <w:r w:rsidR="000013D5" w:rsidRPr="000013D5">
        <w:rPr>
          <w:rFonts w:ascii="Times New Roman" w:hAnsi="Times New Roman" w:cs="Times New Roman"/>
          <w:sz w:val="24"/>
        </w:rPr>
        <w:t>historic and contemporary realities</w:t>
      </w:r>
      <w:r w:rsidR="000013D5">
        <w:rPr>
          <w:rFonts w:ascii="Times New Roman" w:hAnsi="Times New Roman" w:cs="Times New Roman"/>
          <w:sz w:val="24"/>
        </w:rPr>
        <w:t xml:space="preserve"> regarding citizenship, where Canada is positioned in the center of global debate about the limits of multicultural and </w:t>
      </w:r>
      <w:r w:rsidR="000013D5" w:rsidRPr="000013D5">
        <w:rPr>
          <w:rFonts w:ascii="Times New Roman" w:hAnsi="Times New Roman" w:cs="Times New Roman"/>
          <w:sz w:val="24"/>
        </w:rPr>
        <w:t xml:space="preserve">differentiated citizenship </w:t>
      </w:r>
      <w:r w:rsidR="000013D5">
        <w:rPr>
          <w:rFonts w:ascii="Times New Roman" w:hAnsi="Times New Roman" w:cs="Times New Roman"/>
          <w:sz w:val="24"/>
        </w:rPr>
        <w:t xml:space="preserve">in a Canadian context. The first argument’s explanation of Formal citizenship describes historic legislation through each level of government that worked to </w:t>
      </w:r>
      <w:r w:rsidR="000013D5" w:rsidRPr="000013D5">
        <w:rPr>
          <w:rFonts w:ascii="Times New Roman" w:hAnsi="Times New Roman" w:cs="Times New Roman"/>
          <w:sz w:val="24"/>
        </w:rPr>
        <w:t>deny Canadian citizenship to specific collect</w:t>
      </w:r>
      <w:r w:rsidR="000013D5">
        <w:rPr>
          <w:rFonts w:ascii="Times New Roman" w:hAnsi="Times New Roman" w:cs="Times New Roman"/>
          <w:sz w:val="24"/>
        </w:rPr>
        <w:t xml:space="preserve">ivities already in the country </w:t>
      </w:r>
      <w:r w:rsidR="000013D5" w:rsidRPr="000013D5">
        <w:rPr>
          <w:rFonts w:ascii="Times New Roman" w:hAnsi="Times New Roman" w:cs="Times New Roman"/>
          <w:sz w:val="24"/>
        </w:rPr>
        <w:t>including women, those without property, and Indigenous people</w:t>
      </w:r>
      <w:r w:rsidR="000013D5">
        <w:rPr>
          <w:rFonts w:ascii="Times New Roman" w:hAnsi="Times New Roman" w:cs="Times New Roman"/>
          <w:sz w:val="24"/>
        </w:rPr>
        <w:t>.</w:t>
      </w:r>
      <w:r w:rsidR="00705664">
        <w:rPr>
          <w:rStyle w:val="FootnoteReference"/>
          <w:rFonts w:ascii="Times New Roman" w:hAnsi="Times New Roman" w:cs="Times New Roman"/>
          <w:sz w:val="24"/>
        </w:rPr>
        <w:footnoteReference w:id="5"/>
      </w:r>
      <w:r w:rsidR="000013D5">
        <w:rPr>
          <w:rFonts w:ascii="Times New Roman" w:hAnsi="Times New Roman" w:cs="Times New Roman"/>
          <w:sz w:val="24"/>
        </w:rPr>
        <w:t xml:space="preserve"> It was only in the 1960s </w:t>
      </w:r>
      <w:r w:rsidR="000013D5" w:rsidRPr="000013D5">
        <w:rPr>
          <w:rFonts w:ascii="Times New Roman" w:hAnsi="Times New Roman" w:cs="Times New Roman"/>
          <w:sz w:val="24"/>
        </w:rPr>
        <w:t xml:space="preserve">as a result of the prominence of human rights discourse and new emphases on non-discrimination, coupled with the continued </w:t>
      </w:r>
      <w:r w:rsidR="000013D5">
        <w:rPr>
          <w:rFonts w:ascii="Times New Roman" w:hAnsi="Times New Roman" w:cs="Times New Roman"/>
          <w:sz w:val="24"/>
        </w:rPr>
        <w:t xml:space="preserve">need for immigration </w:t>
      </w:r>
      <w:r w:rsidR="000013D5" w:rsidRPr="000013D5">
        <w:rPr>
          <w:rFonts w:ascii="Times New Roman" w:hAnsi="Times New Roman" w:cs="Times New Roman"/>
          <w:sz w:val="24"/>
        </w:rPr>
        <w:t>that legislation shifted fro</w:t>
      </w:r>
      <w:r w:rsidR="000013D5">
        <w:rPr>
          <w:rFonts w:ascii="Times New Roman" w:hAnsi="Times New Roman" w:cs="Times New Roman"/>
          <w:sz w:val="24"/>
        </w:rPr>
        <w:t>m being explicitly dis</w:t>
      </w:r>
      <w:r w:rsidR="000013D5" w:rsidRPr="000013D5">
        <w:rPr>
          <w:rFonts w:ascii="Times New Roman" w:hAnsi="Times New Roman" w:cs="Times New Roman"/>
          <w:sz w:val="24"/>
        </w:rPr>
        <w:t>cri</w:t>
      </w:r>
      <w:r w:rsidR="000013D5">
        <w:rPr>
          <w:rFonts w:ascii="Times New Roman" w:hAnsi="Times New Roman" w:cs="Times New Roman"/>
          <w:sz w:val="24"/>
        </w:rPr>
        <w:t xml:space="preserve">minatory to formally </w:t>
      </w:r>
      <w:r w:rsidR="00705664">
        <w:rPr>
          <w:rFonts w:ascii="Times New Roman" w:hAnsi="Times New Roman" w:cs="Times New Roman"/>
          <w:sz w:val="24"/>
        </w:rPr>
        <w:t>non-discriminatory in practice.</w:t>
      </w:r>
      <w:r w:rsidR="00705664">
        <w:rPr>
          <w:rStyle w:val="FootnoteReference"/>
          <w:rFonts w:ascii="Times New Roman" w:hAnsi="Times New Roman" w:cs="Times New Roman"/>
          <w:sz w:val="24"/>
        </w:rPr>
        <w:footnoteReference w:id="6"/>
      </w:r>
      <w:r w:rsidR="00705664">
        <w:rPr>
          <w:rFonts w:ascii="Times New Roman" w:hAnsi="Times New Roman" w:cs="Times New Roman"/>
          <w:sz w:val="24"/>
        </w:rPr>
        <w:t xml:space="preserve"> </w:t>
      </w:r>
      <w:r w:rsidR="000013D5">
        <w:rPr>
          <w:rFonts w:ascii="Times New Roman" w:hAnsi="Times New Roman" w:cs="Times New Roman"/>
          <w:sz w:val="24"/>
        </w:rPr>
        <w:t xml:space="preserve">The Second argument </w:t>
      </w:r>
      <w:r w:rsidR="00EB16A3">
        <w:rPr>
          <w:rFonts w:ascii="Times New Roman" w:hAnsi="Times New Roman" w:cs="Times New Roman"/>
          <w:sz w:val="24"/>
        </w:rPr>
        <w:t xml:space="preserve">is written to provide emphasis on the discussion of differentiated citizenship in regards to </w:t>
      </w:r>
      <w:r w:rsidR="00EB16A3" w:rsidRPr="00EB16A3">
        <w:rPr>
          <w:rFonts w:ascii="Times New Roman" w:hAnsi="Times New Roman" w:cs="Times New Roman"/>
          <w:sz w:val="24"/>
        </w:rPr>
        <w:t xml:space="preserve">Aboriginal peoples in Canada as well as </w:t>
      </w:r>
      <w:r w:rsidR="00EB16A3" w:rsidRPr="00EB16A3">
        <w:rPr>
          <w:rFonts w:ascii="Times New Roman" w:hAnsi="Times New Roman" w:cs="Times New Roman"/>
          <w:sz w:val="24"/>
        </w:rPr>
        <w:lastRenderedPageBreak/>
        <w:t>French-Canadians, especially inside Quebec</w:t>
      </w:r>
      <w:r w:rsidR="00EB16A3">
        <w:rPr>
          <w:rFonts w:ascii="Times New Roman" w:hAnsi="Times New Roman" w:cs="Times New Roman"/>
          <w:sz w:val="24"/>
        </w:rPr>
        <w:t>.</w:t>
      </w:r>
      <w:r w:rsidR="00705664">
        <w:rPr>
          <w:rStyle w:val="FootnoteReference"/>
          <w:rFonts w:ascii="Times New Roman" w:hAnsi="Times New Roman" w:cs="Times New Roman"/>
          <w:sz w:val="24"/>
        </w:rPr>
        <w:footnoteReference w:id="7"/>
      </w:r>
      <w:r w:rsidR="00EB16A3">
        <w:rPr>
          <w:rFonts w:ascii="Times New Roman" w:hAnsi="Times New Roman" w:cs="Times New Roman"/>
          <w:sz w:val="24"/>
        </w:rPr>
        <w:t xml:space="preserve"> These groups are deemed national minorities in Canadian context, it is here that the essay begins to continuously explain their relevance throughout the </w:t>
      </w:r>
      <w:r w:rsidR="00705664">
        <w:rPr>
          <w:rFonts w:ascii="Times New Roman" w:hAnsi="Times New Roman" w:cs="Times New Roman"/>
          <w:sz w:val="24"/>
        </w:rPr>
        <w:t>remainder</w:t>
      </w:r>
      <w:r w:rsidR="00EB16A3">
        <w:rPr>
          <w:rFonts w:ascii="Times New Roman" w:hAnsi="Times New Roman" w:cs="Times New Roman"/>
          <w:sz w:val="24"/>
        </w:rPr>
        <w:t xml:space="preserve"> of the article. It is this instance within the essay that makes </w:t>
      </w:r>
      <w:r w:rsidR="00787EC0">
        <w:rPr>
          <w:rFonts w:ascii="Times New Roman" w:hAnsi="Times New Roman" w:cs="Times New Roman"/>
          <w:sz w:val="24"/>
        </w:rPr>
        <w:t>the suggested thesis proposed i</w:t>
      </w:r>
      <w:r w:rsidR="00EB16A3">
        <w:rPr>
          <w:rFonts w:ascii="Times New Roman" w:hAnsi="Times New Roman" w:cs="Times New Roman"/>
          <w:sz w:val="24"/>
        </w:rPr>
        <w:t>n the introduction significan</w:t>
      </w:r>
      <w:r w:rsidR="00787EC0">
        <w:rPr>
          <w:rFonts w:ascii="Times New Roman" w:hAnsi="Times New Roman" w:cs="Times New Roman"/>
          <w:sz w:val="24"/>
        </w:rPr>
        <w:t>tly more viable, as the entirety</w:t>
      </w:r>
      <w:r w:rsidR="00EB16A3">
        <w:rPr>
          <w:rFonts w:ascii="Times New Roman" w:hAnsi="Times New Roman" w:cs="Times New Roman"/>
          <w:sz w:val="24"/>
        </w:rPr>
        <w:t xml:space="preserve"> of the argume</w:t>
      </w:r>
      <w:r w:rsidR="00B525B4">
        <w:rPr>
          <w:rFonts w:ascii="Times New Roman" w:hAnsi="Times New Roman" w:cs="Times New Roman"/>
          <w:sz w:val="24"/>
        </w:rPr>
        <w:t xml:space="preserve">nts relate to this discussion. </w:t>
      </w:r>
      <w:r w:rsidR="00B525B4" w:rsidRPr="00B525B4">
        <w:rPr>
          <w:rFonts w:ascii="Times New Roman" w:hAnsi="Times New Roman" w:cs="Times New Roman"/>
          <w:sz w:val="24"/>
        </w:rPr>
        <w:t>These realities of Canadian civil society have shaped policy response</w:t>
      </w:r>
      <w:r w:rsidR="00B525B4">
        <w:rPr>
          <w:rFonts w:ascii="Times New Roman" w:hAnsi="Times New Roman" w:cs="Times New Roman"/>
          <w:sz w:val="24"/>
        </w:rPr>
        <w:t xml:space="preserve">s, and it is important to note that </w:t>
      </w:r>
      <w:r w:rsidR="00B525B4" w:rsidRPr="00B525B4">
        <w:rPr>
          <w:rFonts w:ascii="Times New Roman" w:hAnsi="Times New Roman" w:cs="Times New Roman"/>
          <w:sz w:val="24"/>
        </w:rPr>
        <w:t xml:space="preserve">policies like official bilingualism and multiculturalism </w:t>
      </w:r>
      <w:r w:rsidR="00B525B4">
        <w:rPr>
          <w:rFonts w:ascii="Times New Roman" w:hAnsi="Times New Roman" w:cs="Times New Roman"/>
          <w:sz w:val="24"/>
        </w:rPr>
        <w:t xml:space="preserve">were </w:t>
      </w:r>
      <w:r w:rsidR="00B525B4" w:rsidRPr="00B525B4">
        <w:rPr>
          <w:rFonts w:ascii="Times New Roman" w:hAnsi="Times New Roman" w:cs="Times New Roman"/>
          <w:sz w:val="24"/>
        </w:rPr>
        <w:t>developed in the same general period as the</w:t>
      </w:r>
      <w:r w:rsidR="00B525B4">
        <w:rPr>
          <w:rFonts w:ascii="Times New Roman" w:hAnsi="Times New Roman" w:cs="Times New Roman"/>
          <w:sz w:val="24"/>
        </w:rPr>
        <w:t xml:space="preserve"> welfare state.</w:t>
      </w:r>
      <w:r w:rsidR="00705664">
        <w:rPr>
          <w:rStyle w:val="FootnoteReference"/>
          <w:rFonts w:ascii="Times New Roman" w:hAnsi="Times New Roman" w:cs="Times New Roman"/>
          <w:sz w:val="24"/>
        </w:rPr>
        <w:footnoteReference w:id="8"/>
      </w:r>
      <w:r w:rsidR="00B525B4">
        <w:rPr>
          <w:rFonts w:ascii="Times New Roman" w:hAnsi="Times New Roman" w:cs="Times New Roman"/>
          <w:sz w:val="24"/>
        </w:rPr>
        <w:t xml:space="preserve"> This is a strong realization as essay begins to discuss a trend of policies created out of the need to serve and better empower various </w:t>
      </w:r>
      <w:r w:rsidR="001B365A">
        <w:rPr>
          <w:rFonts w:ascii="Times New Roman" w:hAnsi="Times New Roman" w:cs="Times New Roman"/>
          <w:sz w:val="24"/>
        </w:rPr>
        <w:t xml:space="preserve">minority collectivity’s and </w:t>
      </w:r>
      <w:r w:rsidR="00A508DD">
        <w:rPr>
          <w:rFonts w:ascii="Times New Roman" w:hAnsi="Times New Roman" w:cs="Times New Roman"/>
          <w:sz w:val="24"/>
        </w:rPr>
        <w:t>specific individuals</w:t>
      </w:r>
      <w:r w:rsidR="001B365A">
        <w:rPr>
          <w:rFonts w:ascii="Times New Roman" w:hAnsi="Times New Roman" w:cs="Times New Roman"/>
          <w:sz w:val="24"/>
        </w:rPr>
        <w:t xml:space="preserve"> within a nation-state. </w:t>
      </w:r>
      <w:r w:rsidR="00B525B4">
        <w:rPr>
          <w:rFonts w:ascii="Times New Roman" w:hAnsi="Times New Roman" w:cs="Times New Roman"/>
          <w:sz w:val="24"/>
        </w:rPr>
        <w:t>The author’s final argument and research describes belonging citizenship, which directly asserts an individuals position in society as a citizen. The author makes great strides in order to render the argument that the idea of belonging</w:t>
      </w:r>
      <w:r w:rsidR="00B525B4" w:rsidRPr="00B525B4">
        <w:rPr>
          <w:rFonts w:ascii="Times New Roman" w:hAnsi="Times New Roman" w:cs="Times New Roman"/>
          <w:sz w:val="24"/>
        </w:rPr>
        <w:t xml:space="preserve"> </w:t>
      </w:r>
      <w:r w:rsidR="00787EC0">
        <w:rPr>
          <w:rFonts w:ascii="Times New Roman" w:hAnsi="Times New Roman" w:cs="Times New Roman"/>
          <w:sz w:val="24"/>
        </w:rPr>
        <w:t xml:space="preserve">is an </w:t>
      </w:r>
      <w:r w:rsidR="00B525B4">
        <w:rPr>
          <w:rFonts w:ascii="Times New Roman" w:hAnsi="Times New Roman" w:cs="Times New Roman"/>
          <w:sz w:val="24"/>
        </w:rPr>
        <w:t>arbitrary</w:t>
      </w:r>
      <w:r w:rsidR="00787EC0">
        <w:rPr>
          <w:rFonts w:ascii="Times New Roman" w:hAnsi="Times New Roman" w:cs="Times New Roman"/>
          <w:sz w:val="24"/>
        </w:rPr>
        <w:t xml:space="preserve"> one. Here Abu-Laban finds it </w:t>
      </w:r>
      <w:r w:rsidR="00B525B4" w:rsidRPr="00B525B4">
        <w:rPr>
          <w:rFonts w:ascii="Times New Roman" w:hAnsi="Times New Roman" w:cs="Times New Roman"/>
          <w:sz w:val="24"/>
        </w:rPr>
        <w:t>seemingly more diffic</w:t>
      </w:r>
      <w:r w:rsidR="00787EC0">
        <w:rPr>
          <w:rFonts w:ascii="Times New Roman" w:hAnsi="Times New Roman" w:cs="Times New Roman"/>
          <w:sz w:val="24"/>
        </w:rPr>
        <w:t>ult to define than the typical</w:t>
      </w:r>
      <w:r w:rsidR="00B525B4" w:rsidRPr="00B525B4">
        <w:rPr>
          <w:rFonts w:ascii="Times New Roman" w:hAnsi="Times New Roman" w:cs="Times New Roman"/>
          <w:sz w:val="24"/>
        </w:rPr>
        <w:t xml:space="preserve"> more con</w:t>
      </w:r>
      <w:r w:rsidR="00B525B4">
        <w:rPr>
          <w:rFonts w:ascii="Times New Roman" w:hAnsi="Times New Roman" w:cs="Times New Roman"/>
          <w:sz w:val="24"/>
        </w:rPr>
        <w:t>crete laws governing the exten</w:t>
      </w:r>
      <w:r w:rsidR="00B525B4" w:rsidRPr="00B525B4">
        <w:rPr>
          <w:rFonts w:ascii="Times New Roman" w:hAnsi="Times New Roman" w:cs="Times New Roman"/>
          <w:sz w:val="24"/>
        </w:rPr>
        <w:t xml:space="preserve">sion of formal citizenship </w:t>
      </w:r>
      <w:r w:rsidR="00787EC0">
        <w:rPr>
          <w:rFonts w:ascii="Times New Roman" w:hAnsi="Times New Roman" w:cs="Times New Roman"/>
          <w:sz w:val="24"/>
        </w:rPr>
        <w:t>as discussed in the</w:t>
      </w:r>
      <w:r w:rsidR="00B525B4">
        <w:rPr>
          <w:rFonts w:ascii="Times New Roman" w:hAnsi="Times New Roman" w:cs="Times New Roman"/>
          <w:sz w:val="24"/>
        </w:rPr>
        <w:t xml:space="preserve"> previous </w:t>
      </w:r>
      <w:r w:rsidR="001B365A">
        <w:rPr>
          <w:rFonts w:ascii="Times New Roman" w:hAnsi="Times New Roman" w:cs="Times New Roman"/>
          <w:sz w:val="24"/>
        </w:rPr>
        <w:t xml:space="preserve">argument. This reads </w:t>
      </w:r>
      <w:r w:rsidR="00B525B4">
        <w:rPr>
          <w:rFonts w:ascii="Times New Roman" w:hAnsi="Times New Roman" w:cs="Times New Roman"/>
          <w:sz w:val="24"/>
        </w:rPr>
        <w:t xml:space="preserve">as more of a loose connection to the rest of </w:t>
      </w:r>
      <w:r w:rsidR="00B525B4" w:rsidRPr="00B525B4">
        <w:rPr>
          <w:rFonts w:ascii="Times New Roman" w:hAnsi="Times New Roman" w:cs="Times New Roman"/>
          <w:sz w:val="24"/>
        </w:rPr>
        <w:t>Abu-Laban’s</w:t>
      </w:r>
      <w:r w:rsidR="00B525B4">
        <w:rPr>
          <w:rFonts w:ascii="Times New Roman" w:hAnsi="Times New Roman" w:cs="Times New Roman"/>
          <w:sz w:val="24"/>
        </w:rPr>
        <w:t xml:space="preserve"> essay as the research in this regard is debating the </w:t>
      </w:r>
      <w:r w:rsidR="00B525B4" w:rsidRPr="00B525B4">
        <w:rPr>
          <w:rFonts w:ascii="Times New Roman" w:hAnsi="Times New Roman" w:cs="Times New Roman"/>
          <w:sz w:val="24"/>
        </w:rPr>
        <w:t>more readily identifiable rights associated with substantive citizenship.</w:t>
      </w:r>
      <w:r w:rsidR="00B525B4">
        <w:rPr>
          <w:rFonts w:ascii="Times New Roman" w:hAnsi="Times New Roman" w:cs="Times New Roman"/>
          <w:sz w:val="24"/>
        </w:rPr>
        <w:t xml:space="preserve"> </w:t>
      </w:r>
      <w:r w:rsidR="005A106B" w:rsidRPr="005A106B">
        <w:rPr>
          <w:rFonts w:ascii="Times New Roman" w:hAnsi="Times New Roman" w:cs="Times New Roman"/>
          <w:sz w:val="24"/>
        </w:rPr>
        <w:t xml:space="preserve">The foregoing discussion </w:t>
      </w:r>
      <w:r w:rsidR="005A106B">
        <w:rPr>
          <w:rFonts w:ascii="Times New Roman" w:hAnsi="Times New Roman" w:cs="Times New Roman"/>
          <w:sz w:val="24"/>
        </w:rPr>
        <w:t xml:space="preserve">directs its attention to the complex issue of identify and belonging in Canada </w:t>
      </w:r>
      <w:r w:rsidR="005A106B" w:rsidRPr="005A106B">
        <w:rPr>
          <w:rFonts w:ascii="Times New Roman" w:hAnsi="Times New Roman" w:cs="Times New Roman"/>
          <w:sz w:val="24"/>
        </w:rPr>
        <w:t xml:space="preserve">in light of its </w:t>
      </w:r>
      <w:r w:rsidR="005A106B">
        <w:rPr>
          <w:rFonts w:ascii="Times New Roman" w:hAnsi="Times New Roman" w:cs="Times New Roman"/>
          <w:sz w:val="24"/>
        </w:rPr>
        <w:t xml:space="preserve">foundation as a settler-colony. The author continues to describe the state practices </w:t>
      </w:r>
      <w:r w:rsidR="005A106B" w:rsidRPr="005A106B">
        <w:rPr>
          <w:rFonts w:ascii="Times New Roman" w:hAnsi="Times New Roman" w:cs="Times New Roman"/>
          <w:sz w:val="24"/>
        </w:rPr>
        <w:t xml:space="preserve">that may discriminate against minorities, </w:t>
      </w:r>
      <w:r w:rsidR="005A106B">
        <w:rPr>
          <w:rFonts w:ascii="Times New Roman" w:hAnsi="Times New Roman" w:cs="Times New Roman"/>
          <w:sz w:val="24"/>
        </w:rPr>
        <w:t>as well as</w:t>
      </w:r>
      <w:r w:rsidR="005A106B" w:rsidRPr="005A106B">
        <w:rPr>
          <w:rFonts w:ascii="Times New Roman" w:hAnsi="Times New Roman" w:cs="Times New Roman"/>
          <w:sz w:val="24"/>
        </w:rPr>
        <w:t xml:space="preserve"> unresolved attempts at differentiated citizenship</w:t>
      </w:r>
      <w:r w:rsidR="005A106B">
        <w:rPr>
          <w:rFonts w:ascii="Times New Roman" w:hAnsi="Times New Roman" w:cs="Times New Roman"/>
          <w:sz w:val="24"/>
        </w:rPr>
        <w:t xml:space="preserve">. The final points made in this argument are </w:t>
      </w:r>
      <w:r w:rsidR="00705664">
        <w:rPr>
          <w:rFonts w:ascii="Times New Roman" w:hAnsi="Times New Roman" w:cs="Times New Roman"/>
          <w:sz w:val="24"/>
        </w:rPr>
        <w:t>about</w:t>
      </w:r>
      <w:r w:rsidR="005A106B">
        <w:rPr>
          <w:rFonts w:ascii="Times New Roman" w:hAnsi="Times New Roman" w:cs="Times New Roman"/>
          <w:sz w:val="24"/>
        </w:rPr>
        <w:t xml:space="preserve"> surveillance practices </w:t>
      </w:r>
      <w:r w:rsidR="005A106B" w:rsidRPr="005A106B">
        <w:rPr>
          <w:rFonts w:ascii="Times New Roman" w:hAnsi="Times New Roman" w:cs="Times New Roman"/>
          <w:sz w:val="24"/>
        </w:rPr>
        <w:t xml:space="preserve">directed at Japanese-Canadians, French Quebecers, and </w:t>
      </w:r>
      <w:r w:rsidR="005A106B" w:rsidRPr="005A106B">
        <w:rPr>
          <w:rFonts w:ascii="Times New Roman" w:hAnsi="Times New Roman" w:cs="Times New Roman"/>
          <w:sz w:val="24"/>
        </w:rPr>
        <w:lastRenderedPageBreak/>
        <w:t>Indigenous citizens</w:t>
      </w:r>
      <w:r w:rsidR="005A106B">
        <w:rPr>
          <w:rFonts w:ascii="Times New Roman" w:hAnsi="Times New Roman" w:cs="Times New Roman"/>
          <w:sz w:val="24"/>
        </w:rPr>
        <w:t>.</w:t>
      </w:r>
      <w:r w:rsidR="00705664">
        <w:rPr>
          <w:rStyle w:val="FootnoteReference"/>
          <w:rFonts w:ascii="Times New Roman" w:hAnsi="Times New Roman" w:cs="Times New Roman"/>
          <w:sz w:val="24"/>
        </w:rPr>
        <w:footnoteReference w:id="9"/>
      </w:r>
      <w:r w:rsidR="005A106B">
        <w:rPr>
          <w:rFonts w:ascii="Times New Roman" w:hAnsi="Times New Roman" w:cs="Times New Roman"/>
          <w:sz w:val="24"/>
        </w:rPr>
        <w:t xml:space="preserve"> Scholar </w:t>
      </w:r>
      <w:r w:rsidR="005A106B" w:rsidRPr="005A106B">
        <w:rPr>
          <w:rFonts w:ascii="Times New Roman" w:hAnsi="Times New Roman" w:cs="Times New Roman"/>
          <w:sz w:val="24"/>
        </w:rPr>
        <w:t>Jane Jenson has used the concept of ‘citizenship regime’ to draw a</w:t>
      </w:r>
      <w:r w:rsidR="005A106B">
        <w:rPr>
          <w:rFonts w:ascii="Times New Roman" w:hAnsi="Times New Roman" w:cs="Times New Roman"/>
          <w:sz w:val="24"/>
        </w:rPr>
        <w:t>ttention to the idea of a soci</w:t>
      </w:r>
      <w:r w:rsidR="005A106B" w:rsidRPr="005A106B">
        <w:rPr>
          <w:rFonts w:ascii="Times New Roman" w:hAnsi="Times New Roman" w:cs="Times New Roman"/>
          <w:sz w:val="24"/>
        </w:rPr>
        <w:t>etally shared understanding of the relationship between citizens and the state, and the rights and duties associated with citizenship</w:t>
      </w:r>
      <w:r w:rsidR="005A106B">
        <w:rPr>
          <w:rFonts w:ascii="Times New Roman" w:hAnsi="Times New Roman" w:cs="Times New Roman"/>
          <w:sz w:val="24"/>
        </w:rPr>
        <w:t>.</w:t>
      </w:r>
      <w:r w:rsidR="00705664">
        <w:rPr>
          <w:rStyle w:val="FootnoteReference"/>
          <w:rFonts w:ascii="Times New Roman" w:hAnsi="Times New Roman" w:cs="Times New Roman"/>
          <w:sz w:val="24"/>
        </w:rPr>
        <w:footnoteReference w:id="10"/>
      </w:r>
      <w:r w:rsidR="005A106B">
        <w:rPr>
          <w:rFonts w:ascii="Times New Roman" w:hAnsi="Times New Roman" w:cs="Times New Roman"/>
          <w:sz w:val="24"/>
        </w:rPr>
        <w:t xml:space="preserve"> </w:t>
      </w:r>
      <w:r w:rsidR="005A106B" w:rsidRPr="005A106B">
        <w:rPr>
          <w:rFonts w:ascii="Times New Roman" w:hAnsi="Times New Roman" w:cs="Times New Roman"/>
          <w:sz w:val="24"/>
        </w:rPr>
        <w:t>Abu-Laban</w:t>
      </w:r>
      <w:r w:rsidR="005A106B">
        <w:rPr>
          <w:rFonts w:ascii="Times New Roman" w:hAnsi="Times New Roman" w:cs="Times New Roman"/>
          <w:sz w:val="24"/>
        </w:rPr>
        <w:t xml:space="preserve"> capitalizes on this, as he describes foreignness and citizenship to be </w:t>
      </w:r>
      <w:r w:rsidR="005A106B" w:rsidRPr="005A106B">
        <w:rPr>
          <w:rFonts w:ascii="Times New Roman" w:hAnsi="Times New Roman" w:cs="Times New Roman"/>
          <w:sz w:val="24"/>
        </w:rPr>
        <w:t>not ne</w:t>
      </w:r>
      <w:r w:rsidR="005A106B">
        <w:rPr>
          <w:rFonts w:ascii="Times New Roman" w:hAnsi="Times New Roman" w:cs="Times New Roman"/>
          <w:sz w:val="24"/>
        </w:rPr>
        <w:t xml:space="preserve">cessarily dependent on holding citizenship </w:t>
      </w:r>
      <w:r w:rsidR="005A106B" w:rsidRPr="005A106B">
        <w:rPr>
          <w:rFonts w:ascii="Times New Roman" w:hAnsi="Times New Roman" w:cs="Times New Roman"/>
          <w:sz w:val="24"/>
        </w:rPr>
        <w:t xml:space="preserve">status or </w:t>
      </w:r>
      <w:r w:rsidR="00FB72A9">
        <w:rPr>
          <w:rFonts w:ascii="Times New Roman" w:hAnsi="Times New Roman" w:cs="Times New Roman"/>
          <w:sz w:val="24"/>
        </w:rPr>
        <w:t xml:space="preserve">having </w:t>
      </w:r>
      <w:r w:rsidR="005A106B" w:rsidRPr="005A106B">
        <w:rPr>
          <w:rFonts w:ascii="Times New Roman" w:hAnsi="Times New Roman" w:cs="Times New Roman"/>
          <w:sz w:val="24"/>
        </w:rPr>
        <w:t>the rights associated with citizenship.</w:t>
      </w:r>
      <w:r w:rsidR="00044275">
        <w:rPr>
          <w:rFonts w:ascii="Times New Roman" w:hAnsi="Times New Roman" w:cs="Times New Roman"/>
          <w:sz w:val="24"/>
        </w:rPr>
        <w:t xml:space="preserve"> The author concludes that </w:t>
      </w:r>
      <w:r w:rsidR="00044275" w:rsidRPr="00044275">
        <w:rPr>
          <w:rFonts w:ascii="Times New Roman" w:hAnsi="Times New Roman" w:cs="Times New Roman"/>
          <w:sz w:val="24"/>
        </w:rPr>
        <w:t>in the process, such concepts as ‘white settler colony</w:t>
      </w:r>
      <w:r w:rsidR="006869A1">
        <w:rPr>
          <w:rFonts w:ascii="Times New Roman" w:hAnsi="Times New Roman" w:cs="Times New Roman"/>
          <w:sz w:val="24"/>
        </w:rPr>
        <w:t>’, ‘differentiated citizenship’ and ‘multicultural citizenship’</w:t>
      </w:r>
      <w:r w:rsidR="0046248E">
        <w:rPr>
          <w:rFonts w:ascii="Times New Roman" w:hAnsi="Times New Roman" w:cs="Times New Roman"/>
          <w:sz w:val="24"/>
        </w:rPr>
        <w:t xml:space="preserve"> </w:t>
      </w:r>
      <w:r w:rsidR="00044275" w:rsidRPr="00044275">
        <w:rPr>
          <w:rFonts w:ascii="Times New Roman" w:hAnsi="Times New Roman" w:cs="Times New Roman"/>
          <w:sz w:val="24"/>
        </w:rPr>
        <w:t>have emerged as important for understanding different aspects of the Canadian experience.</w:t>
      </w:r>
      <w:r w:rsidR="00705664">
        <w:rPr>
          <w:rStyle w:val="FootnoteReference"/>
          <w:rFonts w:ascii="Times New Roman" w:hAnsi="Times New Roman" w:cs="Times New Roman"/>
          <w:sz w:val="24"/>
        </w:rPr>
        <w:footnoteReference w:id="11"/>
      </w:r>
      <w:r w:rsidR="00044275" w:rsidRPr="00044275">
        <w:rPr>
          <w:rFonts w:ascii="Times New Roman" w:hAnsi="Times New Roman" w:cs="Times New Roman"/>
          <w:sz w:val="24"/>
        </w:rPr>
        <w:t xml:space="preserve"> </w:t>
      </w:r>
    </w:p>
    <w:p w14:paraId="6E87B44F" w14:textId="14347329" w:rsidR="00445452" w:rsidRDefault="003A3A16" w:rsidP="0031203B">
      <w:pPr>
        <w:spacing w:line="480" w:lineRule="auto"/>
        <w:rPr>
          <w:rFonts w:ascii="Times New Roman" w:hAnsi="Times New Roman" w:cs="Times New Roman"/>
          <w:sz w:val="24"/>
        </w:rPr>
      </w:pPr>
      <w:r w:rsidRPr="003A3A16">
        <w:rPr>
          <w:rFonts w:ascii="Times New Roman" w:hAnsi="Times New Roman" w:cs="Times New Roman"/>
          <w:sz w:val="24"/>
        </w:rPr>
        <w:t>Citizenship and Foreignness in Canada</w:t>
      </w:r>
      <w:r>
        <w:rPr>
          <w:rFonts w:ascii="Times New Roman" w:hAnsi="Times New Roman" w:cs="Times New Roman"/>
          <w:sz w:val="24"/>
        </w:rPr>
        <w:t xml:space="preserve"> presents itself as a comprehensive inquiry to Canadian culture and its relation to citizenship by introducing three concepts as explanations. Utilizing the discussion of Formal, Substantive and belonging citizenship in a Canadian context, the author exceptionally </w:t>
      </w:r>
      <w:r w:rsidR="0007297A">
        <w:rPr>
          <w:rFonts w:ascii="Times New Roman" w:hAnsi="Times New Roman" w:cs="Times New Roman"/>
          <w:sz w:val="24"/>
        </w:rPr>
        <w:t xml:space="preserve">explains historic legislation and the groups impacted the most. Abu-Laban also makes considerable progress in presenting the topic of </w:t>
      </w:r>
      <w:r w:rsidR="0007297A" w:rsidRPr="0007297A">
        <w:rPr>
          <w:rFonts w:ascii="Times New Roman" w:hAnsi="Times New Roman" w:cs="Times New Roman"/>
          <w:sz w:val="24"/>
        </w:rPr>
        <w:t>differentiated citizenship</w:t>
      </w:r>
      <w:r w:rsidR="0007297A">
        <w:rPr>
          <w:rFonts w:ascii="Times New Roman" w:hAnsi="Times New Roman" w:cs="Times New Roman"/>
          <w:sz w:val="24"/>
        </w:rPr>
        <w:t xml:space="preserve">, by introducing the social </w:t>
      </w:r>
      <w:r w:rsidR="0007297A" w:rsidRPr="00A508DD">
        <w:rPr>
          <w:rFonts w:ascii="Times New Roman" w:hAnsi="Times New Roman" w:cs="Times New Roman"/>
          <w:sz w:val="24"/>
          <w:szCs w:val="24"/>
        </w:rPr>
        <w:t>dimensions of citizenship</w:t>
      </w:r>
      <w:r w:rsidR="00A508DD" w:rsidRPr="00A508DD">
        <w:rPr>
          <w:rFonts w:ascii="Times New Roman" w:hAnsi="Times New Roman" w:cs="Times New Roman"/>
          <w:sz w:val="24"/>
          <w:szCs w:val="24"/>
        </w:rPr>
        <w:t>; that it entails generality across persons, such that no individual may be singled out for social benefits or obligations</w:t>
      </w:r>
      <w:r w:rsidR="00A508DD">
        <w:rPr>
          <w:rFonts w:ascii="Times New Roman" w:hAnsi="Times New Roman" w:cs="Times New Roman"/>
          <w:sz w:val="24"/>
          <w:szCs w:val="24"/>
        </w:rPr>
        <w:t>.</w:t>
      </w:r>
      <w:r w:rsidR="00705664">
        <w:rPr>
          <w:rStyle w:val="FootnoteReference"/>
          <w:rFonts w:ascii="Times New Roman" w:hAnsi="Times New Roman" w:cs="Times New Roman"/>
          <w:sz w:val="24"/>
          <w:szCs w:val="24"/>
        </w:rPr>
        <w:footnoteReference w:id="12"/>
      </w:r>
      <w:r w:rsidR="00A508DD">
        <w:rPr>
          <w:rFonts w:ascii="Times New Roman" w:hAnsi="Times New Roman" w:cs="Times New Roman"/>
          <w:sz w:val="24"/>
          <w:szCs w:val="24"/>
        </w:rPr>
        <w:t xml:space="preserve"> </w:t>
      </w:r>
      <w:r w:rsidR="0007297A">
        <w:rPr>
          <w:rFonts w:ascii="Times New Roman" w:hAnsi="Times New Roman" w:cs="Times New Roman"/>
          <w:sz w:val="24"/>
        </w:rPr>
        <w:t>The formidable explanation comes in regards to the author’s designed conclusion</w:t>
      </w:r>
      <w:r w:rsidR="0007297A" w:rsidRPr="0007297A">
        <w:rPr>
          <w:rFonts w:ascii="Times New Roman" w:hAnsi="Times New Roman" w:cs="Times New Roman"/>
          <w:sz w:val="24"/>
        </w:rPr>
        <w:t>,</w:t>
      </w:r>
      <w:r w:rsidR="0007297A">
        <w:rPr>
          <w:rFonts w:ascii="Times New Roman" w:hAnsi="Times New Roman" w:cs="Times New Roman"/>
          <w:sz w:val="24"/>
        </w:rPr>
        <w:t xml:space="preserve"> where </w:t>
      </w:r>
      <w:r w:rsidR="0007297A" w:rsidRPr="0007297A">
        <w:rPr>
          <w:rFonts w:ascii="Times New Roman" w:hAnsi="Times New Roman" w:cs="Times New Roman"/>
          <w:sz w:val="24"/>
        </w:rPr>
        <w:t xml:space="preserve">many of these concepts may find </w:t>
      </w:r>
      <w:r w:rsidR="0007297A" w:rsidRPr="0007297A">
        <w:rPr>
          <w:rFonts w:ascii="Times New Roman" w:hAnsi="Times New Roman" w:cs="Times New Roman"/>
          <w:sz w:val="24"/>
        </w:rPr>
        <w:lastRenderedPageBreak/>
        <w:t>resonance in other states and world regions, especially in the context of</w:t>
      </w:r>
      <w:r w:rsidR="0007297A">
        <w:rPr>
          <w:rFonts w:ascii="Times New Roman" w:hAnsi="Times New Roman" w:cs="Times New Roman"/>
          <w:sz w:val="24"/>
        </w:rPr>
        <w:t xml:space="preserve"> globalizing citizenship.</w:t>
      </w:r>
      <w:r w:rsidR="00705664">
        <w:rPr>
          <w:rStyle w:val="FootnoteReference"/>
          <w:rFonts w:ascii="Times New Roman" w:hAnsi="Times New Roman" w:cs="Times New Roman"/>
          <w:sz w:val="24"/>
        </w:rPr>
        <w:footnoteReference w:id="13"/>
      </w:r>
      <w:r w:rsidR="0007297A">
        <w:rPr>
          <w:rFonts w:ascii="Times New Roman" w:hAnsi="Times New Roman" w:cs="Times New Roman"/>
          <w:sz w:val="24"/>
        </w:rPr>
        <w:t xml:space="preserve"> </w:t>
      </w:r>
      <w:r w:rsidR="004B71A1">
        <w:rPr>
          <w:rFonts w:ascii="Times New Roman" w:hAnsi="Times New Roman" w:cs="Times New Roman"/>
          <w:sz w:val="24"/>
        </w:rPr>
        <w:t xml:space="preserve">Although the author provides considerable </w:t>
      </w:r>
      <w:r w:rsidR="00445452">
        <w:rPr>
          <w:rFonts w:ascii="Times New Roman" w:hAnsi="Times New Roman" w:cs="Times New Roman"/>
          <w:sz w:val="24"/>
        </w:rPr>
        <w:t>insight regarding Canada as a settler nation, the essay is at times difficult to read given the plethora of connections in which Abu-Laban introduces.</w:t>
      </w:r>
      <w:r w:rsidR="00705664">
        <w:rPr>
          <w:rStyle w:val="FootnoteReference"/>
          <w:rFonts w:ascii="Times New Roman" w:hAnsi="Times New Roman" w:cs="Times New Roman"/>
          <w:sz w:val="24"/>
        </w:rPr>
        <w:footnoteReference w:id="14"/>
      </w:r>
      <w:r w:rsidR="00445452">
        <w:rPr>
          <w:rFonts w:ascii="Times New Roman" w:hAnsi="Times New Roman" w:cs="Times New Roman"/>
          <w:sz w:val="24"/>
        </w:rPr>
        <w:t xml:space="preserve"> The authors description of demands from </w:t>
      </w:r>
      <w:r w:rsidR="00445452" w:rsidRPr="00445452">
        <w:rPr>
          <w:rFonts w:ascii="Times New Roman" w:hAnsi="Times New Roman" w:cs="Times New Roman"/>
          <w:sz w:val="24"/>
        </w:rPr>
        <w:t>francophone,</w:t>
      </w:r>
      <w:r w:rsidR="00445452">
        <w:rPr>
          <w:rFonts w:ascii="Times New Roman" w:hAnsi="Times New Roman" w:cs="Times New Roman"/>
          <w:sz w:val="24"/>
        </w:rPr>
        <w:t xml:space="preserve"> </w:t>
      </w:r>
      <w:r w:rsidR="00445452" w:rsidRPr="00445452">
        <w:rPr>
          <w:rFonts w:ascii="Times New Roman" w:hAnsi="Times New Roman" w:cs="Times New Roman"/>
          <w:sz w:val="24"/>
        </w:rPr>
        <w:t>Aboriginal people, and non-British, non-French, and non- Aboriginal Canadians</w:t>
      </w:r>
      <w:r w:rsidR="00445452">
        <w:rPr>
          <w:rFonts w:ascii="Times New Roman" w:hAnsi="Times New Roman" w:cs="Times New Roman"/>
          <w:sz w:val="24"/>
        </w:rPr>
        <w:t xml:space="preserve"> read particular</w:t>
      </w:r>
      <w:r w:rsidR="00A508DD">
        <w:rPr>
          <w:rFonts w:ascii="Times New Roman" w:hAnsi="Times New Roman" w:cs="Times New Roman"/>
          <w:sz w:val="24"/>
        </w:rPr>
        <w:t>ly</w:t>
      </w:r>
      <w:r w:rsidR="00445452">
        <w:rPr>
          <w:rFonts w:ascii="Times New Roman" w:hAnsi="Times New Roman" w:cs="Times New Roman"/>
          <w:sz w:val="24"/>
        </w:rPr>
        <w:t xml:space="preserve"> out of place as they do not connect to the previous discussion or future debate on global citizenship.</w:t>
      </w:r>
      <w:r w:rsidR="00705664">
        <w:rPr>
          <w:rStyle w:val="FootnoteReference"/>
          <w:rFonts w:ascii="Times New Roman" w:hAnsi="Times New Roman" w:cs="Times New Roman"/>
          <w:sz w:val="24"/>
        </w:rPr>
        <w:footnoteReference w:id="15"/>
      </w:r>
      <w:r w:rsidR="00445452">
        <w:rPr>
          <w:rFonts w:ascii="Times New Roman" w:hAnsi="Times New Roman" w:cs="Times New Roman"/>
          <w:sz w:val="24"/>
        </w:rPr>
        <w:t xml:space="preserve"> These instances make it hard to identify the author’s main idea as inconstancies in the author research sometimes do not explain the intended argument well. In the authors first</w:t>
      </w:r>
      <w:r w:rsidR="0015231B">
        <w:rPr>
          <w:rFonts w:ascii="Times New Roman" w:hAnsi="Times New Roman" w:cs="Times New Roman"/>
          <w:sz w:val="24"/>
        </w:rPr>
        <w:t xml:space="preserve"> argument on formal citizenship, Abu-Laban makes a considerable effort to describe the treatment of aboriginals and minority groups within Canada, as well as the following transition to a non- discriminatory system.</w:t>
      </w:r>
      <w:r w:rsidR="00705664">
        <w:rPr>
          <w:rStyle w:val="FootnoteReference"/>
          <w:rFonts w:ascii="Times New Roman" w:hAnsi="Times New Roman" w:cs="Times New Roman"/>
          <w:sz w:val="24"/>
        </w:rPr>
        <w:footnoteReference w:id="16"/>
      </w:r>
      <w:r w:rsidR="0015231B">
        <w:rPr>
          <w:rFonts w:ascii="Times New Roman" w:hAnsi="Times New Roman" w:cs="Times New Roman"/>
          <w:sz w:val="24"/>
        </w:rPr>
        <w:t xml:space="preserve"> However, the latter parts of the argument read as a debate on the definition of formal citizenship in regards to the Harper administration. The author writes that it is </w:t>
      </w:r>
      <w:r w:rsidR="0015231B" w:rsidRPr="0015231B">
        <w:rPr>
          <w:rFonts w:ascii="Times New Roman" w:hAnsi="Times New Roman" w:cs="Times New Roman"/>
          <w:sz w:val="24"/>
        </w:rPr>
        <w:t>expected that formal citizenship will be an area of ongoing</w:t>
      </w:r>
      <w:r w:rsidR="0015231B">
        <w:rPr>
          <w:rFonts w:ascii="Times New Roman" w:hAnsi="Times New Roman" w:cs="Times New Roman"/>
          <w:sz w:val="24"/>
        </w:rPr>
        <w:t xml:space="preserve"> </w:t>
      </w:r>
      <w:r w:rsidR="0015231B" w:rsidRPr="0015231B">
        <w:rPr>
          <w:rFonts w:ascii="Times New Roman" w:hAnsi="Times New Roman" w:cs="Times New Roman"/>
          <w:sz w:val="24"/>
        </w:rPr>
        <w:t>politicization in Canada and that it will generate analytical and theoretical attention.</w:t>
      </w:r>
      <w:r w:rsidR="0015231B">
        <w:rPr>
          <w:rFonts w:ascii="Times New Roman" w:hAnsi="Times New Roman" w:cs="Times New Roman"/>
          <w:sz w:val="24"/>
        </w:rPr>
        <w:t xml:space="preserve"> The ensuing paragraph is intended to further identify Canada as a white settler nation, but feels flagrant and unnecessary, adding little to the overall discussion of the Abu-Laban’s first argument.  </w:t>
      </w:r>
      <w:r w:rsidR="003874F1">
        <w:rPr>
          <w:rFonts w:ascii="Times New Roman" w:hAnsi="Times New Roman" w:cs="Times New Roman"/>
          <w:sz w:val="24"/>
        </w:rPr>
        <w:t xml:space="preserve">In this </w:t>
      </w:r>
      <w:r w:rsidR="00313D81">
        <w:rPr>
          <w:rFonts w:ascii="Times New Roman" w:hAnsi="Times New Roman" w:cs="Times New Roman"/>
          <w:sz w:val="24"/>
        </w:rPr>
        <w:t>capacity,</w:t>
      </w:r>
      <w:r w:rsidR="003874F1">
        <w:rPr>
          <w:rFonts w:ascii="Times New Roman" w:hAnsi="Times New Roman" w:cs="Times New Roman"/>
          <w:sz w:val="24"/>
        </w:rPr>
        <w:t xml:space="preserve"> the </w:t>
      </w:r>
      <w:r w:rsidR="00273F8E">
        <w:rPr>
          <w:rFonts w:ascii="Times New Roman" w:hAnsi="Times New Roman" w:cs="Times New Roman"/>
          <w:sz w:val="24"/>
        </w:rPr>
        <w:t xml:space="preserve">essay sometimes becomes less focused as it steps away from the Canadian context and looks to countries such as the U.K., France and Mexico as examples in </w:t>
      </w:r>
      <w:r w:rsidR="00273F8E">
        <w:rPr>
          <w:rFonts w:ascii="Times New Roman" w:hAnsi="Times New Roman" w:cs="Times New Roman"/>
          <w:sz w:val="24"/>
        </w:rPr>
        <w:lastRenderedPageBreak/>
        <w:t>regards to immigration.</w:t>
      </w:r>
      <w:r w:rsidR="00313D81">
        <w:rPr>
          <w:rStyle w:val="FootnoteReference"/>
          <w:rFonts w:ascii="Times New Roman" w:hAnsi="Times New Roman" w:cs="Times New Roman"/>
          <w:sz w:val="24"/>
        </w:rPr>
        <w:footnoteReference w:id="17"/>
      </w:r>
      <w:r w:rsidR="00273F8E">
        <w:rPr>
          <w:rFonts w:ascii="Times New Roman" w:hAnsi="Times New Roman" w:cs="Times New Roman"/>
          <w:sz w:val="24"/>
        </w:rPr>
        <w:t xml:space="preserve"> This at times removes the reader from the essay as it does not relate entirely to Canada, specifically in regards to our exclusive issues with aboriginals and French-Canadians citizens, which should have been discussed in place of these global arguments.</w:t>
      </w:r>
      <w:r w:rsidR="00313D81">
        <w:rPr>
          <w:rStyle w:val="FootnoteReference"/>
          <w:rFonts w:ascii="Times New Roman" w:hAnsi="Times New Roman" w:cs="Times New Roman"/>
          <w:sz w:val="24"/>
        </w:rPr>
        <w:footnoteReference w:id="18"/>
      </w:r>
      <w:r w:rsidR="00273F8E">
        <w:rPr>
          <w:rFonts w:ascii="Times New Roman" w:hAnsi="Times New Roman" w:cs="Times New Roman"/>
          <w:sz w:val="24"/>
        </w:rPr>
        <w:t xml:space="preserve"> </w:t>
      </w:r>
      <w:r w:rsidR="005511DF">
        <w:rPr>
          <w:rFonts w:ascii="Times New Roman" w:hAnsi="Times New Roman" w:cs="Times New Roman"/>
          <w:sz w:val="24"/>
        </w:rPr>
        <w:t xml:space="preserve">The essay in summary was well researched and offered several different perspectives in regards to Formal, Substantive and Belonging citizenship. Abu-Laban wrote this essay for an intended audience but at times tried to bring in global perspectives in order to broaden his ideas, which upon several revisions of his essay, did not help to support his research in the Canadian context. The author also makes an appropriate conclusion </w:t>
      </w:r>
      <w:r w:rsidR="00065917">
        <w:rPr>
          <w:rFonts w:ascii="Times New Roman" w:hAnsi="Times New Roman" w:cs="Times New Roman"/>
          <w:sz w:val="24"/>
        </w:rPr>
        <w:t>on policy</w:t>
      </w:r>
      <w:r w:rsidR="005511DF" w:rsidRPr="005511DF">
        <w:rPr>
          <w:rFonts w:ascii="Times New Roman" w:hAnsi="Times New Roman" w:cs="Times New Roman"/>
          <w:sz w:val="24"/>
        </w:rPr>
        <w:t xml:space="preserve"> contradictions as w</w:t>
      </w:r>
      <w:r w:rsidR="005511DF">
        <w:rPr>
          <w:rFonts w:ascii="Times New Roman" w:hAnsi="Times New Roman" w:cs="Times New Roman"/>
          <w:sz w:val="24"/>
        </w:rPr>
        <w:t>ell as the advance</w:t>
      </w:r>
      <w:r w:rsidR="00065917">
        <w:rPr>
          <w:rFonts w:ascii="Times New Roman" w:hAnsi="Times New Roman" w:cs="Times New Roman"/>
          <w:sz w:val="24"/>
        </w:rPr>
        <w:t>ment</w:t>
      </w:r>
      <w:r w:rsidR="005511DF">
        <w:rPr>
          <w:rFonts w:ascii="Times New Roman" w:hAnsi="Times New Roman" w:cs="Times New Roman"/>
          <w:sz w:val="24"/>
        </w:rPr>
        <w:t xml:space="preserve"> of an inter</w:t>
      </w:r>
      <w:r w:rsidR="005511DF" w:rsidRPr="005511DF">
        <w:rPr>
          <w:rFonts w:ascii="Times New Roman" w:hAnsi="Times New Roman" w:cs="Times New Roman"/>
          <w:sz w:val="24"/>
        </w:rPr>
        <w:t>national discourse on human rights</w:t>
      </w:r>
      <w:r w:rsidR="005511DF">
        <w:rPr>
          <w:rFonts w:ascii="Times New Roman" w:hAnsi="Times New Roman" w:cs="Times New Roman"/>
          <w:sz w:val="24"/>
        </w:rPr>
        <w:t xml:space="preserve"> as well as a review of </w:t>
      </w:r>
      <w:r w:rsidR="005511DF" w:rsidRPr="005511DF">
        <w:rPr>
          <w:rFonts w:ascii="Times New Roman" w:hAnsi="Times New Roman" w:cs="Times New Roman"/>
          <w:sz w:val="24"/>
        </w:rPr>
        <w:t>differentiated citizenship</w:t>
      </w:r>
      <w:r w:rsidR="005511DF">
        <w:rPr>
          <w:rFonts w:ascii="Times New Roman" w:hAnsi="Times New Roman" w:cs="Times New Roman"/>
          <w:sz w:val="24"/>
        </w:rPr>
        <w:t xml:space="preserve">. </w:t>
      </w:r>
    </w:p>
    <w:p w14:paraId="671D3654" w14:textId="31BAF499" w:rsidR="0031203B" w:rsidRDefault="00537DE0" w:rsidP="0031203B">
      <w:pPr>
        <w:spacing w:line="480" w:lineRule="auto"/>
        <w:rPr>
          <w:rFonts w:ascii="Times New Roman" w:hAnsi="Times New Roman" w:cs="Times New Roman"/>
          <w:sz w:val="24"/>
        </w:rPr>
      </w:pPr>
      <w:r>
        <w:rPr>
          <w:rFonts w:ascii="Times New Roman" w:hAnsi="Times New Roman" w:cs="Times New Roman"/>
          <w:sz w:val="24"/>
        </w:rPr>
        <w:t>Demands for recognition and autonomy has help render</w:t>
      </w:r>
      <w:r w:rsidRPr="00537DE0">
        <w:rPr>
          <w:rFonts w:ascii="Times New Roman" w:hAnsi="Times New Roman" w:cs="Times New Roman"/>
          <w:sz w:val="24"/>
        </w:rPr>
        <w:t xml:space="preserve"> a powerful tradition in North American country, the thought </w:t>
      </w:r>
      <w:r>
        <w:rPr>
          <w:rFonts w:ascii="Times New Roman" w:hAnsi="Times New Roman" w:cs="Times New Roman"/>
          <w:sz w:val="24"/>
        </w:rPr>
        <w:t xml:space="preserve">and attempted practice </w:t>
      </w:r>
      <w:r w:rsidRPr="00537DE0">
        <w:rPr>
          <w:rFonts w:ascii="Times New Roman" w:hAnsi="Times New Roman" w:cs="Times New Roman"/>
          <w:sz w:val="24"/>
        </w:rPr>
        <w:t>of differentiated citizenship.</w:t>
      </w:r>
      <w:r w:rsidR="00AA23F2">
        <w:rPr>
          <w:rFonts w:ascii="Times New Roman" w:hAnsi="Times New Roman" w:cs="Times New Roman"/>
          <w:sz w:val="24"/>
        </w:rPr>
        <w:t xml:space="preserve"> This essay proved to highlight that categorically the definition of foreignness has been an inconstant one. Specific policies governing formal citizenship have lead to a plethora of contradictory legislation that has helped label Canada further as a “white settler colony”. The author makes considerable mentions of these instances, </w:t>
      </w:r>
      <w:r w:rsidR="00897B3E">
        <w:rPr>
          <w:rFonts w:ascii="Times New Roman" w:hAnsi="Times New Roman" w:cs="Times New Roman"/>
          <w:sz w:val="24"/>
        </w:rPr>
        <w:t xml:space="preserve">and effectively utilizes a breakdown of three assigned definitions of </w:t>
      </w:r>
      <w:r w:rsidR="00897B3E" w:rsidRPr="00897B3E">
        <w:rPr>
          <w:rFonts w:ascii="Times New Roman" w:hAnsi="Times New Roman" w:cs="Times New Roman"/>
          <w:sz w:val="24"/>
        </w:rPr>
        <w:t>Formal, Substantive and belonging</w:t>
      </w:r>
      <w:r w:rsidR="00721FAF">
        <w:rPr>
          <w:rFonts w:ascii="Times New Roman" w:hAnsi="Times New Roman" w:cs="Times New Roman"/>
          <w:sz w:val="24"/>
        </w:rPr>
        <w:t>,</w:t>
      </w:r>
      <w:r w:rsidR="00065917">
        <w:rPr>
          <w:rFonts w:ascii="Times New Roman" w:hAnsi="Times New Roman" w:cs="Times New Roman"/>
          <w:sz w:val="24"/>
        </w:rPr>
        <w:t xml:space="preserve"> to help exemplify his points regarding citizenship in the Canadian context. </w:t>
      </w:r>
      <w:r w:rsidR="00E62FCA">
        <w:rPr>
          <w:rFonts w:ascii="Times New Roman" w:hAnsi="Times New Roman" w:cs="Times New Roman"/>
          <w:sz w:val="24"/>
        </w:rPr>
        <w:t>Identifying the context of citizenship within specific groups in Canada,</w:t>
      </w:r>
      <w:r w:rsidR="00847056">
        <w:rPr>
          <w:rFonts w:ascii="Times New Roman" w:hAnsi="Times New Roman" w:cs="Times New Roman"/>
          <w:sz w:val="24"/>
        </w:rPr>
        <w:t xml:space="preserve"> Abu-Laban makes a consistency to refer to each policy struggle to differentiated citizenship as the author has </w:t>
      </w:r>
      <w:r w:rsidR="00847056">
        <w:rPr>
          <w:rFonts w:ascii="Times New Roman" w:hAnsi="Times New Roman" w:cs="Times New Roman"/>
          <w:sz w:val="24"/>
        </w:rPr>
        <w:lastRenderedPageBreak/>
        <w:t xml:space="preserve">maintained confidence in this concept throughout the essay. </w:t>
      </w:r>
      <w:r w:rsidR="0031203B">
        <w:rPr>
          <w:rFonts w:ascii="Times New Roman" w:hAnsi="Times New Roman" w:cs="Times New Roman"/>
          <w:sz w:val="24"/>
        </w:rPr>
        <w:t>Population diversity in Canada is not exclusive, and although the author refers to policy decisions as being a response to a “white</w:t>
      </w:r>
      <w:r w:rsidR="00313D81">
        <w:rPr>
          <w:rFonts w:ascii="Times New Roman" w:hAnsi="Times New Roman" w:cs="Times New Roman"/>
          <w:sz w:val="24"/>
        </w:rPr>
        <w:t xml:space="preserve"> </w:t>
      </w:r>
      <w:r w:rsidR="0031203B">
        <w:rPr>
          <w:rFonts w:ascii="Times New Roman" w:hAnsi="Times New Roman" w:cs="Times New Roman"/>
          <w:sz w:val="24"/>
        </w:rPr>
        <w:t xml:space="preserve">settler colony” the author supports his concepts as being mutually applicable in other areas of the world. </w:t>
      </w:r>
    </w:p>
    <w:p w14:paraId="66BA29A0" w14:textId="77777777" w:rsidR="0031203B" w:rsidRDefault="0031203B" w:rsidP="0031203B">
      <w:pPr>
        <w:spacing w:line="480" w:lineRule="auto"/>
        <w:rPr>
          <w:rFonts w:ascii="Times New Roman" w:hAnsi="Times New Roman" w:cs="Times New Roman"/>
          <w:sz w:val="24"/>
        </w:rPr>
      </w:pPr>
    </w:p>
    <w:p w14:paraId="0EDBDBA9" w14:textId="77777777" w:rsidR="0031203B" w:rsidRDefault="0031203B" w:rsidP="0031203B">
      <w:pPr>
        <w:spacing w:line="480" w:lineRule="auto"/>
        <w:rPr>
          <w:rFonts w:ascii="Times New Roman" w:hAnsi="Times New Roman" w:cs="Times New Roman"/>
          <w:sz w:val="24"/>
        </w:rPr>
      </w:pPr>
    </w:p>
    <w:p w14:paraId="23869187" w14:textId="77777777" w:rsidR="0031203B" w:rsidRDefault="0031203B" w:rsidP="0031203B">
      <w:pPr>
        <w:spacing w:line="480" w:lineRule="auto"/>
        <w:rPr>
          <w:rFonts w:ascii="Times New Roman" w:hAnsi="Times New Roman" w:cs="Times New Roman"/>
          <w:sz w:val="24"/>
        </w:rPr>
      </w:pPr>
    </w:p>
    <w:p w14:paraId="7C89A52E" w14:textId="77777777" w:rsidR="0031203B" w:rsidRDefault="0031203B" w:rsidP="0031203B">
      <w:pPr>
        <w:spacing w:line="480" w:lineRule="auto"/>
        <w:rPr>
          <w:rFonts w:ascii="Times New Roman" w:hAnsi="Times New Roman" w:cs="Times New Roman"/>
          <w:sz w:val="24"/>
        </w:rPr>
      </w:pPr>
    </w:p>
    <w:p w14:paraId="17611472" w14:textId="77777777" w:rsidR="00313D81" w:rsidRDefault="00313D81" w:rsidP="0031203B">
      <w:pPr>
        <w:spacing w:line="480" w:lineRule="auto"/>
        <w:jc w:val="center"/>
        <w:rPr>
          <w:rFonts w:ascii="Times New Roman" w:hAnsi="Times New Roman" w:cs="Times New Roman"/>
          <w:sz w:val="24"/>
        </w:rPr>
      </w:pPr>
    </w:p>
    <w:p w14:paraId="025A2732" w14:textId="77777777" w:rsidR="00313D81" w:rsidRDefault="00313D81" w:rsidP="0031203B">
      <w:pPr>
        <w:spacing w:line="480" w:lineRule="auto"/>
        <w:jc w:val="center"/>
        <w:rPr>
          <w:rFonts w:ascii="Times New Roman" w:hAnsi="Times New Roman" w:cs="Times New Roman"/>
          <w:sz w:val="24"/>
        </w:rPr>
      </w:pPr>
    </w:p>
    <w:p w14:paraId="170ACAEF" w14:textId="77777777" w:rsidR="00313D81" w:rsidRDefault="00313D81" w:rsidP="0031203B">
      <w:pPr>
        <w:spacing w:line="480" w:lineRule="auto"/>
        <w:jc w:val="center"/>
        <w:rPr>
          <w:rFonts w:ascii="Times New Roman" w:hAnsi="Times New Roman" w:cs="Times New Roman"/>
          <w:sz w:val="24"/>
        </w:rPr>
      </w:pPr>
    </w:p>
    <w:p w14:paraId="1417F98F" w14:textId="77777777" w:rsidR="00313D81" w:rsidRDefault="00313D81" w:rsidP="0031203B">
      <w:pPr>
        <w:spacing w:line="480" w:lineRule="auto"/>
        <w:jc w:val="center"/>
        <w:rPr>
          <w:rFonts w:ascii="Times New Roman" w:hAnsi="Times New Roman" w:cs="Times New Roman"/>
          <w:sz w:val="24"/>
        </w:rPr>
      </w:pPr>
    </w:p>
    <w:p w14:paraId="76CDA868" w14:textId="77777777" w:rsidR="00313D81" w:rsidRDefault="00313D81" w:rsidP="0031203B">
      <w:pPr>
        <w:spacing w:line="480" w:lineRule="auto"/>
        <w:jc w:val="center"/>
        <w:rPr>
          <w:rFonts w:ascii="Times New Roman" w:hAnsi="Times New Roman" w:cs="Times New Roman"/>
          <w:sz w:val="24"/>
        </w:rPr>
      </w:pPr>
    </w:p>
    <w:p w14:paraId="4AC2863B" w14:textId="77777777" w:rsidR="00313D81" w:rsidRDefault="00313D81" w:rsidP="0031203B">
      <w:pPr>
        <w:spacing w:line="480" w:lineRule="auto"/>
        <w:jc w:val="center"/>
        <w:rPr>
          <w:rFonts w:ascii="Times New Roman" w:hAnsi="Times New Roman" w:cs="Times New Roman"/>
          <w:sz w:val="24"/>
        </w:rPr>
      </w:pPr>
    </w:p>
    <w:p w14:paraId="23A4675E" w14:textId="77777777" w:rsidR="00313D81" w:rsidRDefault="00313D81" w:rsidP="0031203B">
      <w:pPr>
        <w:spacing w:line="480" w:lineRule="auto"/>
        <w:jc w:val="center"/>
        <w:rPr>
          <w:rFonts w:ascii="Times New Roman" w:hAnsi="Times New Roman" w:cs="Times New Roman"/>
          <w:sz w:val="24"/>
        </w:rPr>
      </w:pPr>
    </w:p>
    <w:p w14:paraId="751E4422" w14:textId="77777777" w:rsidR="00313D81" w:rsidRDefault="00313D81" w:rsidP="0031203B">
      <w:pPr>
        <w:spacing w:line="480" w:lineRule="auto"/>
        <w:jc w:val="center"/>
        <w:rPr>
          <w:rFonts w:ascii="Times New Roman" w:hAnsi="Times New Roman" w:cs="Times New Roman"/>
          <w:sz w:val="24"/>
        </w:rPr>
      </w:pPr>
    </w:p>
    <w:p w14:paraId="2528B507" w14:textId="77777777" w:rsidR="00313D81" w:rsidRDefault="00313D81" w:rsidP="0031203B">
      <w:pPr>
        <w:spacing w:line="480" w:lineRule="auto"/>
        <w:jc w:val="center"/>
        <w:rPr>
          <w:rFonts w:ascii="Times New Roman" w:hAnsi="Times New Roman" w:cs="Times New Roman"/>
          <w:sz w:val="24"/>
        </w:rPr>
      </w:pPr>
    </w:p>
    <w:p w14:paraId="25B59DF1" w14:textId="77777777" w:rsidR="00313D81" w:rsidRDefault="00313D81" w:rsidP="0031203B">
      <w:pPr>
        <w:spacing w:line="480" w:lineRule="auto"/>
        <w:jc w:val="center"/>
        <w:rPr>
          <w:rFonts w:ascii="Times New Roman" w:hAnsi="Times New Roman" w:cs="Times New Roman"/>
          <w:sz w:val="24"/>
        </w:rPr>
      </w:pPr>
    </w:p>
    <w:p w14:paraId="4378FC92" w14:textId="77777777" w:rsidR="00313D81" w:rsidRDefault="00313D81" w:rsidP="0031203B">
      <w:pPr>
        <w:spacing w:line="480" w:lineRule="auto"/>
        <w:jc w:val="center"/>
        <w:rPr>
          <w:rFonts w:ascii="Times New Roman" w:hAnsi="Times New Roman" w:cs="Times New Roman"/>
          <w:sz w:val="24"/>
        </w:rPr>
      </w:pPr>
    </w:p>
    <w:p w14:paraId="137E3499" w14:textId="77777777" w:rsidR="00313D81" w:rsidRDefault="00313D81" w:rsidP="0031203B">
      <w:pPr>
        <w:spacing w:line="480" w:lineRule="auto"/>
        <w:jc w:val="center"/>
        <w:rPr>
          <w:rFonts w:ascii="Times New Roman" w:hAnsi="Times New Roman" w:cs="Times New Roman"/>
          <w:sz w:val="24"/>
        </w:rPr>
      </w:pPr>
    </w:p>
    <w:p w14:paraId="6BB496F7" w14:textId="77777777" w:rsidR="00313D81" w:rsidRDefault="00313D81" w:rsidP="0031203B">
      <w:pPr>
        <w:spacing w:line="480" w:lineRule="auto"/>
        <w:jc w:val="center"/>
        <w:rPr>
          <w:rFonts w:ascii="Times New Roman" w:hAnsi="Times New Roman" w:cs="Times New Roman"/>
          <w:sz w:val="24"/>
        </w:rPr>
      </w:pPr>
    </w:p>
    <w:p w14:paraId="4792DE4E" w14:textId="77777777" w:rsidR="0031203B" w:rsidRDefault="0031203B" w:rsidP="0031203B">
      <w:pPr>
        <w:spacing w:line="480" w:lineRule="auto"/>
        <w:jc w:val="center"/>
        <w:rPr>
          <w:rFonts w:ascii="Times New Roman" w:hAnsi="Times New Roman" w:cs="Times New Roman"/>
          <w:sz w:val="24"/>
        </w:rPr>
      </w:pPr>
      <w:r>
        <w:rPr>
          <w:rFonts w:ascii="Times New Roman" w:hAnsi="Times New Roman" w:cs="Times New Roman"/>
          <w:sz w:val="24"/>
        </w:rPr>
        <w:t>References</w:t>
      </w:r>
    </w:p>
    <w:p w14:paraId="70C747AC" w14:textId="77777777" w:rsidR="00A426C8" w:rsidRPr="00A426C8" w:rsidRDefault="00A426C8" w:rsidP="00A426C8">
      <w:pPr>
        <w:ind w:left="720" w:hanging="720"/>
        <w:rPr>
          <w:rFonts w:ascii="Times New Roman" w:hAnsi="Times New Roman" w:cs="Times New Roman"/>
          <w:sz w:val="24"/>
        </w:rPr>
      </w:pPr>
      <w:proofErr w:type="spellStart"/>
      <w:r w:rsidRPr="00A426C8">
        <w:rPr>
          <w:rFonts w:ascii="Times New Roman" w:hAnsi="Times New Roman" w:cs="Times New Roman"/>
          <w:sz w:val="24"/>
        </w:rPr>
        <w:t>Isin</w:t>
      </w:r>
      <w:proofErr w:type="spellEnd"/>
      <w:r w:rsidRPr="00A426C8">
        <w:rPr>
          <w:rFonts w:ascii="Times New Roman" w:hAnsi="Times New Roman" w:cs="Times New Roman"/>
          <w:sz w:val="24"/>
        </w:rPr>
        <w:t xml:space="preserve">, </w:t>
      </w:r>
      <w:proofErr w:type="spellStart"/>
      <w:r w:rsidRPr="00A426C8">
        <w:rPr>
          <w:rFonts w:ascii="Times New Roman" w:hAnsi="Times New Roman" w:cs="Times New Roman"/>
          <w:sz w:val="24"/>
        </w:rPr>
        <w:t>Engin</w:t>
      </w:r>
      <w:proofErr w:type="spellEnd"/>
      <w:r w:rsidRPr="00A426C8">
        <w:rPr>
          <w:rFonts w:ascii="Times New Roman" w:hAnsi="Times New Roman" w:cs="Times New Roman"/>
          <w:sz w:val="24"/>
        </w:rPr>
        <w:t xml:space="preserve"> F., Peter </w:t>
      </w:r>
      <w:proofErr w:type="spellStart"/>
      <w:r w:rsidRPr="00A426C8">
        <w:rPr>
          <w:rFonts w:ascii="Times New Roman" w:hAnsi="Times New Roman" w:cs="Times New Roman"/>
          <w:sz w:val="24"/>
        </w:rPr>
        <w:t>Nyers</w:t>
      </w:r>
      <w:proofErr w:type="spellEnd"/>
      <w:r w:rsidRPr="00A426C8">
        <w:rPr>
          <w:rFonts w:ascii="Times New Roman" w:hAnsi="Times New Roman" w:cs="Times New Roman"/>
          <w:sz w:val="24"/>
        </w:rPr>
        <w:t>, and EBSCO Publishing (Firm). 2014. Routledge handbook of global citizenship studies. Abingdon, Oxon: Routledge.</w:t>
      </w:r>
    </w:p>
    <w:p w14:paraId="3DA6477A" w14:textId="77777777" w:rsidR="00582533" w:rsidRDefault="00582533" w:rsidP="0031203B">
      <w:pPr>
        <w:spacing w:line="480" w:lineRule="auto"/>
        <w:jc w:val="center"/>
        <w:rPr>
          <w:rFonts w:ascii="Times New Roman" w:hAnsi="Times New Roman" w:cs="Times New Roman"/>
          <w:sz w:val="24"/>
        </w:rPr>
      </w:pPr>
    </w:p>
    <w:p w14:paraId="68673545" w14:textId="77777777" w:rsidR="0031203B" w:rsidRDefault="0031203B" w:rsidP="0031203B">
      <w:pPr>
        <w:spacing w:line="480" w:lineRule="auto"/>
        <w:rPr>
          <w:rFonts w:ascii="Times New Roman" w:hAnsi="Times New Roman" w:cs="Times New Roman"/>
          <w:sz w:val="24"/>
        </w:rPr>
      </w:pPr>
    </w:p>
    <w:p w14:paraId="5A737739" w14:textId="77777777" w:rsidR="00AA23F2" w:rsidRDefault="00AA23F2" w:rsidP="00537DE0">
      <w:pPr>
        <w:rPr>
          <w:rFonts w:ascii="Times New Roman" w:hAnsi="Times New Roman" w:cs="Times New Roman"/>
          <w:sz w:val="24"/>
        </w:rPr>
      </w:pPr>
    </w:p>
    <w:p w14:paraId="1AB1B9C6" w14:textId="77777777" w:rsidR="00AA23F2" w:rsidRDefault="00AA23F2" w:rsidP="00537DE0">
      <w:pPr>
        <w:rPr>
          <w:rFonts w:ascii="Times New Roman" w:hAnsi="Times New Roman" w:cs="Times New Roman"/>
          <w:sz w:val="24"/>
        </w:rPr>
      </w:pPr>
    </w:p>
    <w:p w14:paraId="2F30A245" w14:textId="77777777" w:rsidR="005A106B" w:rsidRDefault="005A106B" w:rsidP="00B525B4">
      <w:pPr>
        <w:rPr>
          <w:rFonts w:ascii="Times New Roman" w:hAnsi="Times New Roman" w:cs="Times New Roman"/>
          <w:sz w:val="24"/>
        </w:rPr>
      </w:pPr>
    </w:p>
    <w:p w14:paraId="77CDF386" w14:textId="77777777" w:rsidR="006F6302" w:rsidRDefault="006F6302" w:rsidP="006F6302">
      <w:pPr>
        <w:rPr>
          <w:rFonts w:ascii="Times New Roman" w:hAnsi="Times New Roman" w:cs="Times New Roman"/>
          <w:sz w:val="24"/>
        </w:rPr>
      </w:pPr>
    </w:p>
    <w:p w14:paraId="3304604E" w14:textId="77777777" w:rsidR="00E83068" w:rsidRDefault="00E83068" w:rsidP="00E83068">
      <w:pPr>
        <w:rPr>
          <w:rFonts w:ascii="Times New Roman" w:hAnsi="Times New Roman" w:cs="Times New Roman"/>
          <w:sz w:val="24"/>
        </w:rPr>
      </w:pPr>
    </w:p>
    <w:sectPr w:rsidR="00E8306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932A57" w14:textId="77777777" w:rsidR="00E92BFB" w:rsidRDefault="00E92BFB" w:rsidP="00705664">
      <w:pPr>
        <w:spacing w:after="0" w:line="240" w:lineRule="auto"/>
      </w:pPr>
      <w:r>
        <w:separator/>
      </w:r>
    </w:p>
  </w:endnote>
  <w:endnote w:type="continuationSeparator" w:id="0">
    <w:p w14:paraId="217532BB" w14:textId="77777777" w:rsidR="00E92BFB" w:rsidRDefault="00E92BFB" w:rsidP="0070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79A905" w14:textId="77777777" w:rsidR="00E92BFB" w:rsidRDefault="00E92BFB" w:rsidP="00705664">
      <w:pPr>
        <w:spacing w:after="0" w:line="240" w:lineRule="auto"/>
      </w:pPr>
      <w:r>
        <w:separator/>
      </w:r>
    </w:p>
  </w:footnote>
  <w:footnote w:type="continuationSeparator" w:id="0">
    <w:p w14:paraId="6DF5744B" w14:textId="77777777" w:rsidR="00E92BFB" w:rsidRDefault="00E92BFB" w:rsidP="00705664">
      <w:pPr>
        <w:spacing w:after="0" w:line="240" w:lineRule="auto"/>
      </w:pPr>
      <w:r>
        <w:continuationSeparator/>
      </w:r>
    </w:p>
  </w:footnote>
  <w:footnote w:id="1">
    <w:p w14:paraId="47D502D4" w14:textId="1A52D7F9" w:rsidR="00705664" w:rsidRPr="00313D81" w:rsidRDefault="00705664" w:rsidP="00313D81">
      <w:pPr>
        <w:spacing w:line="240" w:lineRule="auto"/>
        <w:ind w:left="720" w:hanging="720"/>
        <w:rPr>
          <w:rFonts w:ascii="Times New Roman" w:hAnsi="Times New Roman" w:cs="Times New Roman"/>
        </w:rPr>
      </w:pPr>
      <w:r w:rsidRPr="00313D81">
        <w:rPr>
          <w:rStyle w:val="FootnoteReference"/>
        </w:rPr>
        <w:footnoteRef/>
      </w:r>
      <w:r w:rsidRPr="00313D81">
        <w:t xml:space="preserve"> </w:t>
      </w:r>
      <w:proofErr w:type="spellStart"/>
      <w:r w:rsidR="00313D81" w:rsidRPr="00313D81">
        <w:rPr>
          <w:rFonts w:ascii="Times New Roman" w:hAnsi="Times New Roman" w:cs="Times New Roman"/>
        </w:rPr>
        <w:t>Isin</w:t>
      </w:r>
      <w:proofErr w:type="spellEnd"/>
      <w:r w:rsidR="00313D81" w:rsidRPr="00313D81">
        <w:rPr>
          <w:rFonts w:ascii="Times New Roman" w:hAnsi="Times New Roman" w:cs="Times New Roman"/>
        </w:rPr>
        <w:t xml:space="preserve">, </w:t>
      </w:r>
      <w:proofErr w:type="spellStart"/>
      <w:r w:rsidR="00313D81" w:rsidRPr="00313D81">
        <w:rPr>
          <w:rFonts w:ascii="Times New Roman" w:hAnsi="Times New Roman" w:cs="Times New Roman"/>
        </w:rPr>
        <w:t>Engin</w:t>
      </w:r>
      <w:proofErr w:type="spellEnd"/>
      <w:r w:rsidR="00313D81" w:rsidRPr="00313D81">
        <w:rPr>
          <w:rFonts w:ascii="Times New Roman" w:hAnsi="Times New Roman" w:cs="Times New Roman"/>
        </w:rPr>
        <w:t xml:space="preserve"> F., Peter </w:t>
      </w:r>
      <w:proofErr w:type="spellStart"/>
      <w:r w:rsidR="00313D81" w:rsidRPr="00313D81">
        <w:rPr>
          <w:rFonts w:ascii="Times New Roman" w:hAnsi="Times New Roman" w:cs="Times New Roman"/>
        </w:rPr>
        <w:t>Nyers</w:t>
      </w:r>
      <w:proofErr w:type="spellEnd"/>
      <w:r w:rsidR="00313D81" w:rsidRPr="00313D81">
        <w:rPr>
          <w:rFonts w:ascii="Times New Roman" w:hAnsi="Times New Roman" w:cs="Times New Roman"/>
        </w:rPr>
        <w:t>, and EBSCO Publishing (Firm). 2014. Routledge handbook of global citizenship studies. Abingdon, Oxon: Routledge.</w:t>
      </w:r>
    </w:p>
  </w:footnote>
  <w:footnote w:id="2">
    <w:p w14:paraId="01E58704" w14:textId="77343389" w:rsidR="00705664" w:rsidRPr="00313D81" w:rsidRDefault="00705664" w:rsidP="00313D81">
      <w:pPr>
        <w:spacing w:line="240" w:lineRule="auto"/>
        <w:ind w:left="720" w:hanging="720"/>
        <w:rPr>
          <w:rFonts w:ascii="Times New Roman" w:hAnsi="Times New Roman" w:cs="Times New Roman"/>
        </w:rPr>
      </w:pPr>
      <w:r w:rsidRPr="00313D81">
        <w:rPr>
          <w:rStyle w:val="FootnoteReference"/>
        </w:rPr>
        <w:footnoteRef/>
      </w:r>
      <w:r w:rsidRPr="00313D81">
        <w:t xml:space="preserve"> </w:t>
      </w:r>
      <w:proofErr w:type="spellStart"/>
      <w:r w:rsidR="00313D81" w:rsidRPr="00313D81">
        <w:rPr>
          <w:rFonts w:ascii="Times New Roman" w:hAnsi="Times New Roman" w:cs="Times New Roman"/>
        </w:rPr>
        <w:t>Isin</w:t>
      </w:r>
      <w:proofErr w:type="spellEnd"/>
      <w:r w:rsidR="00313D81" w:rsidRPr="00313D81">
        <w:rPr>
          <w:rFonts w:ascii="Times New Roman" w:hAnsi="Times New Roman" w:cs="Times New Roman"/>
        </w:rPr>
        <w:t xml:space="preserve">, </w:t>
      </w:r>
      <w:proofErr w:type="spellStart"/>
      <w:r w:rsidR="00313D81" w:rsidRPr="00313D81">
        <w:rPr>
          <w:rFonts w:ascii="Times New Roman" w:hAnsi="Times New Roman" w:cs="Times New Roman"/>
        </w:rPr>
        <w:t>Engin</w:t>
      </w:r>
      <w:proofErr w:type="spellEnd"/>
      <w:r w:rsidR="00313D81" w:rsidRPr="00313D81">
        <w:rPr>
          <w:rFonts w:ascii="Times New Roman" w:hAnsi="Times New Roman" w:cs="Times New Roman"/>
        </w:rPr>
        <w:t xml:space="preserve"> F., Peter </w:t>
      </w:r>
      <w:proofErr w:type="spellStart"/>
      <w:r w:rsidR="00313D81" w:rsidRPr="00313D81">
        <w:rPr>
          <w:rFonts w:ascii="Times New Roman" w:hAnsi="Times New Roman" w:cs="Times New Roman"/>
        </w:rPr>
        <w:t>Nyers</w:t>
      </w:r>
      <w:proofErr w:type="spellEnd"/>
      <w:r w:rsidR="00313D81" w:rsidRPr="00313D81">
        <w:rPr>
          <w:rFonts w:ascii="Times New Roman" w:hAnsi="Times New Roman" w:cs="Times New Roman"/>
        </w:rPr>
        <w:t>, and EBSCO Publishing (Firm). 2014. Routledge handbook of global citizenship studies. Abingdon, Oxon: Routledge.</w:t>
      </w:r>
    </w:p>
  </w:footnote>
  <w:footnote w:id="3">
    <w:p w14:paraId="0749190E" w14:textId="77777777" w:rsidR="00313D81" w:rsidRPr="00313D81" w:rsidRDefault="00705664" w:rsidP="00313D81">
      <w:pPr>
        <w:spacing w:line="240" w:lineRule="auto"/>
        <w:ind w:left="720" w:hanging="720"/>
        <w:rPr>
          <w:rFonts w:ascii="Times New Roman" w:hAnsi="Times New Roman" w:cs="Times New Roman"/>
        </w:rPr>
      </w:pPr>
      <w:r w:rsidRPr="00313D81">
        <w:rPr>
          <w:rStyle w:val="FootnoteReference"/>
        </w:rPr>
        <w:footnoteRef/>
      </w:r>
      <w:r w:rsidRPr="00313D81">
        <w:t xml:space="preserve"> </w:t>
      </w:r>
      <w:proofErr w:type="spellStart"/>
      <w:r w:rsidR="00313D81" w:rsidRPr="00313D81">
        <w:rPr>
          <w:rFonts w:ascii="Times New Roman" w:hAnsi="Times New Roman" w:cs="Times New Roman"/>
        </w:rPr>
        <w:t>Isin</w:t>
      </w:r>
      <w:proofErr w:type="spellEnd"/>
      <w:r w:rsidR="00313D81" w:rsidRPr="00313D81">
        <w:rPr>
          <w:rFonts w:ascii="Times New Roman" w:hAnsi="Times New Roman" w:cs="Times New Roman"/>
        </w:rPr>
        <w:t xml:space="preserve">, </w:t>
      </w:r>
      <w:proofErr w:type="spellStart"/>
      <w:r w:rsidR="00313D81" w:rsidRPr="00313D81">
        <w:rPr>
          <w:rFonts w:ascii="Times New Roman" w:hAnsi="Times New Roman" w:cs="Times New Roman"/>
        </w:rPr>
        <w:t>Engin</w:t>
      </w:r>
      <w:proofErr w:type="spellEnd"/>
      <w:r w:rsidR="00313D81" w:rsidRPr="00313D81">
        <w:rPr>
          <w:rFonts w:ascii="Times New Roman" w:hAnsi="Times New Roman" w:cs="Times New Roman"/>
        </w:rPr>
        <w:t xml:space="preserve"> F., Peter </w:t>
      </w:r>
      <w:proofErr w:type="spellStart"/>
      <w:r w:rsidR="00313D81" w:rsidRPr="00313D81">
        <w:rPr>
          <w:rFonts w:ascii="Times New Roman" w:hAnsi="Times New Roman" w:cs="Times New Roman"/>
        </w:rPr>
        <w:t>Nyers</w:t>
      </w:r>
      <w:proofErr w:type="spellEnd"/>
      <w:r w:rsidR="00313D81" w:rsidRPr="00313D81">
        <w:rPr>
          <w:rFonts w:ascii="Times New Roman" w:hAnsi="Times New Roman" w:cs="Times New Roman"/>
        </w:rPr>
        <w:t>, and EBSCO Publishing (Firm). 2014. Routledge handbook of global citizenship studies. Abingdon, Oxon: Routledge.</w:t>
      </w:r>
    </w:p>
    <w:p w14:paraId="0D08E2D4" w14:textId="0060159E" w:rsidR="00705664" w:rsidRDefault="00705664">
      <w:pPr>
        <w:pStyle w:val="FootnoteText"/>
      </w:pPr>
    </w:p>
  </w:footnote>
  <w:footnote w:id="4">
    <w:p w14:paraId="43070684" w14:textId="38E55B3D" w:rsidR="00705664" w:rsidRPr="00313D81" w:rsidRDefault="00705664" w:rsidP="00313D81">
      <w:pPr>
        <w:ind w:left="720" w:hanging="720"/>
        <w:rPr>
          <w:rFonts w:ascii="Times New Roman" w:hAnsi="Times New Roman" w:cs="Times New Roman"/>
        </w:rPr>
      </w:pPr>
      <w:r w:rsidRPr="00313D81">
        <w:rPr>
          <w:rStyle w:val="FootnoteReference"/>
        </w:rPr>
        <w:footnoteRef/>
      </w:r>
      <w:r w:rsidRPr="00313D81">
        <w:t xml:space="preserve"> </w:t>
      </w:r>
      <w:proofErr w:type="spellStart"/>
      <w:r w:rsidR="00313D81" w:rsidRPr="00313D81">
        <w:rPr>
          <w:rFonts w:ascii="Times New Roman" w:hAnsi="Times New Roman" w:cs="Times New Roman"/>
        </w:rPr>
        <w:t>Isin</w:t>
      </w:r>
      <w:proofErr w:type="spellEnd"/>
      <w:r w:rsidR="00313D81" w:rsidRPr="00313D81">
        <w:rPr>
          <w:rFonts w:ascii="Times New Roman" w:hAnsi="Times New Roman" w:cs="Times New Roman"/>
        </w:rPr>
        <w:t xml:space="preserve">, </w:t>
      </w:r>
      <w:proofErr w:type="spellStart"/>
      <w:r w:rsidR="00313D81" w:rsidRPr="00313D81">
        <w:rPr>
          <w:rFonts w:ascii="Times New Roman" w:hAnsi="Times New Roman" w:cs="Times New Roman"/>
        </w:rPr>
        <w:t>Engin</w:t>
      </w:r>
      <w:proofErr w:type="spellEnd"/>
      <w:r w:rsidR="00313D81" w:rsidRPr="00313D81">
        <w:rPr>
          <w:rFonts w:ascii="Times New Roman" w:hAnsi="Times New Roman" w:cs="Times New Roman"/>
        </w:rPr>
        <w:t xml:space="preserve"> F., Peter </w:t>
      </w:r>
      <w:proofErr w:type="spellStart"/>
      <w:r w:rsidR="00313D81" w:rsidRPr="00313D81">
        <w:rPr>
          <w:rFonts w:ascii="Times New Roman" w:hAnsi="Times New Roman" w:cs="Times New Roman"/>
        </w:rPr>
        <w:t>Nyers</w:t>
      </w:r>
      <w:proofErr w:type="spellEnd"/>
      <w:r w:rsidR="00313D81" w:rsidRPr="00313D81">
        <w:rPr>
          <w:rFonts w:ascii="Times New Roman" w:hAnsi="Times New Roman" w:cs="Times New Roman"/>
        </w:rPr>
        <w:t>, and EBSCO Publishing (Firm). 2014. Routledge handbook of global citizenship studies. Abingdon, Oxon: Routledge.</w:t>
      </w:r>
    </w:p>
  </w:footnote>
  <w:footnote w:id="5">
    <w:p w14:paraId="25DECF4B" w14:textId="51E9F4CC" w:rsidR="00705664" w:rsidRPr="00313D81" w:rsidRDefault="00705664" w:rsidP="00313D81">
      <w:pPr>
        <w:ind w:left="720" w:hanging="720"/>
        <w:rPr>
          <w:rFonts w:ascii="Times New Roman" w:hAnsi="Times New Roman" w:cs="Times New Roman"/>
        </w:rPr>
      </w:pPr>
      <w:r w:rsidRPr="00313D81">
        <w:rPr>
          <w:rStyle w:val="FootnoteReference"/>
        </w:rPr>
        <w:footnoteRef/>
      </w:r>
      <w:r w:rsidRPr="00313D81">
        <w:t xml:space="preserve"> </w:t>
      </w:r>
      <w:proofErr w:type="spellStart"/>
      <w:r w:rsidR="00313D81" w:rsidRPr="00313D81">
        <w:rPr>
          <w:rFonts w:ascii="Times New Roman" w:hAnsi="Times New Roman" w:cs="Times New Roman"/>
        </w:rPr>
        <w:t>Isin</w:t>
      </w:r>
      <w:proofErr w:type="spellEnd"/>
      <w:r w:rsidR="00313D81" w:rsidRPr="00313D81">
        <w:rPr>
          <w:rFonts w:ascii="Times New Roman" w:hAnsi="Times New Roman" w:cs="Times New Roman"/>
        </w:rPr>
        <w:t xml:space="preserve">, </w:t>
      </w:r>
      <w:proofErr w:type="spellStart"/>
      <w:r w:rsidR="00313D81" w:rsidRPr="00313D81">
        <w:rPr>
          <w:rFonts w:ascii="Times New Roman" w:hAnsi="Times New Roman" w:cs="Times New Roman"/>
        </w:rPr>
        <w:t>Engin</w:t>
      </w:r>
      <w:proofErr w:type="spellEnd"/>
      <w:r w:rsidR="00313D81" w:rsidRPr="00313D81">
        <w:rPr>
          <w:rFonts w:ascii="Times New Roman" w:hAnsi="Times New Roman" w:cs="Times New Roman"/>
        </w:rPr>
        <w:t xml:space="preserve"> F., Peter </w:t>
      </w:r>
      <w:proofErr w:type="spellStart"/>
      <w:r w:rsidR="00313D81" w:rsidRPr="00313D81">
        <w:rPr>
          <w:rFonts w:ascii="Times New Roman" w:hAnsi="Times New Roman" w:cs="Times New Roman"/>
        </w:rPr>
        <w:t>Nyers</w:t>
      </w:r>
      <w:proofErr w:type="spellEnd"/>
      <w:r w:rsidR="00313D81" w:rsidRPr="00313D81">
        <w:rPr>
          <w:rFonts w:ascii="Times New Roman" w:hAnsi="Times New Roman" w:cs="Times New Roman"/>
        </w:rPr>
        <w:t>, and EBSCO Publishing (Firm). 2014. Routledge handbook of global citizenship studies. Abingdon, Oxon: Routledge.</w:t>
      </w:r>
    </w:p>
  </w:footnote>
  <w:footnote w:id="6">
    <w:p w14:paraId="5F7F7CD8" w14:textId="77777777" w:rsidR="00313D81" w:rsidRPr="00313D81" w:rsidRDefault="00705664" w:rsidP="00313D81">
      <w:pPr>
        <w:ind w:left="720" w:hanging="720"/>
        <w:rPr>
          <w:rFonts w:ascii="Times New Roman" w:hAnsi="Times New Roman" w:cs="Times New Roman"/>
        </w:rPr>
      </w:pPr>
      <w:r w:rsidRPr="00313D81">
        <w:rPr>
          <w:rStyle w:val="FootnoteReference"/>
        </w:rPr>
        <w:footnoteRef/>
      </w:r>
      <w:r w:rsidRPr="00313D81">
        <w:t xml:space="preserve"> </w:t>
      </w:r>
      <w:proofErr w:type="spellStart"/>
      <w:r w:rsidR="00313D81" w:rsidRPr="00313D81">
        <w:rPr>
          <w:rFonts w:ascii="Times New Roman" w:hAnsi="Times New Roman" w:cs="Times New Roman"/>
        </w:rPr>
        <w:t>Isin</w:t>
      </w:r>
      <w:proofErr w:type="spellEnd"/>
      <w:r w:rsidR="00313D81" w:rsidRPr="00313D81">
        <w:rPr>
          <w:rFonts w:ascii="Times New Roman" w:hAnsi="Times New Roman" w:cs="Times New Roman"/>
        </w:rPr>
        <w:t xml:space="preserve">, </w:t>
      </w:r>
      <w:proofErr w:type="spellStart"/>
      <w:r w:rsidR="00313D81" w:rsidRPr="00313D81">
        <w:rPr>
          <w:rFonts w:ascii="Times New Roman" w:hAnsi="Times New Roman" w:cs="Times New Roman"/>
        </w:rPr>
        <w:t>Engin</w:t>
      </w:r>
      <w:proofErr w:type="spellEnd"/>
      <w:r w:rsidR="00313D81" w:rsidRPr="00313D81">
        <w:rPr>
          <w:rFonts w:ascii="Times New Roman" w:hAnsi="Times New Roman" w:cs="Times New Roman"/>
        </w:rPr>
        <w:t xml:space="preserve"> F., Peter </w:t>
      </w:r>
      <w:proofErr w:type="spellStart"/>
      <w:r w:rsidR="00313D81" w:rsidRPr="00313D81">
        <w:rPr>
          <w:rFonts w:ascii="Times New Roman" w:hAnsi="Times New Roman" w:cs="Times New Roman"/>
        </w:rPr>
        <w:t>Nyers</w:t>
      </w:r>
      <w:proofErr w:type="spellEnd"/>
      <w:r w:rsidR="00313D81" w:rsidRPr="00313D81">
        <w:rPr>
          <w:rFonts w:ascii="Times New Roman" w:hAnsi="Times New Roman" w:cs="Times New Roman"/>
        </w:rPr>
        <w:t>, and EBSCO Publishing (Firm). 2014. Routledge handbook of global citizenship studies. Abingdon, Oxon: Routledge.</w:t>
      </w:r>
    </w:p>
    <w:p w14:paraId="00E4B737" w14:textId="27175730" w:rsidR="00705664" w:rsidRDefault="00705664">
      <w:pPr>
        <w:pStyle w:val="FootnoteText"/>
      </w:pPr>
    </w:p>
  </w:footnote>
  <w:footnote w:id="7">
    <w:p w14:paraId="2D30DE0F" w14:textId="5C97422F" w:rsidR="00705664" w:rsidRDefault="00705664">
      <w:pPr>
        <w:pStyle w:val="FootnoteText"/>
      </w:pPr>
      <w:r>
        <w:rPr>
          <w:rStyle w:val="FootnoteReference"/>
        </w:rPr>
        <w:footnoteRef/>
      </w:r>
      <w:r>
        <w:t xml:space="preserve"> </w:t>
      </w:r>
    </w:p>
  </w:footnote>
  <w:footnote w:id="8">
    <w:p w14:paraId="569F7B71" w14:textId="03560BAE" w:rsidR="00705664" w:rsidRPr="00313D81" w:rsidRDefault="00705664"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footnote>
  <w:footnote w:id="9">
    <w:p w14:paraId="65EEC684" w14:textId="437BE6E7" w:rsidR="00705664" w:rsidRPr="00313D81" w:rsidRDefault="00705664" w:rsidP="00313D81">
      <w:pPr>
        <w:ind w:left="720" w:hanging="720"/>
        <w:rPr>
          <w:rFonts w:ascii="Times New Roman" w:hAnsi="Times New Roman" w:cs="Times New Roman"/>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footnote>
  <w:footnote w:id="10">
    <w:p w14:paraId="2D5537BA" w14:textId="33D8E537" w:rsidR="00705664" w:rsidRPr="00313D81" w:rsidRDefault="00705664"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footnote>
  <w:footnote w:id="11">
    <w:p w14:paraId="25938A79" w14:textId="22DE4BD2" w:rsidR="00705664" w:rsidRPr="00313D81" w:rsidRDefault="00705664"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footnote>
  <w:footnote w:id="12">
    <w:p w14:paraId="43DAB709" w14:textId="450F6CCA" w:rsidR="00705664" w:rsidRPr="00313D81" w:rsidRDefault="00705664"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footnote>
  <w:footnote w:id="13">
    <w:p w14:paraId="1545505D" w14:textId="77777777" w:rsidR="00313D81" w:rsidRPr="00313D81" w:rsidRDefault="00705664"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p w14:paraId="3AF8DA80" w14:textId="5F9E972D" w:rsidR="00705664" w:rsidRDefault="00705664">
      <w:pPr>
        <w:pStyle w:val="FootnoteText"/>
      </w:pPr>
    </w:p>
  </w:footnote>
  <w:footnote w:id="14">
    <w:p w14:paraId="30569558" w14:textId="77E1FDF7" w:rsidR="00705664" w:rsidRPr="00313D81" w:rsidRDefault="00705664"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footnote>
  <w:footnote w:id="15">
    <w:p w14:paraId="7A0A7A44" w14:textId="42143DDE" w:rsidR="00705664" w:rsidRPr="00313D81" w:rsidRDefault="00705664"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footnote>
  <w:footnote w:id="16">
    <w:p w14:paraId="65143EEA" w14:textId="2F4696CF" w:rsidR="00705664" w:rsidRPr="00313D81" w:rsidRDefault="00705664"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00313D81" w:rsidRPr="00313D81">
        <w:rPr>
          <w:rFonts w:ascii="Times New Roman" w:hAnsi="Times New Roman" w:cs="Times New Roman"/>
          <w:sz w:val="21"/>
          <w:szCs w:val="21"/>
        </w:rPr>
        <w:t>Isin</w:t>
      </w:r>
      <w:proofErr w:type="spellEnd"/>
      <w:r w:rsidR="00313D81" w:rsidRPr="00313D81">
        <w:rPr>
          <w:rFonts w:ascii="Times New Roman" w:hAnsi="Times New Roman" w:cs="Times New Roman"/>
          <w:sz w:val="21"/>
          <w:szCs w:val="21"/>
        </w:rPr>
        <w:t xml:space="preserve">, </w:t>
      </w:r>
      <w:proofErr w:type="spellStart"/>
      <w:r w:rsidR="00313D81" w:rsidRPr="00313D81">
        <w:rPr>
          <w:rFonts w:ascii="Times New Roman" w:hAnsi="Times New Roman" w:cs="Times New Roman"/>
          <w:sz w:val="21"/>
          <w:szCs w:val="21"/>
        </w:rPr>
        <w:t>Engin</w:t>
      </w:r>
      <w:proofErr w:type="spellEnd"/>
      <w:r w:rsidR="00313D81" w:rsidRPr="00313D81">
        <w:rPr>
          <w:rFonts w:ascii="Times New Roman" w:hAnsi="Times New Roman" w:cs="Times New Roman"/>
          <w:sz w:val="21"/>
          <w:szCs w:val="21"/>
        </w:rPr>
        <w:t xml:space="preserve"> F., Peter </w:t>
      </w:r>
      <w:proofErr w:type="spellStart"/>
      <w:r w:rsidR="00313D81" w:rsidRPr="00313D81">
        <w:rPr>
          <w:rFonts w:ascii="Times New Roman" w:hAnsi="Times New Roman" w:cs="Times New Roman"/>
          <w:sz w:val="21"/>
          <w:szCs w:val="21"/>
        </w:rPr>
        <w:t>Nyers</w:t>
      </w:r>
      <w:proofErr w:type="spellEnd"/>
      <w:r w:rsidR="00313D81" w:rsidRPr="00313D81">
        <w:rPr>
          <w:rFonts w:ascii="Times New Roman" w:hAnsi="Times New Roman" w:cs="Times New Roman"/>
          <w:sz w:val="21"/>
          <w:szCs w:val="21"/>
        </w:rPr>
        <w:t>, and EBSCO Publishing (Firm). 2014. Routledge handbook of global citizenship studies. Abingdon, Oxon: Routledge.</w:t>
      </w:r>
    </w:p>
  </w:footnote>
  <w:footnote w:id="17">
    <w:p w14:paraId="55D5CC6B" w14:textId="061002C3" w:rsidR="00313D81" w:rsidRPr="00313D81" w:rsidRDefault="00313D81" w:rsidP="00313D81">
      <w:pPr>
        <w:ind w:left="720" w:hanging="720"/>
        <w:rPr>
          <w:rFonts w:ascii="Times New Roman" w:hAnsi="Times New Roman" w:cs="Times New Roman"/>
        </w:rPr>
      </w:pPr>
      <w:r w:rsidRPr="00313D81">
        <w:rPr>
          <w:rStyle w:val="FootnoteReference"/>
          <w:sz w:val="21"/>
          <w:szCs w:val="21"/>
        </w:rPr>
        <w:footnoteRef/>
      </w:r>
      <w:r w:rsidRPr="00313D81">
        <w:rPr>
          <w:sz w:val="21"/>
          <w:szCs w:val="21"/>
        </w:rPr>
        <w:t xml:space="preserve"> </w:t>
      </w:r>
      <w:proofErr w:type="spellStart"/>
      <w:r w:rsidRPr="00313D81">
        <w:rPr>
          <w:rFonts w:ascii="Times New Roman" w:hAnsi="Times New Roman" w:cs="Times New Roman"/>
          <w:sz w:val="21"/>
          <w:szCs w:val="21"/>
        </w:rPr>
        <w:t>Isin</w:t>
      </w:r>
      <w:proofErr w:type="spellEnd"/>
      <w:r w:rsidRPr="00313D81">
        <w:rPr>
          <w:rFonts w:ascii="Times New Roman" w:hAnsi="Times New Roman" w:cs="Times New Roman"/>
          <w:sz w:val="21"/>
          <w:szCs w:val="21"/>
        </w:rPr>
        <w:t xml:space="preserve">, </w:t>
      </w:r>
      <w:proofErr w:type="spellStart"/>
      <w:r w:rsidRPr="00313D81">
        <w:rPr>
          <w:rFonts w:ascii="Times New Roman" w:hAnsi="Times New Roman" w:cs="Times New Roman"/>
          <w:sz w:val="21"/>
          <w:szCs w:val="21"/>
        </w:rPr>
        <w:t>Engin</w:t>
      </w:r>
      <w:proofErr w:type="spellEnd"/>
      <w:r w:rsidRPr="00313D81">
        <w:rPr>
          <w:rFonts w:ascii="Times New Roman" w:hAnsi="Times New Roman" w:cs="Times New Roman"/>
          <w:sz w:val="21"/>
          <w:szCs w:val="21"/>
        </w:rPr>
        <w:t xml:space="preserve"> F., Peter </w:t>
      </w:r>
      <w:proofErr w:type="spellStart"/>
      <w:r w:rsidRPr="00313D81">
        <w:rPr>
          <w:rFonts w:ascii="Times New Roman" w:hAnsi="Times New Roman" w:cs="Times New Roman"/>
          <w:sz w:val="21"/>
          <w:szCs w:val="21"/>
        </w:rPr>
        <w:t>Nyers</w:t>
      </w:r>
      <w:proofErr w:type="spellEnd"/>
      <w:r w:rsidRPr="00313D81">
        <w:rPr>
          <w:rFonts w:ascii="Times New Roman" w:hAnsi="Times New Roman" w:cs="Times New Roman"/>
          <w:sz w:val="21"/>
          <w:szCs w:val="21"/>
        </w:rPr>
        <w:t>, and EBSCO Publishing (Firm). 2014. Routledge handbook of global citizenship studies. Abingdon, Oxon: Routledge.</w:t>
      </w:r>
    </w:p>
  </w:footnote>
  <w:footnote w:id="18">
    <w:p w14:paraId="600D7406" w14:textId="77777777" w:rsidR="00313D81" w:rsidRPr="00313D81" w:rsidRDefault="00313D81" w:rsidP="00313D81">
      <w:pPr>
        <w:ind w:left="720" w:hanging="720"/>
        <w:rPr>
          <w:rFonts w:ascii="Times New Roman" w:hAnsi="Times New Roman" w:cs="Times New Roman"/>
          <w:sz w:val="21"/>
          <w:szCs w:val="21"/>
        </w:rPr>
      </w:pPr>
      <w:r w:rsidRPr="00313D81">
        <w:rPr>
          <w:rStyle w:val="FootnoteReference"/>
          <w:sz w:val="21"/>
          <w:szCs w:val="21"/>
        </w:rPr>
        <w:footnoteRef/>
      </w:r>
      <w:r w:rsidRPr="00313D81">
        <w:rPr>
          <w:sz w:val="21"/>
          <w:szCs w:val="21"/>
        </w:rPr>
        <w:t xml:space="preserve"> </w:t>
      </w:r>
      <w:proofErr w:type="spellStart"/>
      <w:r w:rsidRPr="00313D81">
        <w:rPr>
          <w:rFonts w:ascii="Times New Roman" w:hAnsi="Times New Roman" w:cs="Times New Roman"/>
          <w:sz w:val="21"/>
          <w:szCs w:val="21"/>
        </w:rPr>
        <w:t>Isin</w:t>
      </w:r>
      <w:proofErr w:type="spellEnd"/>
      <w:r w:rsidRPr="00313D81">
        <w:rPr>
          <w:rFonts w:ascii="Times New Roman" w:hAnsi="Times New Roman" w:cs="Times New Roman"/>
          <w:sz w:val="21"/>
          <w:szCs w:val="21"/>
        </w:rPr>
        <w:t xml:space="preserve">, </w:t>
      </w:r>
      <w:proofErr w:type="spellStart"/>
      <w:r w:rsidRPr="00313D81">
        <w:rPr>
          <w:rFonts w:ascii="Times New Roman" w:hAnsi="Times New Roman" w:cs="Times New Roman"/>
          <w:sz w:val="21"/>
          <w:szCs w:val="21"/>
        </w:rPr>
        <w:t>Engin</w:t>
      </w:r>
      <w:proofErr w:type="spellEnd"/>
      <w:r w:rsidRPr="00313D81">
        <w:rPr>
          <w:rFonts w:ascii="Times New Roman" w:hAnsi="Times New Roman" w:cs="Times New Roman"/>
          <w:sz w:val="21"/>
          <w:szCs w:val="21"/>
        </w:rPr>
        <w:t xml:space="preserve"> F., Peter </w:t>
      </w:r>
      <w:proofErr w:type="spellStart"/>
      <w:r w:rsidRPr="00313D81">
        <w:rPr>
          <w:rFonts w:ascii="Times New Roman" w:hAnsi="Times New Roman" w:cs="Times New Roman"/>
          <w:sz w:val="21"/>
          <w:szCs w:val="21"/>
        </w:rPr>
        <w:t>Nyers</w:t>
      </w:r>
      <w:proofErr w:type="spellEnd"/>
      <w:r w:rsidRPr="00313D81">
        <w:rPr>
          <w:rFonts w:ascii="Times New Roman" w:hAnsi="Times New Roman" w:cs="Times New Roman"/>
          <w:sz w:val="21"/>
          <w:szCs w:val="21"/>
        </w:rPr>
        <w:t>, and EBSCO Publishing (Firm). 2014. Routledge handbook of global citizenship studies. Abingdon, Oxon: Routledge.</w:t>
      </w:r>
    </w:p>
    <w:p w14:paraId="3B32A763" w14:textId="0A8C13C5" w:rsidR="00313D81" w:rsidRDefault="00313D81">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9C"/>
    <w:rsid w:val="000013D5"/>
    <w:rsid w:val="00044275"/>
    <w:rsid w:val="00065917"/>
    <w:rsid w:val="0007297A"/>
    <w:rsid w:val="000D189C"/>
    <w:rsid w:val="000D785A"/>
    <w:rsid w:val="0015231B"/>
    <w:rsid w:val="00193CE1"/>
    <w:rsid w:val="001B365A"/>
    <w:rsid w:val="002079CC"/>
    <w:rsid w:val="00273F8E"/>
    <w:rsid w:val="00286688"/>
    <w:rsid w:val="002E0B9C"/>
    <w:rsid w:val="0031203B"/>
    <w:rsid w:val="00313D81"/>
    <w:rsid w:val="003874F1"/>
    <w:rsid w:val="003A3A16"/>
    <w:rsid w:val="003B4A90"/>
    <w:rsid w:val="003D7602"/>
    <w:rsid w:val="00445452"/>
    <w:rsid w:val="0046248E"/>
    <w:rsid w:val="004B71A1"/>
    <w:rsid w:val="005071EE"/>
    <w:rsid w:val="00537DE0"/>
    <w:rsid w:val="005511DF"/>
    <w:rsid w:val="00582533"/>
    <w:rsid w:val="005A106B"/>
    <w:rsid w:val="006118E8"/>
    <w:rsid w:val="006578C9"/>
    <w:rsid w:val="006869A1"/>
    <w:rsid w:val="006F6302"/>
    <w:rsid w:val="00705664"/>
    <w:rsid w:val="00721FAF"/>
    <w:rsid w:val="00767DF3"/>
    <w:rsid w:val="00787EC0"/>
    <w:rsid w:val="00847056"/>
    <w:rsid w:val="00897B3E"/>
    <w:rsid w:val="00A426C8"/>
    <w:rsid w:val="00A508DD"/>
    <w:rsid w:val="00AA23F2"/>
    <w:rsid w:val="00B01BBA"/>
    <w:rsid w:val="00B525B4"/>
    <w:rsid w:val="00C05071"/>
    <w:rsid w:val="00DA2D12"/>
    <w:rsid w:val="00E62FCA"/>
    <w:rsid w:val="00E83068"/>
    <w:rsid w:val="00E92BFB"/>
    <w:rsid w:val="00EB16A3"/>
    <w:rsid w:val="00FB72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F2B7"/>
  <w15:chartTrackingRefBased/>
  <w15:docId w15:val="{D787FC7A-C32C-4CDD-BE89-AE9DF1997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508DD"/>
    <w:pPr>
      <w:shd w:val="clear" w:color="auto" w:fill="FFF2CC"/>
      <w:spacing w:after="0" w:line="240" w:lineRule="auto"/>
      <w:jc w:val="both"/>
    </w:pPr>
    <w:rPr>
      <w:rFonts w:ascii="Helvetica" w:hAnsi="Helvetica" w:cs="Times New Roman"/>
      <w:sz w:val="24"/>
      <w:szCs w:val="24"/>
      <w:lang w:val="en-US"/>
    </w:rPr>
  </w:style>
  <w:style w:type="character" w:customStyle="1" w:styleId="s1">
    <w:name w:val="s1"/>
    <w:basedOn w:val="DefaultParagraphFont"/>
    <w:rsid w:val="00A508DD"/>
  </w:style>
  <w:style w:type="character" w:customStyle="1" w:styleId="apple-converted-space">
    <w:name w:val="apple-converted-space"/>
    <w:basedOn w:val="DefaultParagraphFont"/>
    <w:rsid w:val="00A508DD"/>
  </w:style>
  <w:style w:type="paragraph" w:styleId="FootnoteText">
    <w:name w:val="footnote text"/>
    <w:basedOn w:val="Normal"/>
    <w:link w:val="FootnoteTextChar"/>
    <w:uiPriority w:val="99"/>
    <w:unhideWhenUsed/>
    <w:rsid w:val="00705664"/>
    <w:pPr>
      <w:spacing w:after="0" w:line="240" w:lineRule="auto"/>
    </w:pPr>
    <w:rPr>
      <w:sz w:val="24"/>
      <w:szCs w:val="24"/>
    </w:rPr>
  </w:style>
  <w:style w:type="character" w:customStyle="1" w:styleId="FootnoteTextChar">
    <w:name w:val="Footnote Text Char"/>
    <w:basedOn w:val="DefaultParagraphFont"/>
    <w:link w:val="FootnoteText"/>
    <w:uiPriority w:val="99"/>
    <w:rsid w:val="00705664"/>
    <w:rPr>
      <w:sz w:val="24"/>
      <w:szCs w:val="24"/>
    </w:rPr>
  </w:style>
  <w:style w:type="character" w:styleId="FootnoteReference">
    <w:name w:val="footnote reference"/>
    <w:basedOn w:val="DefaultParagraphFont"/>
    <w:uiPriority w:val="99"/>
    <w:unhideWhenUsed/>
    <w:rsid w:val="007056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275191">
      <w:bodyDiv w:val="1"/>
      <w:marLeft w:val="0"/>
      <w:marRight w:val="0"/>
      <w:marTop w:val="0"/>
      <w:marBottom w:val="0"/>
      <w:divBdr>
        <w:top w:val="none" w:sz="0" w:space="0" w:color="auto"/>
        <w:left w:val="none" w:sz="0" w:space="0" w:color="auto"/>
        <w:bottom w:val="none" w:sz="0" w:space="0" w:color="auto"/>
        <w:right w:val="none" w:sz="0" w:space="0" w:color="auto"/>
      </w:divBdr>
    </w:div>
    <w:div w:id="1030841978">
      <w:bodyDiv w:val="1"/>
      <w:marLeft w:val="0"/>
      <w:marRight w:val="0"/>
      <w:marTop w:val="0"/>
      <w:marBottom w:val="0"/>
      <w:divBdr>
        <w:top w:val="none" w:sz="0" w:space="0" w:color="auto"/>
        <w:left w:val="none" w:sz="0" w:space="0" w:color="auto"/>
        <w:bottom w:val="none" w:sz="0" w:space="0" w:color="auto"/>
        <w:right w:val="none" w:sz="0" w:space="0" w:color="auto"/>
      </w:divBdr>
    </w:div>
    <w:div w:id="141400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7CF6FA9-8A95-994F-BA46-98B2ACDCB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1561</Words>
  <Characters>8899</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10440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FAG GET</cp:lastModifiedBy>
  <cp:revision>2</cp:revision>
  <dcterms:created xsi:type="dcterms:W3CDTF">2018-01-22T06:39:00Z</dcterms:created>
  <dcterms:modified xsi:type="dcterms:W3CDTF">2018-01-22T06:39:00Z</dcterms:modified>
</cp:coreProperties>
</file>