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FD225" w14:textId="77777777" w:rsidR="00B963DA" w:rsidRDefault="00764C79">
      <w:pPr>
        <w:rPr>
          <w:u w:val="double"/>
        </w:rPr>
      </w:pPr>
      <w:r w:rsidRPr="00764C79">
        <w:rPr>
          <w:u w:val="double"/>
        </w:rPr>
        <w:t xml:space="preserve">Unit 1: Polymerization </w:t>
      </w:r>
    </w:p>
    <w:p w14:paraId="4C3DBDD1" w14:textId="77777777" w:rsidR="00764C79" w:rsidRDefault="00764C79">
      <w:r w:rsidRPr="00764C79">
        <w:rPr>
          <w:b/>
        </w:rPr>
        <w:t>Functional group/moiety</w:t>
      </w:r>
      <w:r>
        <w:t xml:space="preserve">: A functional group is a specific group of </w:t>
      </w:r>
      <w:hyperlink r:id="rId4" w:history="1">
        <w:r>
          <w:rPr>
            <w:rStyle w:val="Hyperlink"/>
          </w:rPr>
          <w:t>atoms</w:t>
        </w:r>
      </w:hyperlink>
      <w:r>
        <w:t xml:space="preserve"> within a </w:t>
      </w:r>
      <w:hyperlink r:id="rId5" w:history="1">
        <w:r>
          <w:rPr>
            <w:rStyle w:val="Hyperlink"/>
          </w:rPr>
          <w:t>molecule</w:t>
        </w:r>
      </w:hyperlink>
      <w:r>
        <w:t xml:space="preserve"> that is responsible for characteristic chemical </w:t>
      </w:r>
      <w:hyperlink r:id="rId6" w:history="1">
        <w:r>
          <w:rPr>
            <w:rStyle w:val="Hyperlink"/>
          </w:rPr>
          <w:t>reactions</w:t>
        </w:r>
      </w:hyperlink>
      <w:r>
        <w:t xml:space="preserve"> of that molecule.</w:t>
      </w:r>
    </w:p>
    <w:p w14:paraId="77A7D5D0" w14:textId="77777777" w:rsidR="00764C79" w:rsidRDefault="00764C79">
      <w:pPr>
        <w:rPr>
          <w:lang w:val="en"/>
        </w:rPr>
      </w:pPr>
      <w:r w:rsidRPr="00764C79">
        <w:rPr>
          <w:b/>
        </w:rPr>
        <w:t>Group Prefix</w:t>
      </w:r>
      <w:r>
        <w:t xml:space="preserve"> vs </w:t>
      </w:r>
      <w:r w:rsidRPr="00764C79">
        <w:rPr>
          <w:b/>
        </w:rPr>
        <w:t>group suffix</w:t>
      </w:r>
      <w:r>
        <w:t xml:space="preserve"> vs </w:t>
      </w:r>
      <w:r w:rsidRPr="00764C79">
        <w:rPr>
          <w:b/>
        </w:rPr>
        <w:t>compound class</w:t>
      </w:r>
      <w:r>
        <w:t xml:space="preserve">: </w:t>
      </w:r>
      <w:r>
        <w:rPr>
          <w:lang w:val="en"/>
        </w:rPr>
        <w:t xml:space="preserve">In chemistry, a number of </w:t>
      </w:r>
      <w:hyperlink r:id="rId7" w:tooltip="Prefix (linguistics)" w:history="1">
        <w:r>
          <w:rPr>
            <w:rStyle w:val="Hyperlink"/>
            <w:lang w:val="en"/>
          </w:rPr>
          <w:t>prefixes</w:t>
        </w:r>
      </w:hyperlink>
      <w:r>
        <w:rPr>
          <w:lang w:val="en"/>
        </w:rPr>
        <w:t xml:space="preserve">, </w:t>
      </w:r>
      <w:hyperlink r:id="rId8" w:tooltip="Affix" w:history="1">
        <w:r>
          <w:rPr>
            <w:rStyle w:val="Hyperlink"/>
            <w:lang w:val="en"/>
          </w:rPr>
          <w:t>suffixes</w:t>
        </w:r>
      </w:hyperlink>
      <w:r>
        <w:rPr>
          <w:lang w:val="en"/>
        </w:rPr>
        <w:t xml:space="preserve"> and </w:t>
      </w:r>
      <w:hyperlink r:id="rId9" w:tooltip="Infix" w:history="1">
        <w:r>
          <w:rPr>
            <w:rStyle w:val="Hyperlink"/>
            <w:lang w:val="en"/>
          </w:rPr>
          <w:t>infixes</w:t>
        </w:r>
      </w:hyperlink>
      <w:r>
        <w:rPr>
          <w:lang w:val="en"/>
        </w:rPr>
        <w:t xml:space="preserve"> are used to describe the type and position of </w:t>
      </w:r>
      <w:hyperlink r:id="rId10" w:tooltip="Functional group" w:history="1">
        <w:r>
          <w:rPr>
            <w:rStyle w:val="Hyperlink"/>
            <w:lang w:val="en"/>
          </w:rPr>
          <w:t>functional groups</w:t>
        </w:r>
      </w:hyperlink>
      <w:r>
        <w:rPr>
          <w:lang w:val="en"/>
        </w:rPr>
        <w:t xml:space="preserve"> in the compound. When compounds contain more than one functional group, the order of precedence determines which groups are named with prefix or suffix forms. The highest-precedence group takes the suffix, with all others taking the prefix form. However, double and triple bonds only take suffix form (-en and -yn) and are used with other suffixes.</w:t>
      </w:r>
      <w:r w:rsidR="008E1A5A">
        <w:rPr>
          <w:lang w:val="en"/>
        </w:rPr>
        <w:t xml:space="preserve"> Each compound class has its own designated prefix and suffix for naming. </w:t>
      </w:r>
    </w:p>
    <w:p w14:paraId="7CC27310" w14:textId="77777777" w:rsidR="008E1A5A" w:rsidRDefault="008E1A5A">
      <w:pPr>
        <w:rPr>
          <w:b/>
          <w:lang w:val="en"/>
        </w:rPr>
      </w:pPr>
      <w:r>
        <w:rPr>
          <w:b/>
          <w:lang w:val="en"/>
        </w:rPr>
        <w:t>Amino acid:</w:t>
      </w:r>
    </w:p>
    <w:p w14:paraId="4AC5193C" w14:textId="77777777" w:rsidR="008E1A5A" w:rsidRDefault="008E1A5A">
      <w:pPr>
        <w:rPr>
          <w:b/>
          <w:lang w:val="en"/>
        </w:rPr>
      </w:pPr>
      <w:r>
        <w:rPr>
          <w:b/>
          <w:lang w:val="en"/>
        </w:rPr>
        <w:t xml:space="preserve"> </w:t>
      </w:r>
      <w:r>
        <w:rPr>
          <w:rFonts w:ascii="Arial" w:hAnsi="Arial" w:cs="Arial"/>
          <w:noProof/>
          <w:sz w:val="20"/>
          <w:szCs w:val="20"/>
          <w:lang w:eastAsia="en-CA"/>
        </w:rPr>
        <w:drawing>
          <wp:inline distT="0" distB="0" distL="0" distR="0" wp14:anchorId="39F2D060" wp14:editId="3330C9CB">
            <wp:extent cx="2440940" cy="1685925"/>
            <wp:effectExtent l="0" t="0" r="0" b="9525"/>
            <wp:docPr id="1" name="Picture 1" descr="Image result for amino acid backbone and r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mino acid backbone and r grou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0940" cy="1685925"/>
                    </a:xfrm>
                    <a:prstGeom prst="rect">
                      <a:avLst/>
                    </a:prstGeom>
                    <a:noFill/>
                    <a:ln>
                      <a:noFill/>
                    </a:ln>
                  </pic:spPr>
                </pic:pic>
              </a:graphicData>
            </a:graphic>
          </wp:inline>
        </w:drawing>
      </w:r>
    </w:p>
    <w:p w14:paraId="0665E659" w14:textId="77777777" w:rsidR="008E1A5A" w:rsidRDefault="008E1A5A">
      <w:pPr>
        <w:rPr>
          <w:b/>
          <w:lang w:val="en"/>
        </w:rPr>
      </w:pPr>
      <w:r>
        <w:rPr>
          <w:b/>
          <w:lang w:val="en"/>
        </w:rPr>
        <w:t>Amino Group vs. Carboxylate Group vs. Alpha carbon:</w:t>
      </w:r>
    </w:p>
    <w:p w14:paraId="0E4285C1" w14:textId="77777777" w:rsidR="00B95889" w:rsidRDefault="008E1A5A">
      <w:pPr>
        <w:rPr>
          <w:b/>
        </w:rPr>
      </w:pPr>
      <w:r>
        <w:rPr>
          <w:rFonts w:ascii="Arial" w:hAnsi="Arial" w:cs="Arial"/>
          <w:noProof/>
          <w:color w:val="001BA0"/>
          <w:sz w:val="20"/>
          <w:szCs w:val="20"/>
          <w:lang w:eastAsia="en-CA"/>
        </w:rPr>
        <w:drawing>
          <wp:inline distT="0" distB="0" distL="0" distR="0" wp14:anchorId="71BA3F31" wp14:editId="111741D3">
            <wp:extent cx="2258060" cy="1614170"/>
            <wp:effectExtent l="0" t="0" r="8890" b="5080"/>
            <wp:docPr id="2" name="Picture 2" descr="https://tse1.mm.bing.net/th?&amp;id=OIP.Mb93ecaed466b7d4c788b8e6fe1964212H0&amp;w=237&amp;h=169&amp;c=0&amp;pid=1.9&amp;rs=0&amp;p=0&amp;r=0">
              <a:hlinkClick xmlns:a="http://schemas.openxmlformats.org/drawingml/2006/main" r:id="rId12"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1.mm.bing.net/th?&amp;id=OIP.Mb93ecaed466b7d4c788b8e6fe1964212H0&amp;w=237&amp;h=169&amp;c=0&amp;pid=1.9&amp;rs=0&amp;p=0&amp;r=0">
                      <a:hlinkClick r:id="rId12" tooltip="&quot;View image details&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58060" cy="1614170"/>
                    </a:xfrm>
                    <a:prstGeom prst="rect">
                      <a:avLst/>
                    </a:prstGeom>
                    <a:noFill/>
                    <a:ln>
                      <a:noFill/>
                    </a:ln>
                  </pic:spPr>
                </pic:pic>
              </a:graphicData>
            </a:graphic>
          </wp:inline>
        </w:drawing>
      </w:r>
    </w:p>
    <w:p w14:paraId="2911F10A" w14:textId="77777777" w:rsidR="008E1A5A" w:rsidRDefault="00B95889">
      <w:pPr>
        <w:rPr>
          <w:b/>
        </w:rPr>
      </w:pPr>
      <w:r>
        <w:rPr>
          <w:b/>
        </w:rPr>
        <w:t>Amino/Amine/Aminium:</w:t>
      </w:r>
      <w:r>
        <w:rPr>
          <w:rFonts w:ascii="Arial" w:hAnsi="Arial" w:cs="Arial"/>
          <w:noProof/>
          <w:sz w:val="20"/>
          <w:szCs w:val="20"/>
          <w:lang w:eastAsia="en-CA"/>
        </w:rPr>
        <w:drawing>
          <wp:inline distT="0" distB="0" distL="0" distR="0" wp14:anchorId="4444FB6B" wp14:editId="256E0174">
            <wp:extent cx="3037398" cy="1620552"/>
            <wp:effectExtent l="0" t="0" r="0" b="0"/>
            <wp:docPr id="4" name="Picture 4" descr="Image result for am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amin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72712" cy="1639393"/>
                    </a:xfrm>
                    <a:prstGeom prst="rect">
                      <a:avLst/>
                    </a:prstGeom>
                    <a:noFill/>
                    <a:ln>
                      <a:noFill/>
                    </a:ln>
                  </pic:spPr>
                </pic:pic>
              </a:graphicData>
            </a:graphic>
          </wp:inline>
        </w:drawing>
      </w:r>
      <w:r>
        <w:rPr>
          <w:b/>
        </w:rPr>
        <w:t xml:space="preserve"> </w:t>
      </w:r>
    </w:p>
    <w:p w14:paraId="3058E1C1" w14:textId="77777777" w:rsidR="00B95889" w:rsidRDefault="00B95889">
      <w:pPr>
        <w:rPr>
          <w:b/>
        </w:rPr>
      </w:pPr>
      <w:r>
        <w:rPr>
          <w:b/>
        </w:rPr>
        <w:t>Amino = R-NH3+</w:t>
      </w:r>
    </w:p>
    <w:p w14:paraId="5CD969C6" w14:textId="77777777" w:rsidR="008E1A5A" w:rsidRDefault="008E1A5A">
      <w:pPr>
        <w:rPr>
          <w:b/>
        </w:rPr>
      </w:pPr>
    </w:p>
    <w:p w14:paraId="1BBBC7C5" w14:textId="77777777" w:rsidR="008E1A5A" w:rsidRDefault="008E1A5A">
      <w:pPr>
        <w:rPr>
          <w:b/>
        </w:rPr>
      </w:pPr>
      <w:r>
        <w:rPr>
          <w:b/>
        </w:rPr>
        <w:t xml:space="preserve">Carboxyl/Carboxylic Acid/Carboxylate: </w:t>
      </w:r>
    </w:p>
    <w:p w14:paraId="0DEB8731" w14:textId="77777777" w:rsidR="00B95889" w:rsidRDefault="008E1A5A" w:rsidP="00B95889">
      <w:pPr>
        <w:keepNext/>
      </w:pPr>
      <w:r>
        <w:rPr>
          <w:rFonts w:ascii="Arial" w:hAnsi="Arial" w:cs="Arial"/>
          <w:noProof/>
          <w:color w:val="001BA0"/>
          <w:sz w:val="20"/>
          <w:szCs w:val="20"/>
          <w:lang w:eastAsia="en-CA"/>
        </w:rPr>
        <w:drawing>
          <wp:inline distT="0" distB="0" distL="0" distR="0" wp14:anchorId="081CD9B8" wp14:editId="55D90B35">
            <wp:extent cx="1654175" cy="1399540"/>
            <wp:effectExtent l="0" t="0" r="3175" b="0"/>
            <wp:docPr id="5" name="Picture 5" descr="https://tse1.mm.bing.net/th?&amp;id=OIP.Mb2c3c3ab6f07b94cd6b35e9be9ed79d1H0&amp;w=174&amp;h=147&amp;c=0&amp;pid=1.9&amp;rs=0&amp;p=0&amp;r=0">
              <a:hlinkClick xmlns:a="http://schemas.openxmlformats.org/drawingml/2006/main" r:id="rId15"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se1.mm.bing.net/th?&amp;id=OIP.Mb2c3c3ab6f07b94cd6b35e9be9ed79d1H0&amp;w=174&amp;h=147&amp;c=0&amp;pid=1.9&amp;rs=0&amp;p=0&amp;r=0">
                      <a:hlinkClick r:id="rId15" tooltip="&quot;View image details&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54175" cy="1399540"/>
                    </a:xfrm>
                    <a:prstGeom prst="rect">
                      <a:avLst/>
                    </a:prstGeom>
                    <a:noFill/>
                    <a:ln>
                      <a:noFill/>
                    </a:ln>
                  </pic:spPr>
                </pic:pic>
              </a:graphicData>
            </a:graphic>
          </wp:inline>
        </w:drawing>
      </w:r>
      <w:r w:rsidR="00B95889">
        <w:rPr>
          <w:rFonts w:ascii="Arial" w:hAnsi="Arial" w:cs="Arial"/>
          <w:noProof/>
          <w:sz w:val="20"/>
          <w:szCs w:val="20"/>
          <w:lang w:eastAsia="en-CA"/>
        </w:rPr>
        <w:drawing>
          <wp:inline distT="0" distB="0" distL="0" distR="0" wp14:anchorId="028FE645" wp14:editId="65819BC3">
            <wp:extent cx="2101715" cy="1399429"/>
            <wp:effectExtent l="0" t="0" r="0" b="0"/>
            <wp:docPr id="6" name="Picture 6" descr="Image result for carboxy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carboxyla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19359" cy="1411177"/>
                    </a:xfrm>
                    <a:prstGeom prst="rect">
                      <a:avLst/>
                    </a:prstGeom>
                    <a:noFill/>
                    <a:ln>
                      <a:noFill/>
                    </a:ln>
                  </pic:spPr>
                </pic:pic>
              </a:graphicData>
            </a:graphic>
          </wp:inline>
        </w:drawing>
      </w:r>
    </w:p>
    <w:p w14:paraId="1FAE263D" w14:textId="77777777" w:rsidR="00B95889" w:rsidRDefault="00B95889" w:rsidP="00B95889">
      <w:pPr>
        <w:keepNext/>
        <w:rPr>
          <w:rFonts w:ascii="Arial" w:hAnsi="Arial" w:cs="Arial"/>
          <w:sz w:val="20"/>
          <w:szCs w:val="20"/>
          <w:lang w:val="en"/>
        </w:rPr>
      </w:pPr>
      <w:r>
        <w:t xml:space="preserve">Carboxylate Ion: </w:t>
      </w:r>
      <w:r w:rsidR="0014501C">
        <w:rPr>
          <w:rFonts w:ascii="Arial" w:hAnsi="Arial" w:cs="Arial"/>
          <w:sz w:val="20"/>
          <w:szCs w:val="20"/>
          <w:lang w:val="en"/>
        </w:rPr>
        <w:t xml:space="preserve">a </w:t>
      </w:r>
      <w:r>
        <w:rPr>
          <w:rStyle w:val="Strong"/>
          <w:rFonts w:ascii="Arial" w:hAnsi="Arial" w:cs="Arial"/>
          <w:sz w:val="20"/>
          <w:szCs w:val="20"/>
          <w:lang w:val="en"/>
        </w:rPr>
        <w:t>carboxylate</w:t>
      </w:r>
      <w:r>
        <w:rPr>
          <w:rFonts w:ascii="Arial" w:hAnsi="Arial" w:cs="Arial"/>
          <w:sz w:val="20"/>
          <w:szCs w:val="20"/>
          <w:lang w:val="en"/>
        </w:rPr>
        <w:t xml:space="preserve"> is a salt or ester of a </w:t>
      </w:r>
      <w:r>
        <w:rPr>
          <w:rStyle w:val="Strong"/>
          <w:rFonts w:ascii="Arial" w:hAnsi="Arial" w:cs="Arial"/>
          <w:sz w:val="20"/>
          <w:szCs w:val="20"/>
          <w:lang w:val="en"/>
        </w:rPr>
        <w:t>carboxylic acid</w:t>
      </w:r>
      <w:r>
        <w:rPr>
          <w:rFonts w:ascii="Arial" w:hAnsi="Arial" w:cs="Arial"/>
          <w:sz w:val="20"/>
          <w:szCs w:val="20"/>
          <w:lang w:val="en"/>
        </w:rPr>
        <w:t xml:space="preserve">. </w:t>
      </w:r>
      <w:r>
        <w:rPr>
          <w:rStyle w:val="Strong"/>
          <w:rFonts w:ascii="Arial" w:hAnsi="Arial" w:cs="Arial"/>
          <w:sz w:val="20"/>
          <w:szCs w:val="20"/>
          <w:lang w:val="en"/>
        </w:rPr>
        <w:t>Carboxylate</w:t>
      </w:r>
      <w:r>
        <w:rPr>
          <w:rFonts w:ascii="Arial" w:hAnsi="Arial" w:cs="Arial"/>
          <w:sz w:val="20"/>
          <w:szCs w:val="20"/>
          <w:lang w:val="en"/>
        </w:rPr>
        <w:t xml:space="preserve"> salts have the general formula M(RCOO) n, where M is a metal. </w:t>
      </w:r>
    </w:p>
    <w:p w14:paraId="76FDB7EA" w14:textId="77777777" w:rsidR="00B95889" w:rsidRPr="0014501C" w:rsidRDefault="00B95889" w:rsidP="00B95889">
      <w:pPr>
        <w:keepNext/>
        <w:rPr>
          <w:rFonts w:ascii="Arial" w:hAnsi="Arial" w:cs="Arial"/>
          <w:sz w:val="20"/>
          <w:szCs w:val="20"/>
        </w:rPr>
      </w:pPr>
      <w:r w:rsidRPr="0014501C">
        <w:rPr>
          <w:rFonts w:ascii="Arial" w:hAnsi="Arial" w:cs="Arial"/>
          <w:b/>
          <w:sz w:val="20"/>
          <w:szCs w:val="20"/>
          <w:lang w:val="en"/>
        </w:rPr>
        <w:t>Condensation/Dehydration vs. Hydrolysis:</w:t>
      </w:r>
      <w:r w:rsidRPr="0014501C">
        <w:rPr>
          <w:rFonts w:ascii="Arial" w:hAnsi="Arial" w:cs="Arial"/>
          <w:sz w:val="20"/>
          <w:szCs w:val="20"/>
          <w:lang w:val="en"/>
        </w:rPr>
        <w:t xml:space="preserve"> </w:t>
      </w:r>
      <w:r w:rsidR="0014501C" w:rsidRPr="0014501C">
        <w:rPr>
          <w:rFonts w:ascii="Arial" w:hAnsi="Arial" w:cs="Arial"/>
          <w:b/>
          <w:bCs/>
          <w:sz w:val="20"/>
          <w:szCs w:val="20"/>
        </w:rPr>
        <w:t>Condensation</w:t>
      </w:r>
      <w:r w:rsidR="0014501C" w:rsidRPr="0014501C">
        <w:rPr>
          <w:rFonts w:ascii="Arial" w:hAnsi="Arial" w:cs="Arial"/>
          <w:sz w:val="20"/>
          <w:szCs w:val="20"/>
        </w:rPr>
        <w:t xml:space="preserve"> is a chemical process by which 2 molecules are </w:t>
      </w:r>
      <w:r w:rsidR="0014501C" w:rsidRPr="0014501C">
        <w:rPr>
          <w:rFonts w:ascii="Arial" w:hAnsi="Arial" w:cs="Arial"/>
          <w:b/>
          <w:bCs/>
          <w:sz w:val="20"/>
          <w:szCs w:val="20"/>
        </w:rPr>
        <w:t>joined</w:t>
      </w:r>
      <w:r w:rsidR="0014501C" w:rsidRPr="0014501C">
        <w:rPr>
          <w:rFonts w:ascii="Arial" w:hAnsi="Arial" w:cs="Arial"/>
          <w:sz w:val="20"/>
          <w:szCs w:val="20"/>
        </w:rPr>
        <w:t xml:space="preserve"> together to make a larger, more complex, molecule, with the </w:t>
      </w:r>
      <w:r w:rsidR="0014501C" w:rsidRPr="0014501C">
        <w:rPr>
          <w:rFonts w:ascii="Arial" w:hAnsi="Arial" w:cs="Arial"/>
          <w:b/>
          <w:bCs/>
          <w:sz w:val="20"/>
          <w:szCs w:val="20"/>
        </w:rPr>
        <w:t>loss of water.</w:t>
      </w:r>
      <w:r w:rsidR="0014501C" w:rsidRPr="0014501C">
        <w:rPr>
          <w:rFonts w:ascii="Arial" w:hAnsi="Arial" w:cs="Arial"/>
          <w:sz w:val="20"/>
          <w:szCs w:val="20"/>
        </w:rPr>
        <w:br/>
        <w:t xml:space="preserve">It is the basis for the synthesis of all the important biological macromolecules (carbohydrates, proteins, lipids, nucleic acids) from their simpler sub-units. Hydrolysis is the opposite to condensation. A large molecule is split into smaller sections by breaking a bond, adding </w:t>
      </w:r>
      <w:r w:rsidR="0014501C" w:rsidRPr="0014501C">
        <w:rPr>
          <w:rFonts w:ascii="Arial" w:hAnsi="Arial" w:cs="Arial"/>
          <w:b/>
          <w:bCs/>
          <w:sz w:val="20"/>
          <w:szCs w:val="20"/>
        </w:rPr>
        <w:t>-H</w:t>
      </w:r>
      <w:r w:rsidR="0014501C" w:rsidRPr="0014501C">
        <w:rPr>
          <w:rFonts w:ascii="Arial" w:hAnsi="Arial" w:cs="Arial"/>
          <w:sz w:val="20"/>
          <w:szCs w:val="20"/>
        </w:rPr>
        <w:t xml:space="preserve"> to one section and </w:t>
      </w:r>
      <w:r w:rsidR="0014501C" w:rsidRPr="0014501C">
        <w:rPr>
          <w:rFonts w:ascii="Arial" w:hAnsi="Arial" w:cs="Arial"/>
          <w:b/>
          <w:bCs/>
          <w:sz w:val="20"/>
          <w:szCs w:val="20"/>
        </w:rPr>
        <w:t>-OH</w:t>
      </w:r>
      <w:r w:rsidR="0014501C" w:rsidRPr="0014501C">
        <w:rPr>
          <w:rFonts w:ascii="Arial" w:hAnsi="Arial" w:cs="Arial"/>
          <w:sz w:val="20"/>
          <w:szCs w:val="20"/>
        </w:rPr>
        <w:t xml:space="preserve"> to the other.</w:t>
      </w:r>
      <w:r w:rsidR="0014501C" w:rsidRPr="0014501C">
        <w:rPr>
          <w:rFonts w:ascii="Arial" w:hAnsi="Arial" w:cs="Arial"/>
          <w:sz w:val="20"/>
          <w:szCs w:val="20"/>
        </w:rPr>
        <w:br/>
        <w:t xml:space="preserve">The products are simpler substances. Since it involves the </w:t>
      </w:r>
      <w:r w:rsidR="0014501C" w:rsidRPr="0014501C">
        <w:rPr>
          <w:rFonts w:ascii="Arial" w:hAnsi="Arial" w:cs="Arial"/>
          <w:b/>
          <w:bCs/>
          <w:sz w:val="20"/>
          <w:szCs w:val="20"/>
        </w:rPr>
        <w:t>addition of water</w:t>
      </w:r>
      <w:r w:rsidR="0014501C" w:rsidRPr="0014501C">
        <w:rPr>
          <w:rFonts w:ascii="Arial" w:hAnsi="Arial" w:cs="Arial"/>
          <w:sz w:val="20"/>
          <w:szCs w:val="20"/>
        </w:rPr>
        <w:t xml:space="preserve">, this explains why it is called hydrolysis, meaning </w:t>
      </w:r>
      <w:r w:rsidR="0014501C" w:rsidRPr="0014501C">
        <w:rPr>
          <w:rFonts w:ascii="Arial" w:hAnsi="Arial" w:cs="Arial"/>
          <w:b/>
          <w:bCs/>
          <w:sz w:val="20"/>
          <w:szCs w:val="20"/>
        </w:rPr>
        <w:t>splitting by water</w:t>
      </w:r>
      <w:r w:rsidR="0014501C" w:rsidRPr="0014501C">
        <w:rPr>
          <w:rFonts w:ascii="Arial" w:hAnsi="Arial" w:cs="Arial"/>
          <w:sz w:val="20"/>
          <w:szCs w:val="20"/>
        </w:rPr>
        <w:t>.</w:t>
      </w:r>
    </w:p>
    <w:p w14:paraId="7E859054" w14:textId="77777777" w:rsidR="0014501C" w:rsidRPr="0014501C" w:rsidRDefault="0014501C" w:rsidP="0014501C">
      <w:pPr>
        <w:pStyle w:val="NormalWeb"/>
        <w:rPr>
          <w:rFonts w:ascii="Arial" w:hAnsi="Arial" w:cs="Arial"/>
          <w:color w:val="000000"/>
          <w:sz w:val="20"/>
          <w:szCs w:val="20"/>
        </w:rPr>
      </w:pPr>
      <w:r w:rsidRPr="0014501C">
        <w:rPr>
          <w:rFonts w:ascii="Arial" w:hAnsi="Arial" w:cs="Arial"/>
          <w:b/>
          <w:sz w:val="20"/>
          <w:szCs w:val="20"/>
        </w:rPr>
        <w:t xml:space="preserve">Amide group/peptide bond: </w:t>
      </w:r>
      <w:r w:rsidRPr="0014501C">
        <w:rPr>
          <w:rFonts w:ascii="Arial" w:hAnsi="Arial" w:cs="Arial"/>
          <w:color w:val="000000"/>
          <w:sz w:val="20"/>
          <w:szCs w:val="20"/>
        </w:rPr>
        <w:t>Amides are derived from carboxylic acids. A carboxylic acid contains the -COOH group, and in an amide the -OH part of that group is replaced by an -NH</w:t>
      </w:r>
      <w:r w:rsidRPr="0014501C">
        <w:rPr>
          <w:rFonts w:ascii="Arial" w:hAnsi="Arial" w:cs="Arial"/>
          <w:color w:val="000000"/>
          <w:sz w:val="20"/>
          <w:szCs w:val="20"/>
          <w:vertAlign w:val="subscript"/>
        </w:rPr>
        <w:t>2</w:t>
      </w:r>
      <w:r w:rsidRPr="0014501C">
        <w:rPr>
          <w:rFonts w:ascii="Arial" w:hAnsi="Arial" w:cs="Arial"/>
          <w:color w:val="000000"/>
          <w:sz w:val="20"/>
          <w:szCs w:val="20"/>
        </w:rPr>
        <w:t xml:space="preserve"> group. So amides contain the -CONH</w:t>
      </w:r>
      <w:r w:rsidRPr="0014501C">
        <w:rPr>
          <w:rFonts w:ascii="Arial" w:hAnsi="Arial" w:cs="Arial"/>
          <w:color w:val="000000"/>
          <w:sz w:val="20"/>
          <w:szCs w:val="20"/>
          <w:vertAlign w:val="subscript"/>
        </w:rPr>
        <w:t>2</w:t>
      </w:r>
      <w:r w:rsidRPr="0014501C">
        <w:rPr>
          <w:rFonts w:ascii="Arial" w:hAnsi="Arial" w:cs="Arial"/>
          <w:color w:val="000000"/>
          <w:sz w:val="20"/>
          <w:szCs w:val="20"/>
        </w:rPr>
        <w:t xml:space="preserve"> group.</w:t>
      </w:r>
    </w:p>
    <w:p w14:paraId="64FEDE53" w14:textId="77777777" w:rsidR="0014501C" w:rsidRDefault="0014501C" w:rsidP="0014501C">
      <w:pPr>
        <w:pStyle w:val="NormalWeb"/>
        <w:rPr>
          <w:rFonts w:ascii="Helvetica" w:hAnsi="Helvetica" w:cs="Helvetica"/>
          <w:color w:val="000000"/>
        </w:rPr>
      </w:pPr>
      <w:r>
        <w:rPr>
          <w:rFonts w:ascii="Arial" w:hAnsi="Arial" w:cs="Arial"/>
          <w:noProof/>
          <w:color w:val="001BA0"/>
          <w:sz w:val="20"/>
          <w:szCs w:val="20"/>
        </w:rPr>
        <w:drawing>
          <wp:inline distT="0" distB="0" distL="0" distR="0" wp14:anchorId="3A494BCD" wp14:editId="28EDC194">
            <wp:extent cx="2059543" cy="1359894"/>
            <wp:effectExtent l="0" t="0" r="0" b="0"/>
            <wp:docPr id="7" name="Picture 7" descr="https://tse1.mm.bing.net/th?&amp;id=OIP.M47ee437e01b4316ea86c662b22af50f1H0&amp;w=300&amp;h=198&amp;c=0&amp;pid=1.9&amp;rs=0&amp;p=0&amp;r=0">
              <a:hlinkClick xmlns:a="http://schemas.openxmlformats.org/drawingml/2006/main" r:id="rId18"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se1.mm.bing.net/th?&amp;id=OIP.M47ee437e01b4316ea86c662b22af50f1H0&amp;w=300&amp;h=198&amp;c=0&amp;pid=1.9&amp;rs=0&amp;p=0&amp;r=0">
                      <a:hlinkClick r:id="rId18" tooltip="&quot;View image details&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23753" cy="1402291"/>
                    </a:xfrm>
                    <a:prstGeom prst="rect">
                      <a:avLst/>
                    </a:prstGeom>
                    <a:noFill/>
                    <a:ln>
                      <a:noFill/>
                    </a:ln>
                  </pic:spPr>
                </pic:pic>
              </a:graphicData>
            </a:graphic>
          </wp:inline>
        </w:drawing>
      </w:r>
    </w:p>
    <w:p w14:paraId="20A40114" w14:textId="79EF9F3E" w:rsidR="0014501C" w:rsidRDefault="0014501C" w:rsidP="0014501C">
      <w:pPr>
        <w:pStyle w:val="NormalWeb"/>
        <w:rPr>
          <w:rFonts w:ascii="Arial" w:hAnsi="Arial" w:cs="Arial"/>
          <w:sz w:val="20"/>
          <w:szCs w:val="20"/>
          <w:lang w:val="en"/>
        </w:rPr>
      </w:pPr>
      <w:r w:rsidRPr="0014501C">
        <w:rPr>
          <w:rFonts w:ascii="Arial" w:hAnsi="Arial" w:cs="Arial"/>
          <w:b/>
          <w:color w:val="000000"/>
          <w:sz w:val="20"/>
          <w:szCs w:val="20"/>
        </w:rPr>
        <w:t xml:space="preserve">Peptide/dipeptide vs. oligopeptide/polypeptide: </w:t>
      </w:r>
      <w:r w:rsidR="00012268">
        <w:rPr>
          <w:rFonts w:ascii="Arial" w:hAnsi="Arial" w:cs="Arial"/>
          <w:color w:val="000000"/>
          <w:sz w:val="20"/>
          <w:szCs w:val="20"/>
        </w:rPr>
        <w:t xml:space="preserve">a peptide is </w:t>
      </w:r>
      <w:r w:rsidR="00012268">
        <w:rPr>
          <w:rFonts w:ascii="Arial" w:hAnsi="Arial" w:cs="Arial"/>
          <w:sz w:val="20"/>
          <w:szCs w:val="20"/>
          <w:lang w:val="en"/>
        </w:rPr>
        <w:t xml:space="preserve">a compound consisting of two or more amino acids linked in a chain, the carboxyl group of each acid being joined to the amino group of the next by a bond of the type -OC-NH. </w:t>
      </w:r>
      <w:r w:rsidR="00012268" w:rsidRPr="00012268">
        <w:rPr>
          <w:rFonts w:ascii="Arial" w:hAnsi="Arial" w:cs="Arial"/>
          <w:sz w:val="20"/>
          <w:szCs w:val="20"/>
          <w:lang w:val="en"/>
        </w:rPr>
        <w:t xml:space="preserve">Three amino acids can be joined by two peptide bonds to form a tripeptide; similarly, four amino acids can be linked to form a tetrapeptide, five to form a pentapeptide, and so forth. When a few amino acids are joined in this fashion, the structure is called an </w:t>
      </w:r>
      <w:r w:rsidR="00012268" w:rsidRPr="00012268">
        <w:rPr>
          <w:rFonts w:ascii="Arial" w:hAnsi="Arial" w:cs="Arial"/>
          <w:b/>
          <w:sz w:val="20"/>
          <w:szCs w:val="20"/>
          <w:lang w:val="en"/>
        </w:rPr>
        <w:t>oligopeptide</w:t>
      </w:r>
      <w:r w:rsidR="00012268" w:rsidRPr="00012268">
        <w:rPr>
          <w:rFonts w:ascii="Arial" w:hAnsi="Arial" w:cs="Arial"/>
          <w:sz w:val="20"/>
          <w:szCs w:val="20"/>
          <w:lang w:val="en"/>
        </w:rPr>
        <w:t xml:space="preserve">. When many amino acids are joined, the product is called a </w:t>
      </w:r>
      <w:r w:rsidR="00012268" w:rsidRPr="00012268">
        <w:rPr>
          <w:rFonts w:ascii="Arial" w:hAnsi="Arial" w:cs="Arial"/>
          <w:b/>
          <w:sz w:val="20"/>
          <w:szCs w:val="20"/>
          <w:lang w:val="en"/>
        </w:rPr>
        <w:t>polypeptide</w:t>
      </w:r>
      <w:r w:rsidR="00012268">
        <w:rPr>
          <w:rFonts w:ascii="Arial" w:hAnsi="Arial" w:cs="Arial"/>
          <w:b/>
          <w:sz w:val="20"/>
          <w:szCs w:val="20"/>
          <w:lang w:val="en"/>
        </w:rPr>
        <w:t xml:space="preserve">. </w:t>
      </w:r>
      <w:r w:rsidR="00012268">
        <w:rPr>
          <w:rFonts w:ascii="Arial" w:hAnsi="Arial" w:cs="Arial"/>
          <w:sz w:val="20"/>
          <w:szCs w:val="20"/>
          <w:lang w:val="en"/>
        </w:rPr>
        <w:t>M</w:t>
      </w:r>
      <w:r w:rsidR="00012268" w:rsidRPr="00012268">
        <w:rPr>
          <w:rFonts w:ascii="Arial" w:hAnsi="Arial" w:cs="Arial"/>
          <w:sz w:val="20"/>
          <w:szCs w:val="20"/>
          <w:lang w:val="en"/>
        </w:rPr>
        <w:t xml:space="preserve">olecules referred to as </w:t>
      </w:r>
      <w:r w:rsidR="00012268" w:rsidRPr="00012268">
        <w:rPr>
          <w:rFonts w:ascii="Arial" w:hAnsi="Arial" w:cs="Arial"/>
          <w:b/>
          <w:sz w:val="20"/>
          <w:szCs w:val="20"/>
          <w:lang w:val="en"/>
        </w:rPr>
        <w:t>polypeptides</w:t>
      </w:r>
      <w:r w:rsidR="00012268" w:rsidRPr="00012268">
        <w:rPr>
          <w:rFonts w:ascii="Arial" w:hAnsi="Arial" w:cs="Arial"/>
          <w:sz w:val="20"/>
          <w:szCs w:val="20"/>
          <w:lang w:val="en"/>
        </w:rPr>
        <w:t xml:space="preserve"> generally have molecular weights below 10,000, and those called </w:t>
      </w:r>
      <w:r w:rsidR="00012268" w:rsidRPr="00012268">
        <w:rPr>
          <w:rFonts w:ascii="Arial" w:hAnsi="Arial" w:cs="Arial"/>
          <w:b/>
          <w:sz w:val="20"/>
          <w:szCs w:val="20"/>
          <w:lang w:val="en"/>
        </w:rPr>
        <w:t>proteins</w:t>
      </w:r>
      <w:r w:rsidR="00012268" w:rsidRPr="00012268">
        <w:rPr>
          <w:rFonts w:ascii="Arial" w:hAnsi="Arial" w:cs="Arial"/>
          <w:sz w:val="20"/>
          <w:szCs w:val="20"/>
          <w:lang w:val="en"/>
        </w:rPr>
        <w:t xml:space="preserve"> have higher molecular weights.</w:t>
      </w:r>
    </w:p>
    <w:p w14:paraId="78BD1238" w14:textId="24197AD1" w:rsidR="00012268" w:rsidRPr="0014501C" w:rsidRDefault="00012268" w:rsidP="0014501C">
      <w:pPr>
        <w:pStyle w:val="NormalWeb"/>
        <w:rPr>
          <w:rFonts w:ascii="Arial" w:hAnsi="Arial" w:cs="Arial"/>
          <w:color w:val="000000"/>
          <w:sz w:val="20"/>
          <w:szCs w:val="20"/>
        </w:rPr>
      </w:pPr>
      <w:r>
        <w:rPr>
          <w:rFonts w:ascii="Arial" w:hAnsi="Arial" w:cs="Arial"/>
          <w:b/>
          <w:sz w:val="20"/>
          <w:szCs w:val="20"/>
          <w:lang w:val="en"/>
        </w:rPr>
        <w:t xml:space="preserve">Amino group vs. carboxy group in polypeptide: </w:t>
      </w:r>
      <w:r w:rsidRPr="00012268">
        <w:rPr>
          <w:rFonts w:ascii="Arial" w:hAnsi="Arial" w:cs="Arial"/>
          <w:sz w:val="20"/>
          <w:szCs w:val="20"/>
          <w:lang w:val="en"/>
        </w:rPr>
        <w:t xml:space="preserve">In a peptide, the amino acid </w:t>
      </w:r>
      <w:r w:rsidR="005419F0">
        <w:rPr>
          <w:rFonts w:ascii="Arial" w:hAnsi="Arial" w:cs="Arial"/>
          <w:sz w:val="20"/>
          <w:szCs w:val="20"/>
          <w:lang w:val="en"/>
        </w:rPr>
        <w:t xml:space="preserve">residue at the end with a free </w:t>
      </w:r>
      <w:r w:rsidRPr="00012268">
        <w:rPr>
          <w:rFonts w:ascii="Arial" w:hAnsi="Arial" w:cs="Arial"/>
          <w:sz w:val="20"/>
          <w:szCs w:val="20"/>
          <w:lang w:val="en"/>
        </w:rPr>
        <w:t>-</w:t>
      </w:r>
      <w:r w:rsidRPr="005419F0">
        <w:rPr>
          <w:rFonts w:ascii="Arial" w:hAnsi="Arial" w:cs="Arial"/>
          <w:b/>
          <w:sz w:val="20"/>
          <w:szCs w:val="20"/>
          <w:lang w:val="en"/>
        </w:rPr>
        <w:t>amino group</w:t>
      </w:r>
      <w:r w:rsidRPr="00012268">
        <w:rPr>
          <w:rFonts w:ascii="Arial" w:hAnsi="Arial" w:cs="Arial"/>
          <w:sz w:val="20"/>
          <w:szCs w:val="20"/>
          <w:lang w:val="en"/>
        </w:rPr>
        <w:t xml:space="preserve"> is the amino-terminal (or N-terminal) residue; the residue at the other end, which has a free </w:t>
      </w:r>
      <w:r w:rsidRPr="005419F0">
        <w:rPr>
          <w:rFonts w:ascii="Arial" w:hAnsi="Arial" w:cs="Arial"/>
          <w:b/>
          <w:sz w:val="20"/>
          <w:szCs w:val="20"/>
          <w:lang w:val="en"/>
        </w:rPr>
        <w:t>carboxyl group</w:t>
      </w:r>
      <w:r w:rsidRPr="00012268">
        <w:rPr>
          <w:rFonts w:ascii="Arial" w:hAnsi="Arial" w:cs="Arial"/>
          <w:sz w:val="20"/>
          <w:szCs w:val="20"/>
          <w:lang w:val="en"/>
        </w:rPr>
        <w:t>, is the carboxyl</w:t>
      </w:r>
      <w:r w:rsidR="005419F0">
        <w:rPr>
          <w:rFonts w:ascii="Arial" w:hAnsi="Arial" w:cs="Arial"/>
          <w:sz w:val="20"/>
          <w:szCs w:val="20"/>
          <w:lang w:val="en"/>
        </w:rPr>
        <w:t>-</w:t>
      </w:r>
      <w:r w:rsidRPr="00012268">
        <w:rPr>
          <w:rFonts w:ascii="Arial" w:hAnsi="Arial" w:cs="Arial"/>
          <w:sz w:val="20"/>
          <w:szCs w:val="20"/>
          <w:lang w:val="en"/>
        </w:rPr>
        <w:t>terminal (C-terminal) residue.</w:t>
      </w:r>
    </w:p>
    <w:p w14:paraId="4ECA1775" w14:textId="5079FAAD" w:rsidR="00B95889" w:rsidRDefault="005419F0">
      <w:pPr>
        <w:rPr>
          <w:u w:val="single"/>
        </w:rPr>
      </w:pPr>
      <w:r w:rsidRPr="005419F0">
        <w:rPr>
          <w:u w:val="single"/>
        </w:rPr>
        <w:t>U1-02: Nucleotide Functional Groups:</w:t>
      </w:r>
    </w:p>
    <w:p w14:paraId="7292A7E5" w14:textId="77777777" w:rsidR="009B5E67" w:rsidRDefault="009B5E67">
      <w:pPr>
        <w:rPr>
          <w:u w:val="single"/>
        </w:rPr>
      </w:pPr>
    </w:p>
    <w:p w14:paraId="224C8D30" w14:textId="77BC0795" w:rsidR="005419F0" w:rsidRPr="005419F0" w:rsidRDefault="005419F0">
      <w:r>
        <w:rPr>
          <w:b/>
        </w:rPr>
        <w:t>Nucleoside vs. Nucleotide</w:t>
      </w:r>
      <w:r w:rsidR="00392BFE">
        <w:rPr>
          <w:b/>
        </w:rPr>
        <w:t xml:space="preserve"> (Nucleoside Phosphate)</w:t>
      </w:r>
      <w:r>
        <w:rPr>
          <w:b/>
        </w:rPr>
        <w:t xml:space="preserve">: </w:t>
      </w:r>
      <w:r w:rsidRPr="005419F0">
        <w:rPr>
          <w:b/>
        </w:rPr>
        <w:t>Nucleotides</w:t>
      </w:r>
      <w:r w:rsidRPr="005419F0">
        <w:t xml:space="preserve"> have three characteristic components: (1) a nitrogenous (nitrogen-containing) base, (2) a pentose, </w:t>
      </w:r>
      <w:r>
        <w:t xml:space="preserve">and (3) one or more phosphates. </w:t>
      </w:r>
      <w:r w:rsidRPr="005419F0">
        <w:t xml:space="preserve">The molecule without a phosphate group is called a </w:t>
      </w:r>
      <w:r w:rsidRPr="005419F0">
        <w:rPr>
          <w:b/>
        </w:rPr>
        <w:t>nucleoside</w:t>
      </w:r>
      <w:r w:rsidRPr="005419F0">
        <w:t>.</w:t>
      </w:r>
      <w:r>
        <w:t xml:space="preserve"> </w:t>
      </w:r>
      <w:r w:rsidRPr="005419F0">
        <w:t>Nucleic acids have two kinds of pentoses. The recurring deoxyribonu</w:t>
      </w:r>
      <w:r>
        <w:t>cleotide units of DNA contain 2’</w:t>
      </w:r>
      <w:r w:rsidRPr="005419F0">
        <w:t xml:space="preserve">-deoxy-D-ribose, and the ribonucleotide units of RNA contain D-ribose. In nucleotides, both </w:t>
      </w:r>
      <w:r>
        <w:t>types of pentoses are in their Beta</w:t>
      </w:r>
      <w:r w:rsidRPr="005419F0">
        <w:t>-furanose (closed five-membered ring)</w:t>
      </w:r>
      <w:r>
        <w:t xml:space="preserve"> form. I</w:t>
      </w:r>
      <w:r w:rsidRPr="005419F0">
        <w:t>t is the pentoses that define the identity of a nucleic acid.</w:t>
      </w:r>
      <w:r>
        <w:t xml:space="preserve"> If the nucleic acid contains 2’</w:t>
      </w:r>
      <w:r w:rsidRPr="005419F0">
        <w:t>-deoxy-D-ribose, it is DNA by definition even though it may contain uracil. Similarly, if the nucleic acid contains D-ribose, it is RNA regardless of its base composition.</w:t>
      </w:r>
    </w:p>
    <w:p w14:paraId="5FE34C15" w14:textId="182C2285" w:rsidR="005419F0" w:rsidRDefault="005419F0">
      <w:pPr>
        <w:rPr>
          <w:bCs/>
        </w:rPr>
      </w:pPr>
      <w:r w:rsidRPr="005419F0">
        <w:rPr>
          <w:b/>
        </w:rPr>
        <w:t xml:space="preserve">Hydroxyl/alcohol: </w:t>
      </w:r>
      <w:r w:rsidR="004D28DA">
        <w:rPr>
          <w:lang w:val="en"/>
        </w:rPr>
        <w:t xml:space="preserve">A </w:t>
      </w:r>
      <w:r w:rsidR="004D28DA">
        <w:rPr>
          <w:b/>
          <w:bCs/>
          <w:lang w:val="en"/>
        </w:rPr>
        <w:t>hydroxyl</w:t>
      </w:r>
      <w:r w:rsidR="004D28DA">
        <w:rPr>
          <w:lang w:val="en"/>
        </w:rPr>
        <w:t xml:space="preserve"> or </w:t>
      </w:r>
      <w:r w:rsidR="004D28DA">
        <w:rPr>
          <w:b/>
          <w:bCs/>
          <w:lang w:val="en"/>
        </w:rPr>
        <w:t>hydroxy group</w:t>
      </w:r>
      <w:r w:rsidR="004D28DA">
        <w:rPr>
          <w:lang w:val="en"/>
        </w:rPr>
        <w:t xml:space="preserve"> is a chemical </w:t>
      </w:r>
      <w:hyperlink r:id="rId20" w:tooltip="Functional group" w:history="1">
        <w:r w:rsidR="004D28DA">
          <w:rPr>
            <w:rStyle w:val="Hyperlink"/>
            <w:lang w:val="en"/>
          </w:rPr>
          <w:t>functional group</w:t>
        </w:r>
      </w:hyperlink>
      <w:r w:rsidR="004D28DA">
        <w:rPr>
          <w:lang w:val="en"/>
        </w:rPr>
        <w:t xml:space="preserve"> containing one </w:t>
      </w:r>
      <w:hyperlink r:id="rId21" w:tooltip="Oxygen" w:history="1">
        <w:r w:rsidR="004D28DA">
          <w:rPr>
            <w:rStyle w:val="Hyperlink"/>
            <w:lang w:val="en"/>
          </w:rPr>
          <w:t>oxygen</w:t>
        </w:r>
      </w:hyperlink>
      <w:r w:rsidR="004D28DA">
        <w:rPr>
          <w:lang w:val="en"/>
        </w:rPr>
        <w:t xml:space="preserve"> atom connected by a </w:t>
      </w:r>
      <w:hyperlink r:id="rId22" w:tooltip="Covalent bonding" w:history="1">
        <w:r w:rsidR="004D28DA">
          <w:rPr>
            <w:rStyle w:val="Hyperlink"/>
            <w:lang w:val="en"/>
          </w:rPr>
          <w:t>covalent bonding</w:t>
        </w:r>
      </w:hyperlink>
      <w:r w:rsidR="004D28DA">
        <w:rPr>
          <w:lang w:val="en"/>
        </w:rPr>
        <w:t xml:space="preserve"> to one </w:t>
      </w:r>
      <w:hyperlink r:id="rId23" w:tooltip="Hydrogen" w:history="1">
        <w:r w:rsidR="004D28DA">
          <w:rPr>
            <w:rStyle w:val="Hyperlink"/>
            <w:lang w:val="en"/>
          </w:rPr>
          <w:t>hydrogen</w:t>
        </w:r>
      </w:hyperlink>
      <w:r w:rsidR="004D28DA">
        <w:rPr>
          <w:lang w:val="en"/>
        </w:rPr>
        <w:t xml:space="preserve"> atom (−OH). It is sometimes called the </w:t>
      </w:r>
      <w:hyperlink r:id="rId24" w:tooltip="Alcohol" w:history="1">
        <w:r w:rsidR="004D28DA">
          <w:rPr>
            <w:rStyle w:val="Hyperlink"/>
            <w:lang w:val="en"/>
          </w:rPr>
          <w:t>alcohol</w:t>
        </w:r>
      </w:hyperlink>
      <w:r w:rsidR="004D28DA">
        <w:rPr>
          <w:lang w:val="en"/>
        </w:rPr>
        <w:t xml:space="preserve"> functional group because when bonded to carbon in a molecule that otherwise contains only hydrogen and carbon the hydroxy (not hydroxyl) group defines the molecule as an alcohol, resulting in a name ending in -ol. </w:t>
      </w:r>
      <w:r w:rsidR="004D28DA" w:rsidRPr="004D28DA">
        <w:rPr>
          <w:bCs/>
        </w:rPr>
        <w:t>Ribose has a hydroxyl group (OH) on the 2' carbon and deoxyribose does not. This makes deoxyribose more stable than ribose.</w:t>
      </w:r>
    </w:p>
    <w:p w14:paraId="703514A1" w14:textId="5E745A8D" w:rsidR="004D28DA" w:rsidRDefault="004D28DA">
      <w:pPr>
        <w:rPr>
          <w:bCs/>
        </w:rPr>
      </w:pPr>
      <w:r>
        <w:rPr>
          <w:b/>
          <w:bCs/>
        </w:rPr>
        <w:t xml:space="preserve">Carbon Tetravalent Bonding vs. Phosphorous pentavalent bonding: </w:t>
      </w:r>
      <w:r w:rsidR="007C61E6">
        <w:rPr>
          <w:bCs/>
        </w:rPr>
        <w:t xml:space="preserve">Carbon can form four bonds and have a full octet. Phosphorous can form an expanded octet or bond hypervalently. Phosphorous can thus form 5 bonds. </w:t>
      </w:r>
    </w:p>
    <w:p w14:paraId="30C2B515" w14:textId="55950DAD" w:rsidR="007C61E6" w:rsidRDefault="007C61E6">
      <w:pPr>
        <w:rPr>
          <w:b/>
          <w:bCs/>
        </w:rPr>
      </w:pPr>
      <w:r w:rsidRPr="007C61E6">
        <w:rPr>
          <w:b/>
          <w:bCs/>
        </w:rPr>
        <w:t xml:space="preserve">Phosphonoxy/Phosphate: </w:t>
      </w:r>
    </w:p>
    <w:p w14:paraId="523A9078" w14:textId="77765398" w:rsidR="007C61E6" w:rsidRDefault="007C61E6">
      <w:pPr>
        <w:rPr>
          <w:b/>
        </w:rPr>
      </w:pPr>
      <w:r>
        <w:rPr>
          <w:rFonts w:ascii="Arial" w:hAnsi="Arial" w:cs="Arial"/>
          <w:noProof/>
          <w:sz w:val="20"/>
          <w:szCs w:val="20"/>
          <w:lang w:eastAsia="en-CA"/>
        </w:rPr>
        <w:drawing>
          <wp:inline distT="0" distB="0" distL="0" distR="0" wp14:anchorId="0DF90A62" wp14:editId="54B6ED75">
            <wp:extent cx="2854325" cy="2337435"/>
            <wp:effectExtent l="0" t="0" r="3175" b="5715"/>
            <wp:docPr id="8" name="Picture 8" descr="Image result for phosphate group in d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phosphate group in dn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4325" cy="2337435"/>
                    </a:xfrm>
                    <a:prstGeom prst="rect">
                      <a:avLst/>
                    </a:prstGeom>
                    <a:noFill/>
                    <a:ln>
                      <a:noFill/>
                    </a:ln>
                  </pic:spPr>
                </pic:pic>
              </a:graphicData>
            </a:graphic>
          </wp:inline>
        </w:drawing>
      </w:r>
    </w:p>
    <w:p w14:paraId="1171EC67" w14:textId="037BCBC7" w:rsidR="00392BFE" w:rsidRDefault="00392BFE">
      <w:r w:rsidRPr="00392BFE">
        <w:t>Yellow is a phosphate group</w:t>
      </w:r>
    </w:p>
    <w:p w14:paraId="3F455374" w14:textId="792A735C" w:rsidR="00392BFE" w:rsidRDefault="00392BFE">
      <w:r w:rsidRPr="00392BFE">
        <w:rPr>
          <w:b/>
        </w:rPr>
        <w:t xml:space="preserve">Purine vs. Pyrimidine: </w:t>
      </w:r>
      <w:r w:rsidRPr="00392BFE">
        <w:rPr>
          <w:rFonts w:ascii="Arial" w:hAnsi="Arial" w:cs="Arial"/>
          <w:sz w:val="20"/>
          <w:szCs w:val="20"/>
        </w:rPr>
        <w:t>Purines and pyrimidines are two of the building blocks of nucleic acids. Only two purines and three pyrimidines occur widely in nucleic acids.</w:t>
      </w:r>
      <w:r w:rsidRPr="00392BFE">
        <w:rPr>
          <w:b/>
          <w:bCs/>
        </w:rPr>
        <w:t xml:space="preserve"> </w:t>
      </w:r>
      <w:r>
        <w:rPr>
          <w:b/>
          <w:bCs/>
        </w:rPr>
        <w:t>Purines</w:t>
      </w:r>
      <w:r>
        <w:t xml:space="preserve"> consist of a six-membered and a five-membered nitrogen-containing ring, fused together. </w:t>
      </w:r>
      <w:r>
        <w:rPr>
          <w:b/>
          <w:bCs/>
        </w:rPr>
        <w:t>Pyridmidines</w:t>
      </w:r>
      <w:r>
        <w:t xml:space="preserve"> have only a six-membered nitrogen-containing ring. Purines include adenine and guanine. Pyrimidines include cytosine, thymine and uracil.</w:t>
      </w:r>
    </w:p>
    <w:p w14:paraId="6C988096" w14:textId="411A62EB" w:rsidR="00392BFE" w:rsidRDefault="00392BFE">
      <w:pPr>
        <w:rPr>
          <w:b/>
        </w:rPr>
      </w:pPr>
      <w:r>
        <w:rPr>
          <w:rFonts w:ascii="Arial" w:hAnsi="Arial" w:cs="Arial"/>
          <w:noProof/>
          <w:sz w:val="20"/>
          <w:szCs w:val="20"/>
          <w:lang w:eastAsia="en-CA"/>
        </w:rPr>
        <w:lastRenderedPageBreak/>
        <w:drawing>
          <wp:inline distT="0" distB="0" distL="0" distR="0" wp14:anchorId="4603C91E" wp14:editId="0CB61A44">
            <wp:extent cx="3745064" cy="2542102"/>
            <wp:effectExtent l="0" t="0" r="8255" b="0"/>
            <wp:docPr id="9" name="Picture 9" descr="Image result for pyrimid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pyrimidin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60248" cy="2552409"/>
                    </a:xfrm>
                    <a:prstGeom prst="rect">
                      <a:avLst/>
                    </a:prstGeom>
                    <a:noFill/>
                    <a:ln>
                      <a:noFill/>
                    </a:ln>
                  </pic:spPr>
                </pic:pic>
              </a:graphicData>
            </a:graphic>
          </wp:inline>
        </w:drawing>
      </w:r>
    </w:p>
    <w:p w14:paraId="2C519E66" w14:textId="1A2E2B2C" w:rsidR="00392BFE" w:rsidRDefault="00392BFE">
      <w:r>
        <w:rPr>
          <w:b/>
        </w:rPr>
        <w:t xml:space="preserve">Glycosyl (pentose/furanose) and Prime numbering for Pentose: </w:t>
      </w:r>
      <w:r w:rsidR="007501CD" w:rsidRPr="007501CD">
        <w:t>The base of a nucleotide is joined covalently (at N-1 of pyrimidin</w:t>
      </w:r>
      <w:r w:rsidR="007501CD">
        <w:t>es and N-9 of purines) in an N-Beta-glycosyl bond to the 1’</w:t>
      </w:r>
      <w:r w:rsidR="007501CD" w:rsidRPr="007501CD">
        <w:t xml:space="preserve"> carbon of the pentose, and the phosphate is este</w:t>
      </w:r>
      <w:r w:rsidR="007501CD">
        <w:t>rified to the 5’ carbon. The N-Beta-</w:t>
      </w:r>
      <w:r w:rsidR="007501CD" w:rsidRPr="007501CD">
        <w:t>glycosyl bond is formed by removal of the elements of water (a hydroxyl group from the pentose and hydrogen from the base), as</w:t>
      </w:r>
      <w:r w:rsidR="007501CD">
        <w:t xml:space="preserve"> in O-glycosidic bond formation.</w:t>
      </w:r>
    </w:p>
    <w:p w14:paraId="783AED9B" w14:textId="2AF2A953" w:rsidR="007501CD" w:rsidRDefault="007501CD">
      <w:pPr>
        <w:rPr>
          <w:rFonts w:ascii="Arial" w:hAnsi="Arial" w:cs="Arial"/>
          <w:sz w:val="20"/>
          <w:szCs w:val="20"/>
        </w:rPr>
      </w:pPr>
      <w:r>
        <w:rPr>
          <w:rFonts w:ascii="Arial" w:hAnsi="Arial" w:cs="Arial"/>
          <w:noProof/>
          <w:sz w:val="20"/>
          <w:szCs w:val="20"/>
          <w:lang w:eastAsia="en-CA"/>
        </w:rPr>
        <w:drawing>
          <wp:inline distT="0" distB="0" distL="0" distR="0" wp14:anchorId="05D23A00" wp14:editId="029ECEA8">
            <wp:extent cx="2592070" cy="1979930"/>
            <wp:effectExtent l="0" t="0" r="0" b="1270"/>
            <wp:docPr id="10" name="Picture 10" descr="Image result for dna glycosidic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dna glycosidic bon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92070" cy="1979930"/>
                    </a:xfrm>
                    <a:prstGeom prst="rect">
                      <a:avLst/>
                    </a:prstGeom>
                    <a:noFill/>
                    <a:ln>
                      <a:noFill/>
                    </a:ln>
                  </pic:spPr>
                </pic:pic>
              </a:graphicData>
            </a:graphic>
          </wp:inline>
        </w:drawing>
      </w:r>
    </w:p>
    <w:p w14:paraId="3A56A759" w14:textId="4276840F" w:rsidR="005B7E04" w:rsidRDefault="005B7E04">
      <w:pPr>
        <w:rPr>
          <w:rFonts w:ascii="Arial" w:hAnsi="Arial" w:cs="Arial"/>
          <w:sz w:val="20"/>
          <w:szCs w:val="20"/>
        </w:rPr>
      </w:pPr>
    </w:p>
    <w:p w14:paraId="57B4F9BB" w14:textId="7D22FA49" w:rsidR="00A55262" w:rsidRDefault="00A55262">
      <w:pPr>
        <w:rPr>
          <w:rFonts w:ascii="Arial" w:hAnsi="Arial" w:cs="Arial"/>
          <w:sz w:val="20"/>
          <w:szCs w:val="20"/>
          <w:u w:val="single"/>
        </w:rPr>
      </w:pPr>
      <w:r w:rsidRPr="00A55262">
        <w:rPr>
          <w:rFonts w:ascii="Arial" w:hAnsi="Arial" w:cs="Arial"/>
          <w:sz w:val="20"/>
          <w:szCs w:val="20"/>
          <w:u w:val="single"/>
        </w:rPr>
        <w:t>U1-03: Esters and Anhydrides:</w:t>
      </w:r>
    </w:p>
    <w:p w14:paraId="41E8C14C" w14:textId="4E756444" w:rsidR="00A55262" w:rsidRDefault="00A55262">
      <w:pPr>
        <w:rPr>
          <w:rFonts w:ascii="Arial" w:hAnsi="Arial" w:cs="Arial"/>
          <w:noProof/>
          <w:sz w:val="20"/>
          <w:szCs w:val="20"/>
          <w:lang w:eastAsia="en-CA"/>
        </w:rPr>
      </w:pPr>
      <w:r>
        <w:rPr>
          <w:rFonts w:ascii="Arial" w:hAnsi="Arial" w:cs="Arial"/>
          <w:b/>
          <w:sz w:val="20"/>
          <w:szCs w:val="20"/>
        </w:rPr>
        <w:t xml:space="preserve">Ester vs. Diester group: </w:t>
      </w:r>
      <w:r w:rsidR="00957511">
        <w:rPr>
          <w:rFonts w:ascii="Arial" w:hAnsi="Arial" w:cs="Arial"/>
          <w:color w:val="666666"/>
          <w:sz w:val="20"/>
          <w:szCs w:val="20"/>
          <w:lang w:val="en"/>
        </w:rPr>
        <w:t>In chemistry, esters are chemical compounds derived from an acid in which at least one –OH group is replaced by an –O–alkyl group. Usually, esters are derived from a carboxylic acid and an alcohol.</w:t>
      </w:r>
      <w:r w:rsidR="00957511" w:rsidRPr="00957511">
        <w:rPr>
          <w:rFonts w:ascii="Arial" w:hAnsi="Arial" w:cs="Arial"/>
          <w:noProof/>
          <w:sz w:val="20"/>
          <w:szCs w:val="20"/>
          <w:lang w:eastAsia="en-CA"/>
        </w:rPr>
        <w:t xml:space="preserve"> </w:t>
      </w:r>
      <w:r w:rsidR="00957511">
        <w:rPr>
          <w:rFonts w:ascii="Arial" w:hAnsi="Arial" w:cs="Arial"/>
          <w:noProof/>
          <w:sz w:val="20"/>
          <w:szCs w:val="20"/>
          <w:lang w:eastAsia="en-CA"/>
        </w:rPr>
        <w:drawing>
          <wp:inline distT="0" distB="0" distL="0" distR="0" wp14:anchorId="7BA73637" wp14:editId="58D7D836">
            <wp:extent cx="1844703" cy="1415694"/>
            <wp:effectExtent l="0" t="0" r="3175" b="0"/>
            <wp:docPr id="11" name="Picture 11" descr="Image result for 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este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51923" cy="1421235"/>
                    </a:xfrm>
                    <a:prstGeom prst="rect">
                      <a:avLst/>
                    </a:prstGeom>
                    <a:noFill/>
                    <a:ln>
                      <a:noFill/>
                    </a:ln>
                  </pic:spPr>
                </pic:pic>
              </a:graphicData>
            </a:graphic>
          </wp:inline>
        </w:drawing>
      </w:r>
      <w:r w:rsidR="00B42E79">
        <w:rPr>
          <w:rFonts w:ascii="Arial" w:hAnsi="Arial" w:cs="Arial"/>
          <w:noProof/>
          <w:sz w:val="20"/>
          <w:szCs w:val="20"/>
          <w:lang w:eastAsia="en-CA"/>
        </w:rPr>
        <w:t xml:space="preserve">A diester is a compound with 2 esters. </w:t>
      </w:r>
    </w:p>
    <w:p w14:paraId="0AC768A3" w14:textId="5FFE8AF2" w:rsidR="00957511" w:rsidRDefault="00B42E79">
      <w:pPr>
        <w:rPr>
          <w:rFonts w:ascii="Arial" w:hAnsi="Arial" w:cs="Arial"/>
          <w:color w:val="666666"/>
          <w:sz w:val="20"/>
          <w:szCs w:val="20"/>
          <w:lang w:val="en"/>
        </w:rPr>
      </w:pPr>
      <w:r>
        <w:rPr>
          <w:rFonts w:ascii="Arial" w:hAnsi="Arial" w:cs="Arial"/>
          <w:noProof/>
          <w:sz w:val="20"/>
          <w:szCs w:val="20"/>
          <w:lang w:eastAsia="en-CA"/>
        </w:rPr>
        <w:lastRenderedPageBreak/>
        <w:drawing>
          <wp:inline distT="0" distB="0" distL="0" distR="0" wp14:anchorId="3B1574D9" wp14:editId="3092AA50">
            <wp:extent cx="3935896" cy="2950765"/>
            <wp:effectExtent l="0" t="0" r="7620" b="2540"/>
            <wp:docPr id="13" name="Picture 13" descr="Image result for Diester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Diester Bon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54025" cy="2964357"/>
                    </a:xfrm>
                    <a:prstGeom prst="rect">
                      <a:avLst/>
                    </a:prstGeom>
                    <a:noFill/>
                    <a:ln>
                      <a:noFill/>
                    </a:ln>
                  </pic:spPr>
                </pic:pic>
              </a:graphicData>
            </a:graphic>
          </wp:inline>
        </w:drawing>
      </w:r>
    </w:p>
    <w:p w14:paraId="41D30B73" w14:textId="296DE0B4" w:rsidR="00B42E79" w:rsidRPr="00B42E79" w:rsidRDefault="00B42E79">
      <w:pPr>
        <w:rPr>
          <w:rFonts w:ascii="Arial" w:hAnsi="Arial" w:cs="Arial"/>
          <w:color w:val="666666"/>
          <w:sz w:val="20"/>
          <w:szCs w:val="20"/>
          <w:lang w:val="en"/>
        </w:rPr>
      </w:pPr>
      <w:r w:rsidRPr="00B42E79">
        <w:rPr>
          <w:rFonts w:ascii="Arial" w:hAnsi="Arial" w:cs="Arial"/>
          <w:b/>
          <w:color w:val="666666"/>
          <w:sz w:val="20"/>
          <w:szCs w:val="20"/>
          <w:lang w:val="en"/>
        </w:rPr>
        <w:t>Oligonucleotide vs. polynucleotide:</w:t>
      </w:r>
      <w:r w:rsidRPr="00B42E79">
        <w:rPr>
          <w:rFonts w:ascii="Arial" w:hAnsi="Arial" w:cs="Arial"/>
          <w:color w:val="666666"/>
          <w:sz w:val="20"/>
          <w:szCs w:val="20"/>
          <w:lang w:val="en"/>
        </w:rPr>
        <w:t xml:space="preserve"> A short nucleic acid is referred to as an </w:t>
      </w:r>
      <w:r w:rsidRPr="00B80523">
        <w:rPr>
          <w:rFonts w:ascii="Arial" w:hAnsi="Arial" w:cs="Arial"/>
          <w:b/>
          <w:color w:val="666666"/>
          <w:sz w:val="20"/>
          <w:szCs w:val="20"/>
          <w:lang w:val="en"/>
        </w:rPr>
        <w:t>oligonucleotide.</w:t>
      </w:r>
      <w:r w:rsidRPr="00B42E79">
        <w:rPr>
          <w:rFonts w:ascii="Arial" w:hAnsi="Arial" w:cs="Arial"/>
          <w:color w:val="666666"/>
          <w:sz w:val="20"/>
          <w:szCs w:val="20"/>
          <w:lang w:val="en"/>
        </w:rPr>
        <w:t xml:space="preserve"> The definition of “short” is somewhat arbitrary, but polymers containing 50 or fewer nucleotides are generally called oligonucleotides. A longer nucleic acid is called a </w:t>
      </w:r>
      <w:r w:rsidRPr="00B80523">
        <w:rPr>
          <w:rFonts w:ascii="Arial" w:hAnsi="Arial" w:cs="Arial"/>
          <w:b/>
          <w:color w:val="666666"/>
          <w:sz w:val="20"/>
          <w:szCs w:val="20"/>
          <w:lang w:val="en"/>
        </w:rPr>
        <w:t>polynucleotide</w:t>
      </w:r>
      <w:r w:rsidRPr="00B42E79">
        <w:rPr>
          <w:rFonts w:ascii="Arial" w:hAnsi="Arial" w:cs="Arial"/>
          <w:color w:val="666666"/>
          <w:sz w:val="20"/>
          <w:szCs w:val="20"/>
          <w:lang w:val="en"/>
        </w:rPr>
        <w:t>.</w:t>
      </w:r>
    </w:p>
    <w:p w14:paraId="1904A643" w14:textId="45CF0669" w:rsidR="00957511" w:rsidRDefault="00B80523">
      <w:pPr>
        <w:rPr>
          <w:rFonts w:ascii="Arial" w:hAnsi="Arial" w:cs="Arial"/>
          <w:sz w:val="20"/>
          <w:szCs w:val="20"/>
        </w:rPr>
      </w:pPr>
      <w:r w:rsidRPr="00B80523">
        <w:rPr>
          <w:rFonts w:ascii="Arial" w:hAnsi="Arial" w:cs="Arial"/>
          <w:b/>
          <w:sz w:val="20"/>
          <w:szCs w:val="20"/>
        </w:rPr>
        <w:t xml:space="preserve">Free Terminal Groups: </w:t>
      </w:r>
      <w:r>
        <w:rPr>
          <w:rFonts w:ascii="Arial" w:hAnsi="Arial" w:cs="Arial"/>
          <w:b/>
          <w:sz w:val="20"/>
          <w:szCs w:val="20"/>
        </w:rPr>
        <w:t xml:space="preserve"> </w:t>
      </w:r>
      <w:r>
        <w:rPr>
          <w:rFonts w:ascii="Arial" w:hAnsi="Arial" w:cs="Arial"/>
          <w:sz w:val="20"/>
          <w:szCs w:val="20"/>
        </w:rPr>
        <w:t xml:space="preserve">refers to the ends of DNA. At one end of a DNA strand is a free phosphate group and at the other end is a free 3’ hydroxyl group. </w:t>
      </w:r>
      <w:r w:rsidRPr="00B80523">
        <w:rPr>
          <w:rFonts w:ascii="Arial" w:hAnsi="Arial" w:cs="Arial"/>
          <w:sz w:val="20"/>
          <w:szCs w:val="20"/>
        </w:rPr>
        <w:t>The hydroxyl groups of the sugar residues form hydrogen bonds with water. The phosphate groups, with a pKa near 0, are completely ionized and negatively charged at pH 7, and the negative charges are generally neutralized by ionic interactions with positive charges on proteins, metal ions, and polyamines.</w:t>
      </w:r>
      <w:r>
        <w:rPr>
          <w:rFonts w:ascii="Arial" w:hAnsi="Arial" w:cs="Arial"/>
          <w:sz w:val="20"/>
          <w:szCs w:val="20"/>
        </w:rPr>
        <w:t xml:space="preserve"> A DNA strand is synthesized from in the 5’-3’ direction as nucleotides are added to by reacting with the 3’ hydroxyl group in a condensation reaction to form a phosphodiester bond. </w:t>
      </w:r>
    </w:p>
    <w:p w14:paraId="3235CD5A" w14:textId="3CEB5BBE" w:rsidR="00B80523" w:rsidRDefault="00B80523">
      <w:pPr>
        <w:rPr>
          <w:rFonts w:ascii="Arial" w:hAnsi="Arial" w:cs="Arial"/>
          <w:sz w:val="20"/>
          <w:szCs w:val="20"/>
        </w:rPr>
      </w:pPr>
      <w:r w:rsidRPr="00B80523">
        <w:rPr>
          <w:rFonts w:ascii="Arial" w:hAnsi="Arial" w:cs="Arial"/>
          <w:b/>
          <w:sz w:val="20"/>
          <w:szCs w:val="20"/>
        </w:rPr>
        <w:t>5’ vs. 3’ Direction in a Polynucleotide:</w:t>
      </w:r>
      <w:r>
        <w:rPr>
          <w:rFonts w:ascii="Arial" w:hAnsi="Arial" w:cs="Arial"/>
          <w:sz w:val="20"/>
          <w:szCs w:val="20"/>
        </w:rPr>
        <w:t xml:space="preserve"> </w:t>
      </w:r>
      <w:r w:rsidRPr="00B80523">
        <w:rPr>
          <w:rFonts w:ascii="Arial" w:hAnsi="Arial" w:cs="Arial"/>
          <w:sz w:val="20"/>
          <w:szCs w:val="20"/>
        </w:rPr>
        <w:t>All the phosphodiester linkages in DNA and RNA have the s</w:t>
      </w:r>
      <w:r>
        <w:rPr>
          <w:rFonts w:ascii="Arial" w:hAnsi="Arial" w:cs="Arial"/>
          <w:sz w:val="20"/>
          <w:szCs w:val="20"/>
        </w:rPr>
        <w:t xml:space="preserve">ame orientation along the chain, </w:t>
      </w:r>
      <w:r w:rsidRPr="00B80523">
        <w:rPr>
          <w:rFonts w:ascii="Arial" w:hAnsi="Arial" w:cs="Arial"/>
          <w:sz w:val="20"/>
          <w:szCs w:val="20"/>
        </w:rPr>
        <w:t>giving each linear nucleic acid strand a s</w:t>
      </w:r>
      <w:r>
        <w:rPr>
          <w:rFonts w:ascii="Arial" w:hAnsi="Arial" w:cs="Arial"/>
          <w:sz w:val="20"/>
          <w:szCs w:val="20"/>
        </w:rPr>
        <w:t>pecific polarity and distinct 5’ and 3’ ends. By definition, the 5’</w:t>
      </w:r>
      <w:r w:rsidRPr="00B80523">
        <w:rPr>
          <w:rFonts w:ascii="Arial" w:hAnsi="Arial" w:cs="Arial"/>
          <w:sz w:val="20"/>
          <w:szCs w:val="20"/>
        </w:rPr>
        <w:t xml:space="preserve"> end l</w:t>
      </w:r>
      <w:r>
        <w:rPr>
          <w:rFonts w:ascii="Arial" w:hAnsi="Arial" w:cs="Arial"/>
          <w:sz w:val="20"/>
          <w:szCs w:val="20"/>
        </w:rPr>
        <w:t>acks a nucleotide at the 5’ position and the 3’</w:t>
      </w:r>
      <w:r w:rsidRPr="00B80523">
        <w:rPr>
          <w:rFonts w:ascii="Arial" w:hAnsi="Arial" w:cs="Arial"/>
          <w:sz w:val="20"/>
          <w:szCs w:val="20"/>
        </w:rPr>
        <w:t xml:space="preserve"> </w:t>
      </w:r>
      <w:r>
        <w:rPr>
          <w:rFonts w:ascii="Arial" w:hAnsi="Arial" w:cs="Arial"/>
          <w:sz w:val="20"/>
          <w:szCs w:val="20"/>
        </w:rPr>
        <w:t>end lacks a nucleotide at the 3’</w:t>
      </w:r>
      <w:r w:rsidRPr="00B80523">
        <w:rPr>
          <w:rFonts w:ascii="Arial" w:hAnsi="Arial" w:cs="Arial"/>
          <w:sz w:val="20"/>
          <w:szCs w:val="20"/>
        </w:rPr>
        <w:t xml:space="preserve"> position.</w:t>
      </w:r>
    </w:p>
    <w:p w14:paraId="2C2B6337" w14:textId="056C9AC2" w:rsidR="00B80523" w:rsidRDefault="00B80523">
      <w:pPr>
        <w:rPr>
          <w:rFonts w:ascii="Arial" w:hAnsi="Arial" w:cs="Arial"/>
          <w:sz w:val="20"/>
          <w:szCs w:val="20"/>
        </w:rPr>
      </w:pPr>
      <w:r w:rsidRPr="00B80523">
        <w:rPr>
          <w:rFonts w:ascii="Arial" w:hAnsi="Arial" w:cs="Arial"/>
          <w:b/>
          <w:sz w:val="20"/>
          <w:szCs w:val="20"/>
        </w:rPr>
        <w:t>Carbonic Anhydride (Carboxylic Acid Anhydride):</w:t>
      </w:r>
      <w:r w:rsidR="00FD2744">
        <w:rPr>
          <w:rFonts w:ascii="Arial" w:hAnsi="Arial" w:cs="Arial"/>
          <w:sz w:val="20"/>
          <w:szCs w:val="20"/>
        </w:rPr>
        <w:t xml:space="preserve"> </w:t>
      </w:r>
    </w:p>
    <w:p w14:paraId="3279B63B" w14:textId="19DBAADE" w:rsidR="00FD2744" w:rsidRDefault="00FD2744">
      <w:pPr>
        <w:rPr>
          <w:rFonts w:ascii="Arial" w:hAnsi="Arial" w:cs="Arial"/>
          <w:b/>
          <w:sz w:val="20"/>
          <w:szCs w:val="20"/>
        </w:rPr>
      </w:pPr>
      <w:r>
        <w:rPr>
          <w:rFonts w:ascii="Arial" w:hAnsi="Arial" w:cs="Arial"/>
          <w:noProof/>
          <w:sz w:val="20"/>
          <w:szCs w:val="20"/>
          <w:lang w:eastAsia="en-CA"/>
        </w:rPr>
        <w:drawing>
          <wp:inline distT="0" distB="0" distL="0" distR="0" wp14:anchorId="7E199029" wp14:editId="0A2072AA">
            <wp:extent cx="2480807" cy="1293331"/>
            <wp:effectExtent l="0" t="0" r="0" b="2540"/>
            <wp:docPr id="14" name="Picture 14" descr="Image result for anhydr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 result for anhydrid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95450" cy="1300965"/>
                    </a:xfrm>
                    <a:prstGeom prst="rect">
                      <a:avLst/>
                    </a:prstGeom>
                    <a:noFill/>
                    <a:ln>
                      <a:noFill/>
                    </a:ln>
                  </pic:spPr>
                </pic:pic>
              </a:graphicData>
            </a:graphic>
          </wp:inline>
        </w:drawing>
      </w:r>
    </w:p>
    <w:p w14:paraId="4C477358" w14:textId="77777777" w:rsidR="00AF12FC" w:rsidRDefault="00AF12FC">
      <w:pPr>
        <w:rPr>
          <w:rFonts w:ascii="Arial" w:hAnsi="Arial" w:cs="Arial"/>
          <w:b/>
          <w:sz w:val="20"/>
          <w:szCs w:val="20"/>
        </w:rPr>
      </w:pPr>
    </w:p>
    <w:p w14:paraId="41C968F1" w14:textId="77777777" w:rsidR="00AF12FC" w:rsidRDefault="00AF12FC">
      <w:pPr>
        <w:rPr>
          <w:rFonts w:ascii="Arial" w:hAnsi="Arial" w:cs="Arial"/>
          <w:b/>
          <w:sz w:val="20"/>
          <w:szCs w:val="20"/>
        </w:rPr>
      </w:pPr>
    </w:p>
    <w:p w14:paraId="2FD0C424" w14:textId="77777777" w:rsidR="00AF12FC" w:rsidRDefault="00AF12FC">
      <w:pPr>
        <w:rPr>
          <w:rFonts w:ascii="Arial" w:hAnsi="Arial" w:cs="Arial"/>
          <w:b/>
          <w:sz w:val="20"/>
          <w:szCs w:val="20"/>
        </w:rPr>
      </w:pPr>
    </w:p>
    <w:p w14:paraId="0CFBBA8C" w14:textId="77777777" w:rsidR="00AF12FC" w:rsidRDefault="00AF12FC">
      <w:pPr>
        <w:rPr>
          <w:rFonts w:ascii="Arial" w:hAnsi="Arial" w:cs="Arial"/>
          <w:b/>
          <w:sz w:val="20"/>
          <w:szCs w:val="20"/>
        </w:rPr>
      </w:pPr>
    </w:p>
    <w:p w14:paraId="1B36C897" w14:textId="77016E91" w:rsidR="00FD2744" w:rsidRDefault="00AF12FC">
      <w:pPr>
        <w:rPr>
          <w:rFonts w:ascii="Arial" w:hAnsi="Arial" w:cs="Arial"/>
          <w:b/>
          <w:sz w:val="20"/>
          <w:szCs w:val="20"/>
        </w:rPr>
      </w:pPr>
      <w:r>
        <w:rPr>
          <w:rFonts w:ascii="Arial" w:hAnsi="Arial" w:cs="Arial"/>
          <w:b/>
          <w:sz w:val="20"/>
          <w:szCs w:val="20"/>
        </w:rPr>
        <w:lastRenderedPageBreak/>
        <w:t xml:space="preserve">Phosphate Anhydride: </w:t>
      </w:r>
    </w:p>
    <w:p w14:paraId="725D4B3C" w14:textId="303048BA" w:rsidR="00AF12FC" w:rsidRDefault="00AF12FC">
      <w:pPr>
        <w:rPr>
          <w:rFonts w:ascii="Arial" w:hAnsi="Arial" w:cs="Arial"/>
          <w:b/>
          <w:sz w:val="20"/>
          <w:szCs w:val="20"/>
        </w:rPr>
      </w:pPr>
      <w:r>
        <w:rPr>
          <w:rFonts w:ascii="Arial" w:hAnsi="Arial" w:cs="Arial"/>
          <w:noProof/>
          <w:sz w:val="20"/>
          <w:szCs w:val="20"/>
          <w:lang w:eastAsia="en-CA"/>
        </w:rPr>
        <w:drawing>
          <wp:inline distT="0" distB="0" distL="0" distR="0" wp14:anchorId="526B3704" wp14:editId="30E83343">
            <wp:extent cx="2560320" cy="771525"/>
            <wp:effectExtent l="0" t="0" r="0" b="9525"/>
            <wp:docPr id="15" name="Picture 15" descr="Image result for phosphate anhydr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mage result for phosphate anhydrid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60320" cy="771525"/>
                    </a:xfrm>
                    <a:prstGeom prst="rect">
                      <a:avLst/>
                    </a:prstGeom>
                    <a:noFill/>
                    <a:ln>
                      <a:noFill/>
                    </a:ln>
                  </pic:spPr>
                </pic:pic>
              </a:graphicData>
            </a:graphic>
          </wp:inline>
        </w:drawing>
      </w:r>
    </w:p>
    <w:p w14:paraId="4762E66E" w14:textId="50383687" w:rsidR="00AF12FC" w:rsidRDefault="00892766" w:rsidP="00892766">
      <w:pPr>
        <w:rPr>
          <w:rFonts w:ascii="Arial" w:hAnsi="Arial" w:cs="Arial"/>
          <w:sz w:val="20"/>
          <w:szCs w:val="20"/>
        </w:rPr>
      </w:pPr>
      <w:r>
        <w:rPr>
          <w:rFonts w:ascii="Arial" w:hAnsi="Arial" w:cs="Arial"/>
          <w:b/>
          <w:sz w:val="20"/>
          <w:szCs w:val="20"/>
        </w:rPr>
        <w:t xml:space="preserve">ATP vs. ADP vs. AMP: </w:t>
      </w:r>
      <w:r w:rsidRPr="00892766">
        <w:rPr>
          <w:rFonts w:ascii="Arial" w:hAnsi="Arial" w:cs="Arial"/>
          <w:sz w:val="20"/>
          <w:szCs w:val="20"/>
        </w:rPr>
        <w:t xml:space="preserve">The phosphate group covalently linked at the 5’ hydroxyl of adensoine may have one or two additional phosphates attached. The resulting molecules are referred to as </w:t>
      </w:r>
      <w:r>
        <w:rPr>
          <w:rFonts w:ascii="Arial" w:hAnsi="Arial" w:cs="Arial"/>
          <w:sz w:val="20"/>
          <w:szCs w:val="20"/>
        </w:rPr>
        <w:t xml:space="preserve">adenosine </w:t>
      </w:r>
      <w:r w:rsidRPr="00892766">
        <w:rPr>
          <w:rFonts w:ascii="Arial" w:hAnsi="Arial" w:cs="Arial"/>
          <w:b/>
          <w:sz w:val="20"/>
          <w:szCs w:val="20"/>
        </w:rPr>
        <w:t>mono</w:t>
      </w:r>
      <w:r w:rsidRPr="00892766">
        <w:rPr>
          <w:rFonts w:ascii="Arial" w:hAnsi="Arial" w:cs="Arial"/>
          <w:sz w:val="20"/>
          <w:szCs w:val="20"/>
        </w:rPr>
        <w:t xml:space="preserve">-, </w:t>
      </w:r>
      <w:r w:rsidRPr="00892766">
        <w:rPr>
          <w:rFonts w:ascii="Arial" w:hAnsi="Arial" w:cs="Arial"/>
          <w:b/>
          <w:sz w:val="20"/>
          <w:szCs w:val="20"/>
        </w:rPr>
        <w:t>di-</w:t>
      </w:r>
      <w:r w:rsidRPr="00892766">
        <w:rPr>
          <w:rFonts w:ascii="Arial" w:hAnsi="Arial" w:cs="Arial"/>
          <w:sz w:val="20"/>
          <w:szCs w:val="20"/>
        </w:rPr>
        <w:t xml:space="preserve">, and </w:t>
      </w:r>
      <w:r w:rsidRPr="00892766">
        <w:rPr>
          <w:rFonts w:ascii="Arial" w:hAnsi="Arial" w:cs="Arial"/>
          <w:b/>
          <w:sz w:val="20"/>
          <w:szCs w:val="20"/>
        </w:rPr>
        <w:t>triphosphate</w:t>
      </w:r>
      <w:r>
        <w:rPr>
          <w:rFonts w:ascii="Arial" w:hAnsi="Arial" w:cs="Arial"/>
          <w:sz w:val="20"/>
          <w:szCs w:val="20"/>
        </w:rPr>
        <w:t xml:space="preserve">. </w:t>
      </w:r>
      <w:r w:rsidRPr="00892766">
        <w:rPr>
          <w:rFonts w:ascii="Arial" w:hAnsi="Arial" w:cs="Arial"/>
          <w:sz w:val="20"/>
          <w:szCs w:val="20"/>
        </w:rPr>
        <w:t>Starting from the ribose, the three phosphates ar</w:t>
      </w:r>
      <w:r>
        <w:rPr>
          <w:rFonts w:ascii="Arial" w:hAnsi="Arial" w:cs="Arial"/>
          <w:sz w:val="20"/>
          <w:szCs w:val="20"/>
        </w:rPr>
        <w:t xml:space="preserve">e generally labeled alpha, beta and gamma. Hydrolysis of </w:t>
      </w:r>
      <w:r w:rsidRPr="00892766">
        <w:rPr>
          <w:rFonts w:ascii="Arial" w:hAnsi="Arial" w:cs="Arial"/>
          <w:sz w:val="20"/>
          <w:szCs w:val="20"/>
        </w:rPr>
        <w:t>nucleoside triphosphates</w:t>
      </w:r>
      <w:r>
        <w:rPr>
          <w:rFonts w:ascii="Arial" w:hAnsi="Arial" w:cs="Arial"/>
          <w:sz w:val="20"/>
          <w:szCs w:val="20"/>
        </w:rPr>
        <w:t xml:space="preserve"> like ATP</w:t>
      </w:r>
      <w:r w:rsidRPr="00892766">
        <w:rPr>
          <w:rFonts w:ascii="Arial" w:hAnsi="Arial" w:cs="Arial"/>
          <w:sz w:val="20"/>
          <w:szCs w:val="20"/>
        </w:rPr>
        <w:t xml:space="preserve"> provides the chemical energy to drive many </w:t>
      </w:r>
      <w:r>
        <w:rPr>
          <w:rFonts w:ascii="Arial" w:hAnsi="Arial" w:cs="Arial"/>
          <w:sz w:val="20"/>
          <w:szCs w:val="20"/>
        </w:rPr>
        <w:t>cellular reactions because the breaking of the bond between phosphate groups releases a lot of energy. Adenosine 5’</w:t>
      </w:r>
      <w:r w:rsidRPr="00892766">
        <w:rPr>
          <w:rFonts w:ascii="Arial" w:hAnsi="Arial" w:cs="Arial"/>
          <w:sz w:val="20"/>
          <w:szCs w:val="20"/>
        </w:rPr>
        <w:t>-triphosphate, ATP, is by far</w:t>
      </w:r>
      <w:r>
        <w:rPr>
          <w:rFonts w:ascii="Arial" w:hAnsi="Arial" w:cs="Arial"/>
          <w:sz w:val="20"/>
          <w:szCs w:val="20"/>
        </w:rPr>
        <w:t xml:space="preserve"> the most widely used for this </w:t>
      </w:r>
      <w:r w:rsidRPr="00892766">
        <w:rPr>
          <w:rFonts w:ascii="Arial" w:hAnsi="Arial" w:cs="Arial"/>
          <w:sz w:val="20"/>
          <w:szCs w:val="20"/>
        </w:rPr>
        <w:t>purpose</w:t>
      </w:r>
      <w:r>
        <w:rPr>
          <w:rFonts w:ascii="Arial" w:hAnsi="Arial" w:cs="Arial"/>
          <w:sz w:val="20"/>
          <w:szCs w:val="20"/>
        </w:rPr>
        <w:t xml:space="preserve">. </w:t>
      </w:r>
      <w:r w:rsidRPr="00892766">
        <w:rPr>
          <w:rFonts w:ascii="Arial" w:hAnsi="Arial" w:cs="Arial"/>
          <w:sz w:val="20"/>
          <w:szCs w:val="20"/>
        </w:rPr>
        <w:t>Nucleoside triphosphates also serve as the activated precursors of DNA and RNA synthesis</w:t>
      </w:r>
      <w:r>
        <w:rPr>
          <w:rFonts w:ascii="Arial" w:hAnsi="Arial" w:cs="Arial"/>
          <w:sz w:val="20"/>
          <w:szCs w:val="20"/>
        </w:rPr>
        <w:t xml:space="preserve">. </w:t>
      </w:r>
    </w:p>
    <w:p w14:paraId="48C12C09" w14:textId="77777777" w:rsidR="00892766" w:rsidRPr="00892766" w:rsidRDefault="00892766" w:rsidP="00892766">
      <w:pPr>
        <w:rPr>
          <w:rFonts w:ascii="Arial" w:hAnsi="Arial" w:cs="Arial"/>
          <w:sz w:val="20"/>
          <w:szCs w:val="20"/>
        </w:rPr>
      </w:pPr>
      <w:r w:rsidRPr="00892766">
        <w:rPr>
          <w:rFonts w:ascii="Arial" w:hAnsi="Arial" w:cs="Arial"/>
          <w:b/>
          <w:sz w:val="20"/>
          <w:szCs w:val="20"/>
        </w:rPr>
        <w:t>Pyrophosphate (PPi) vs. Inorganic Phosphate (Pi</w:t>
      </w:r>
      <w:r w:rsidRPr="00892766">
        <w:rPr>
          <w:rFonts w:ascii="Arial" w:hAnsi="Arial" w:cs="Arial"/>
          <w:sz w:val="20"/>
          <w:szCs w:val="20"/>
        </w:rPr>
        <w:t>): Pyrophosphates are very important in biochemistry. The anion P2O74− is abbreviated PPi and is formed by the hydrolysis of ATP into AMP in cells.</w:t>
      </w:r>
    </w:p>
    <w:p w14:paraId="35C333C1" w14:textId="77777777" w:rsidR="00892766" w:rsidRPr="00892766" w:rsidRDefault="00892766" w:rsidP="00892766">
      <w:pPr>
        <w:rPr>
          <w:rFonts w:ascii="Arial" w:hAnsi="Arial" w:cs="Arial"/>
          <w:sz w:val="20"/>
          <w:szCs w:val="20"/>
        </w:rPr>
      </w:pPr>
      <w:r w:rsidRPr="00892766">
        <w:rPr>
          <w:rFonts w:ascii="Arial" w:hAnsi="Arial" w:cs="Arial"/>
          <w:sz w:val="20"/>
          <w:szCs w:val="20"/>
        </w:rPr>
        <w:t>ATP → AMP + PPi</w:t>
      </w:r>
    </w:p>
    <w:p w14:paraId="0CCDDB15" w14:textId="0E208A35" w:rsidR="00892766" w:rsidRPr="00892766" w:rsidRDefault="00892766" w:rsidP="00892766">
      <w:pPr>
        <w:rPr>
          <w:rFonts w:ascii="Arial" w:hAnsi="Arial" w:cs="Arial"/>
          <w:sz w:val="20"/>
          <w:szCs w:val="20"/>
        </w:rPr>
      </w:pPr>
      <w:r w:rsidRPr="00892766">
        <w:rPr>
          <w:rFonts w:ascii="Arial" w:hAnsi="Arial" w:cs="Arial"/>
          <w:sz w:val="20"/>
          <w:szCs w:val="20"/>
        </w:rPr>
        <w:t>For example, when a nucleotide is incorporated into a growing DNA or RNA strand by a polymerase, pyrophosphate (PPi) is released. Pyro</w:t>
      </w:r>
      <w:r>
        <w:rPr>
          <w:rFonts w:ascii="Arial" w:hAnsi="Arial" w:cs="Arial"/>
          <w:sz w:val="20"/>
          <w:szCs w:val="20"/>
        </w:rPr>
        <w:t>-</w:t>
      </w:r>
      <w:r w:rsidRPr="00892766">
        <w:rPr>
          <w:rFonts w:ascii="Arial" w:hAnsi="Arial" w:cs="Arial"/>
          <w:sz w:val="20"/>
          <w:szCs w:val="20"/>
        </w:rPr>
        <w:t>phosphorolysis is the reverse of the polymerization reaction in which pyrophosphate reacts with the 3'-nucleosidemonophosphate (NMP or dNMP), which is removed from the oligonucleotide to release the corresponding triphosphate (dNTP from DNA, or N</w:t>
      </w:r>
      <w:r>
        <w:rPr>
          <w:rFonts w:ascii="Arial" w:hAnsi="Arial" w:cs="Arial"/>
          <w:sz w:val="20"/>
          <w:szCs w:val="20"/>
        </w:rPr>
        <w:t xml:space="preserve">TP from RNA). </w:t>
      </w:r>
      <w:r w:rsidRPr="00892766">
        <w:rPr>
          <w:rFonts w:ascii="Arial" w:hAnsi="Arial" w:cs="Arial"/>
          <w:sz w:val="20"/>
          <w:szCs w:val="20"/>
        </w:rPr>
        <w:t>The pyrophosphate anion has the structure P2O74−, and is an acid anhydride of phosphate. It is unstable in aqueous solution and hydrolyzes into</w:t>
      </w:r>
      <w:r w:rsidRPr="00892766">
        <w:rPr>
          <w:rFonts w:ascii="Arial" w:hAnsi="Arial" w:cs="Arial"/>
          <w:b/>
          <w:sz w:val="20"/>
          <w:szCs w:val="20"/>
        </w:rPr>
        <w:t xml:space="preserve"> inorganic phosphate</w:t>
      </w:r>
      <w:r w:rsidRPr="00892766">
        <w:rPr>
          <w:rFonts w:ascii="Arial" w:hAnsi="Arial" w:cs="Arial"/>
          <w:sz w:val="20"/>
          <w:szCs w:val="20"/>
        </w:rPr>
        <w:t>:</w:t>
      </w:r>
    </w:p>
    <w:p w14:paraId="23735621" w14:textId="77777777" w:rsidR="00892766" w:rsidRPr="00892766" w:rsidRDefault="00892766" w:rsidP="00892766">
      <w:pPr>
        <w:rPr>
          <w:rFonts w:ascii="Arial" w:hAnsi="Arial" w:cs="Arial"/>
          <w:sz w:val="20"/>
          <w:szCs w:val="20"/>
        </w:rPr>
      </w:pPr>
      <w:r w:rsidRPr="00892766">
        <w:rPr>
          <w:rFonts w:ascii="Arial" w:hAnsi="Arial" w:cs="Arial"/>
          <w:sz w:val="20"/>
          <w:szCs w:val="20"/>
        </w:rPr>
        <w:t>PPi + H2O → 2 Pi</w:t>
      </w:r>
    </w:p>
    <w:p w14:paraId="1790AD6A" w14:textId="1162BBDE" w:rsidR="00892766" w:rsidRDefault="00892766" w:rsidP="00892766">
      <w:pPr>
        <w:rPr>
          <w:rFonts w:ascii="Arial" w:hAnsi="Arial" w:cs="Arial"/>
          <w:sz w:val="20"/>
          <w:szCs w:val="20"/>
        </w:rPr>
      </w:pPr>
      <w:r w:rsidRPr="00892766">
        <w:rPr>
          <w:rFonts w:ascii="Arial" w:hAnsi="Arial" w:cs="Arial"/>
          <w:sz w:val="20"/>
          <w:szCs w:val="20"/>
        </w:rPr>
        <w:t xml:space="preserve">In the absence of enzymic catalysis, hydrolysis reactions of simple polyphosphates such as pyrophosphate, linear triphosphate, ADP, and ATP normally proceed extremely </w:t>
      </w:r>
      <w:r>
        <w:rPr>
          <w:rFonts w:ascii="Arial" w:hAnsi="Arial" w:cs="Arial"/>
          <w:sz w:val="20"/>
          <w:szCs w:val="20"/>
        </w:rPr>
        <w:t xml:space="preserve">slowly in all but highly acidic. </w:t>
      </w:r>
      <w:r w:rsidRPr="00892766">
        <w:rPr>
          <w:rFonts w:ascii="Arial" w:hAnsi="Arial" w:cs="Arial"/>
          <w:sz w:val="20"/>
          <w:szCs w:val="20"/>
        </w:rPr>
        <w:t>(The reverse of this reaction is a method of preparing pyropho</w:t>
      </w:r>
      <w:r>
        <w:rPr>
          <w:rFonts w:ascii="Arial" w:hAnsi="Arial" w:cs="Arial"/>
          <w:sz w:val="20"/>
          <w:szCs w:val="20"/>
        </w:rPr>
        <w:t xml:space="preserve">sphates by heating phosphates.) </w:t>
      </w:r>
      <w:r w:rsidRPr="00892766">
        <w:rPr>
          <w:rFonts w:ascii="Arial" w:hAnsi="Arial" w:cs="Arial"/>
          <w:sz w:val="20"/>
          <w:szCs w:val="20"/>
        </w:rPr>
        <w:t xml:space="preserve">This hydrolysis to inorganic phosphate effectively renders the cleavage of ATP to AMP and PPi </w:t>
      </w:r>
      <w:r w:rsidRPr="00892766">
        <w:rPr>
          <w:rFonts w:ascii="Arial" w:hAnsi="Arial" w:cs="Arial"/>
          <w:b/>
          <w:sz w:val="20"/>
          <w:szCs w:val="20"/>
        </w:rPr>
        <w:t>irreversible</w:t>
      </w:r>
      <w:r w:rsidRPr="00892766">
        <w:rPr>
          <w:rFonts w:ascii="Arial" w:hAnsi="Arial" w:cs="Arial"/>
          <w:sz w:val="20"/>
          <w:szCs w:val="20"/>
        </w:rPr>
        <w:t>, and biochemical reactions coupled to this hydrolysis are irreversible as well.</w:t>
      </w:r>
    </w:p>
    <w:p w14:paraId="13CDF85C" w14:textId="0C78EFEC" w:rsidR="00892766" w:rsidRDefault="002E58E1" w:rsidP="00892766">
      <w:pPr>
        <w:rPr>
          <w:rFonts w:ascii="Arial" w:hAnsi="Arial" w:cs="Arial"/>
          <w:sz w:val="20"/>
          <w:szCs w:val="20"/>
        </w:rPr>
      </w:pPr>
      <w:r>
        <w:rPr>
          <w:rFonts w:ascii="Arial" w:hAnsi="Arial" w:cs="Arial"/>
          <w:noProof/>
          <w:color w:val="001BA0"/>
          <w:sz w:val="20"/>
          <w:szCs w:val="20"/>
          <w:lang w:eastAsia="en-CA"/>
        </w:rPr>
        <w:drawing>
          <wp:inline distT="0" distB="0" distL="0" distR="0" wp14:anchorId="7AB30799" wp14:editId="2B8BD206">
            <wp:extent cx="2854325" cy="1685925"/>
            <wp:effectExtent l="0" t="0" r="3175" b="9525"/>
            <wp:docPr id="16" name="Picture 16" descr="https://tse1.mm.bing.net/th?&amp;id=OIP.M6d663dfb6356f350926a775dd62ceb6bo0&amp;w=300&amp;h=177&amp;c=0&amp;pid=1.9&amp;rs=0&amp;p=0&amp;r=0">
              <a:hlinkClick xmlns:a="http://schemas.openxmlformats.org/drawingml/2006/main" r:id="rId32"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tse1.mm.bing.net/th?&amp;id=OIP.M6d663dfb6356f350926a775dd62ceb6bo0&amp;w=300&amp;h=177&amp;c=0&amp;pid=1.9&amp;rs=0&amp;p=0&amp;r=0">
                      <a:hlinkClick r:id="rId32" tooltip="&quot;View image details&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4325" cy="1685925"/>
                    </a:xfrm>
                    <a:prstGeom prst="rect">
                      <a:avLst/>
                    </a:prstGeom>
                    <a:noFill/>
                    <a:ln>
                      <a:noFill/>
                    </a:ln>
                  </pic:spPr>
                </pic:pic>
              </a:graphicData>
            </a:graphic>
          </wp:inline>
        </w:drawing>
      </w:r>
    </w:p>
    <w:p w14:paraId="1698DA79" w14:textId="611E3694" w:rsidR="00495D31" w:rsidRDefault="00495D31" w:rsidP="00892766">
      <w:pPr>
        <w:rPr>
          <w:rFonts w:ascii="Arial" w:hAnsi="Arial" w:cs="Arial"/>
          <w:sz w:val="20"/>
          <w:szCs w:val="20"/>
        </w:rPr>
      </w:pPr>
      <w:r w:rsidRPr="00495D31">
        <w:rPr>
          <w:rFonts w:ascii="Arial" w:hAnsi="Arial" w:cs="Arial"/>
          <w:b/>
          <w:sz w:val="20"/>
          <w:szCs w:val="20"/>
        </w:rPr>
        <w:t>domain:</w:t>
      </w:r>
      <w:r w:rsidRPr="00495D31">
        <w:rPr>
          <w:rFonts w:ascii="Arial" w:hAnsi="Arial" w:cs="Arial"/>
          <w:sz w:val="20"/>
          <w:szCs w:val="20"/>
        </w:rPr>
        <w:t xml:space="preserve"> A distinct structural unit of a polypeptide; domains may have separate functions and may fold as independent, compact units</w:t>
      </w:r>
    </w:p>
    <w:p w14:paraId="3BCAFFF9" w14:textId="584E8659" w:rsidR="002E58E1" w:rsidRDefault="002E58E1" w:rsidP="00892766">
      <w:pPr>
        <w:rPr>
          <w:rFonts w:ascii="Arial" w:hAnsi="Arial" w:cs="Arial"/>
          <w:b/>
          <w:sz w:val="20"/>
          <w:szCs w:val="20"/>
        </w:rPr>
      </w:pPr>
      <w:r w:rsidRPr="002E58E1">
        <w:rPr>
          <w:rFonts w:ascii="Arial" w:hAnsi="Arial" w:cs="Arial"/>
          <w:b/>
          <w:sz w:val="20"/>
          <w:szCs w:val="20"/>
        </w:rPr>
        <w:t xml:space="preserve">U1-04: Acyl Group Transfer: </w:t>
      </w:r>
    </w:p>
    <w:p w14:paraId="4D21A92B" w14:textId="4F48DD56" w:rsidR="000606BE" w:rsidRPr="000606BE" w:rsidRDefault="002E58E1" w:rsidP="000606BE">
      <w:pPr>
        <w:rPr>
          <w:rFonts w:ascii="Arial" w:hAnsi="Arial" w:cs="Arial"/>
          <w:sz w:val="20"/>
          <w:szCs w:val="20"/>
        </w:rPr>
      </w:pPr>
      <w:r>
        <w:rPr>
          <w:rFonts w:ascii="Arial" w:hAnsi="Arial" w:cs="Arial"/>
          <w:b/>
          <w:sz w:val="20"/>
          <w:szCs w:val="20"/>
        </w:rPr>
        <w:t xml:space="preserve">Leaving Group vs. Attacking Group: </w:t>
      </w:r>
      <w:r w:rsidR="00773BDB" w:rsidRPr="00773BDB">
        <w:rPr>
          <w:rFonts w:ascii="Arial" w:hAnsi="Arial" w:cs="Arial"/>
          <w:sz w:val="20"/>
          <w:szCs w:val="20"/>
        </w:rPr>
        <w:t xml:space="preserve">In a reaction where one group breaks off from a molecule to become a separate molecule ("species"), that group is a leaving group. Calling something a leaving group </w:t>
      </w:r>
      <w:r w:rsidR="00773BDB" w:rsidRPr="00773BDB">
        <w:rPr>
          <w:rFonts w:ascii="Arial" w:hAnsi="Arial" w:cs="Arial"/>
          <w:sz w:val="20"/>
          <w:szCs w:val="20"/>
        </w:rPr>
        <w:lastRenderedPageBreak/>
        <w:t>does not say what atoms it contains</w:t>
      </w:r>
      <w:r w:rsidR="00B300A4" w:rsidRPr="00773BDB">
        <w:rPr>
          <w:rFonts w:ascii="Arial" w:hAnsi="Arial" w:cs="Arial"/>
          <w:sz w:val="20"/>
          <w:szCs w:val="20"/>
        </w:rPr>
        <w:t>.</w:t>
      </w:r>
      <w:r w:rsidR="00B300A4">
        <w:rPr>
          <w:rFonts w:ascii="Arial" w:hAnsi="Arial" w:cs="Arial"/>
          <w:sz w:val="20"/>
          <w:szCs w:val="20"/>
        </w:rPr>
        <w:t xml:space="preserve"> </w:t>
      </w:r>
      <w:r w:rsidR="00773BDB" w:rsidRPr="00773BDB">
        <w:rPr>
          <w:rFonts w:ascii="Arial" w:hAnsi="Arial" w:cs="Arial"/>
          <w:sz w:val="20"/>
          <w:szCs w:val="20"/>
        </w:rPr>
        <w:t>But sometimes the leaving group leaves behind a group that cannot exist as a stable species.</w:t>
      </w:r>
      <w:r w:rsidR="00773BDB">
        <w:rPr>
          <w:rFonts w:ascii="Arial" w:hAnsi="Arial" w:cs="Arial"/>
          <w:sz w:val="20"/>
          <w:szCs w:val="20"/>
        </w:rPr>
        <w:t xml:space="preserve"> </w:t>
      </w:r>
      <w:r w:rsidR="00773BDB" w:rsidRPr="00773BDB">
        <w:rPr>
          <w:rFonts w:ascii="Arial" w:hAnsi="Arial" w:cs="Arial"/>
          <w:sz w:val="20"/>
          <w:szCs w:val="20"/>
        </w:rPr>
        <w:t xml:space="preserve">A group that cannot exist stably alone (like an acyl) cannot be a </w:t>
      </w:r>
      <w:r w:rsidR="00773BDB" w:rsidRPr="00773BDB">
        <w:rPr>
          <w:rFonts w:ascii="Arial" w:hAnsi="Arial" w:cs="Arial"/>
          <w:b/>
          <w:sz w:val="20"/>
          <w:szCs w:val="20"/>
        </w:rPr>
        <w:t>leaving group</w:t>
      </w:r>
      <w:r w:rsidR="00773BDB" w:rsidRPr="00773BDB">
        <w:rPr>
          <w:rFonts w:ascii="Arial" w:hAnsi="Arial" w:cs="Arial"/>
          <w:sz w:val="20"/>
          <w:szCs w:val="20"/>
        </w:rPr>
        <w:t>: it can however be transferred, if another incoming group arrives in time to replace the leaving group. The role of the incoming group (in this case, an amine) is "</w:t>
      </w:r>
      <w:r w:rsidR="00773BDB" w:rsidRPr="00773BDB">
        <w:rPr>
          <w:rFonts w:ascii="Arial" w:hAnsi="Arial" w:cs="Arial"/>
          <w:b/>
          <w:sz w:val="20"/>
          <w:szCs w:val="20"/>
        </w:rPr>
        <w:t>attacking group</w:t>
      </w:r>
      <w:r w:rsidR="00773BDB" w:rsidRPr="00773BDB">
        <w:rPr>
          <w:rFonts w:ascii="Arial" w:hAnsi="Arial" w:cs="Arial"/>
          <w:sz w:val="20"/>
          <w:szCs w:val="20"/>
        </w:rPr>
        <w:t>"</w:t>
      </w:r>
      <w:r w:rsidR="00773BDB">
        <w:rPr>
          <w:rFonts w:ascii="Arial" w:hAnsi="Arial" w:cs="Arial"/>
          <w:sz w:val="20"/>
          <w:szCs w:val="20"/>
        </w:rPr>
        <w:t xml:space="preserve">. An </w:t>
      </w:r>
      <w:r w:rsidR="00773BDB" w:rsidRPr="00773BDB">
        <w:rPr>
          <w:rFonts w:ascii="Arial" w:hAnsi="Arial" w:cs="Arial"/>
          <w:sz w:val="20"/>
          <w:szCs w:val="20"/>
        </w:rPr>
        <w:t>attacking group is</w:t>
      </w:r>
      <w:r w:rsidR="00773BDB">
        <w:rPr>
          <w:rFonts w:ascii="Arial" w:hAnsi="Arial" w:cs="Arial"/>
          <w:sz w:val="20"/>
          <w:szCs w:val="20"/>
        </w:rPr>
        <w:t xml:space="preserve"> almost always</w:t>
      </w:r>
      <w:r w:rsidR="00773BDB" w:rsidRPr="00773BDB">
        <w:rPr>
          <w:rFonts w:ascii="Arial" w:hAnsi="Arial" w:cs="Arial"/>
          <w:sz w:val="20"/>
          <w:szCs w:val="20"/>
        </w:rPr>
        <w:t xml:space="preserve"> a </w:t>
      </w:r>
      <w:r w:rsidR="00773BDB" w:rsidRPr="00773BDB">
        <w:rPr>
          <w:rFonts w:ascii="Arial" w:hAnsi="Arial" w:cs="Arial"/>
          <w:b/>
          <w:sz w:val="20"/>
          <w:szCs w:val="20"/>
        </w:rPr>
        <w:t>NUCLEOPHILE</w:t>
      </w:r>
      <w:r w:rsidR="00773BDB" w:rsidRPr="00773BDB">
        <w:rPr>
          <w:rFonts w:ascii="Arial" w:hAnsi="Arial" w:cs="Arial"/>
          <w:sz w:val="20"/>
          <w:szCs w:val="20"/>
        </w:rPr>
        <w:t>, meaning it has an unshared pair of electrons on N or O.</w:t>
      </w:r>
      <w:r w:rsidR="00773BDB" w:rsidRPr="00773BDB">
        <w:t xml:space="preserve"> </w:t>
      </w:r>
      <w:r w:rsidR="00773BDB" w:rsidRPr="00773BDB">
        <w:rPr>
          <w:rFonts w:ascii="Arial" w:hAnsi="Arial" w:cs="Arial"/>
          <w:sz w:val="20"/>
          <w:szCs w:val="20"/>
        </w:rPr>
        <w:t xml:space="preserve">Conversely, the atom that is attacked (in the transferred group) will be an </w:t>
      </w:r>
      <w:r w:rsidR="00773BDB" w:rsidRPr="00773BDB">
        <w:rPr>
          <w:rFonts w:ascii="Arial" w:hAnsi="Arial" w:cs="Arial"/>
          <w:b/>
          <w:sz w:val="20"/>
          <w:szCs w:val="20"/>
        </w:rPr>
        <w:t>ELECTROPHILE</w:t>
      </w:r>
      <w:r w:rsidR="00773BDB" w:rsidRPr="00773BDB">
        <w:rPr>
          <w:rFonts w:ascii="Arial" w:hAnsi="Arial" w:cs="Arial"/>
          <w:sz w:val="20"/>
          <w:szCs w:val="20"/>
        </w:rPr>
        <w:t>, meaning it is electropositive (C or P)</w:t>
      </w:r>
      <w:r w:rsidR="00773BDB">
        <w:rPr>
          <w:rFonts w:ascii="Arial" w:hAnsi="Arial" w:cs="Arial"/>
          <w:sz w:val="20"/>
          <w:szCs w:val="20"/>
        </w:rPr>
        <w:t xml:space="preserve">. </w:t>
      </w:r>
      <w:r w:rsidR="00773BDB" w:rsidRPr="00773BDB">
        <w:rPr>
          <w:rFonts w:ascii="Arial" w:hAnsi="Arial" w:cs="Arial"/>
          <w:sz w:val="20"/>
          <w:szCs w:val="20"/>
        </w:rPr>
        <w:t>A group transfer reaction when reversed is simply a transfer in the other direction. Whatever was the leaving group in one reaction direction will be the attacking group in the opposite reaction direction.</w:t>
      </w:r>
      <w:r w:rsidR="000606BE">
        <w:rPr>
          <w:rFonts w:ascii="Arial" w:hAnsi="Arial" w:cs="Arial"/>
          <w:sz w:val="20"/>
          <w:szCs w:val="20"/>
        </w:rPr>
        <w:t xml:space="preserve"> -OH is a worse leaving group than a phosphate so in the cell. </w:t>
      </w:r>
      <w:r w:rsidR="000606BE" w:rsidRPr="000606BE">
        <w:rPr>
          <w:rFonts w:ascii="Arial" w:hAnsi="Arial" w:cs="Arial"/>
          <w:sz w:val="20"/>
          <w:szCs w:val="20"/>
        </w:rPr>
        <w:t xml:space="preserve">This means that polymerization of nucleotides or amino acids (making esters or amides) would not work efficiently if it relied on </w:t>
      </w:r>
      <w:r w:rsidR="000606BE">
        <w:rPr>
          <w:rFonts w:ascii="Arial" w:hAnsi="Arial" w:cs="Arial"/>
          <w:sz w:val="20"/>
          <w:szCs w:val="20"/>
        </w:rPr>
        <w:t>-</w:t>
      </w:r>
      <w:r w:rsidR="000606BE" w:rsidRPr="000606BE">
        <w:rPr>
          <w:rFonts w:ascii="Arial" w:hAnsi="Arial" w:cs="Arial"/>
          <w:sz w:val="20"/>
          <w:szCs w:val="20"/>
        </w:rPr>
        <w:t xml:space="preserve">OH to be the leaving group from the acid.  </w:t>
      </w:r>
      <w:r w:rsidR="000606BE">
        <w:rPr>
          <w:rFonts w:ascii="Arial" w:hAnsi="Arial" w:cs="Arial"/>
          <w:sz w:val="20"/>
          <w:szCs w:val="20"/>
        </w:rPr>
        <w:t xml:space="preserve">Therefore, </w:t>
      </w:r>
      <w:r w:rsidR="000606BE" w:rsidRPr="000606BE">
        <w:rPr>
          <w:rFonts w:ascii="Arial" w:hAnsi="Arial" w:cs="Arial"/>
          <w:sz w:val="20"/>
          <w:szCs w:val="20"/>
        </w:rPr>
        <w:t>polymerizing enzymes use acid derivatives instead of an acid functional group.</w:t>
      </w:r>
    </w:p>
    <w:p w14:paraId="5784D94D" w14:textId="52C44263" w:rsidR="002E58E1" w:rsidRDefault="000606BE" w:rsidP="000606BE">
      <w:pPr>
        <w:rPr>
          <w:lang w:val="en"/>
        </w:rPr>
      </w:pPr>
      <w:r w:rsidRPr="000606BE">
        <w:rPr>
          <w:rFonts w:ascii="Arial" w:hAnsi="Arial" w:cs="Arial"/>
          <w:sz w:val="20"/>
          <w:szCs w:val="20"/>
        </w:rPr>
        <w:t xml:space="preserve">For polymerization of nucleotides: Instead of monophosphates (dNMP, NMP), polymerases use </w:t>
      </w:r>
      <w:r>
        <w:rPr>
          <w:rFonts w:ascii="Arial" w:hAnsi="Arial" w:cs="Arial"/>
          <w:sz w:val="20"/>
          <w:szCs w:val="20"/>
        </w:rPr>
        <w:t>phosphor-</w:t>
      </w:r>
      <w:r w:rsidRPr="000606BE">
        <w:rPr>
          <w:rFonts w:ascii="Arial" w:hAnsi="Arial" w:cs="Arial"/>
          <w:sz w:val="20"/>
          <w:szCs w:val="20"/>
        </w:rPr>
        <w:t>anhydrides (i.e. nucleoside triphosphates, dNTP or NTP) The O atom in the OH group is</w:t>
      </w:r>
      <w:r>
        <w:rPr>
          <w:rFonts w:ascii="Arial" w:hAnsi="Arial" w:cs="Arial"/>
          <w:sz w:val="20"/>
          <w:szCs w:val="20"/>
        </w:rPr>
        <w:t xml:space="preserve"> </w:t>
      </w:r>
      <w:r w:rsidRPr="000606BE">
        <w:rPr>
          <w:rFonts w:ascii="Arial" w:hAnsi="Arial" w:cs="Arial"/>
          <w:b/>
          <w:sz w:val="20"/>
          <w:szCs w:val="20"/>
        </w:rPr>
        <w:t>ACTIVATED</w:t>
      </w:r>
      <w:r w:rsidRPr="000606BE">
        <w:rPr>
          <w:rFonts w:ascii="Arial" w:hAnsi="Arial" w:cs="Arial"/>
          <w:sz w:val="20"/>
          <w:szCs w:val="20"/>
        </w:rPr>
        <w:t xml:space="preserve"> for leaving, by being first incorporated into an anhydride.</w:t>
      </w:r>
      <w:r w:rsidR="009D0DB9">
        <w:rPr>
          <w:rFonts w:ascii="Arial" w:hAnsi="Arial" w:cs="Arial"/>
          <w:sz w:val="20"/>
          <w:szCs w:val="20"/>
        </w:rPr>
        <w:t xml:space="preserve"> </w:t>
      </w:r>
      <w:r w:rsidR="009D0DB9" w:rsidRPr="009D0DB9">
        <w:rPr>
          <w:rFonts w:ascii="Arial" w:hAnsi="Arial" w:cs="Arial"/>
          <w:sz w:val="20"/>
          <w:szCs w:val="20"/>
        </w:rPr>
        <w:t>In a great many metabolic reac</w:t>
      </w:r>
      <w:r w:rsidR="009D0DB9">
        <w:rPr>
          <w:rFonts w:ascii="Arial" w:hAnsi="Arial" w:cs="Arial"/>
          <w:sz w:val="20"/>
          <w:szCs w:val="20"/>
        </w:rPr>
        <w:t>tions, a phosphoryl group (OPO</w:t>
      </w:r>
      <w:r w:rsidR="009D0DB9" w:rsidRPr="009D0DB9">
        <w:rPr>
          <w:rFonts w:ascii="Arial" w:hAnsi="Arial" w:cs="Arial"/>
          <w:sz w:val="20"/>
          <w:szCs w:val="20"/>
        </w:rPr>
        <w:t xml:space="preserve">3 ) is transferred from ATP to an alcohol, </w:t>
      </w:r>
      <w:r w:rsidR="009D0DB9">
        <w:rPr>
          <w:rFonts w:ascii="Arial" w:hAnsi="Arial" w:cs="Arial"/>
          <w:sz w:val="20"/>
          <w:szCs w:val="20"/>
        </w:rPr>
        <w:t xml:space="preserve">forming a phosphate ester </w:t>
      </w:r>
      <w:r w:rsidR="009D0DB9" w:rsidRPr="009D0DB9">
        <w:rPr>
          <w:rFonts w:ascii="Arial" w:hAnsi="Arial" w:cs="Arial"/>
          <w:sz w:val="20"/>
          <w:szCs w:val="20"/>
        </w:rPr>
        <w:t>or to a carboxylic acid, forming a mixed anhydride.</w:t>
      </w:r>
      <w:r w:rsidR="009D0DB9">
        <w:rPr>
          <w:rFonts w:ascii="Arial" w:hAnsi="Arial" w:cs="Arial"/>
          <w:sz w:val="20"/>
          <w:szCs w:val="20"/>
        </w:rPr>
        <w:t xml:space="preserve"> </w:t>
      </w:r>
      <w:r w:rsidR="009D0DB9" w:rsidRPr="009D0DB9">
        <w:rPr>
          <w:rFonts w:ascii="Arial" w:hAnsi="Arial" w:cs="Arial"/>
          <w:sz w:val="20"/>
          <w:szCs w:val="20"/>
        </w:rPr>
        <w:t>A general theme in metabolism is the attachment of a good leaving group to a metabolic intermediate to “activate” the inter</w:t>
      </w:r>
      <w:r w:rsidR="009D0DB9">
        <w:rPr>
          <w:rFonts w:ascii="Arial" w:hAnsi="Arial" w:cs="Arial"/>
          <w:sz w:val="20"/>
          <w:szCs w:val="20"/>
        </w:rPr>
        <w:t xml:space="preserve">mediate for subsequent reaction which is what happens when a phosphoryl group is transferred from ATP to an alcohol or a carboxylic acid. </w:t>
      </w:r>
      <w:r w:rsidR="009D0DB9" w:rsidRPr="009D0DB9">
        <w:rPr>
          <w:rFonts w:ascii="Arial" w:hAnsi="Arial" w:cs="Arial"/>
          <w:sz w:val="20"/>
          <w:szCs w:val="20"/>
        </w:rPr>
        <w:t>Phosphoryl groups are not the only groups that activate molecules for reaction. Thio</w:t>
      </w:r>
      <w:r w:rsidR="004A080C">
        <w:rPr>
          <w:rFonts w:ascii="Arial" w:hAnsi="Arial" w:cs="Arial"/>
          <w:sz w:val="20"/>
          <w:szCs w:val="20"/>
        </w:rPr>
        <w:t>-</w:t>
      </w:r>
      <w:r w:rsidR="009D0DB9" w:rsidRPr="009D0DB9">
        <w:rPr>
          <w:rFonts w:ascii="Arial" w:hAnsi="Arial" w:cs="Arial"/>
          <w:sz w:val="20"/>
          <w:szCs w:val="20"/>
        </w:rPr>
        <w:t>alcohols (thiols), in which the oxygen atom of an alcohol is replaced with a sulfur atom, are also good leaving groups. Thiols activate carboxylic acids by forming thioesters (thiol esters).</w:t>
      </w:r>
    </w:p>
    <w:p w14:paraId="73B836C0" w14:textId="07060678" w:rsidR="00B300A4" w:rsidRDefault="00B300A4" w:rsidP="00892766">
      <w:pPr>
        <w:rPr>
          <w:lang w:val="en"/>
        </w:rPr>
      </w:pPr>
      <w:r w:rsidRPr="00B300A4">
        <w:rPr>
          <w:b/>
          <w:lang w:val="en"/>
        </w:rPr>
        <w:t>Group Transfer (Substitution) Reaction:</w:t>
      </w:r>
      <w:r>
        <w:rPr>
          <w:lang w:val="en"/>
        </w:rPr>
        <w:t xml:space="preserve"> </w:t>
      </w:r>
      <w:r w:rsidRPr="00B300A4">
        <w:rPr>
          <w:lang w:val="en"/>
        </w:rPr>
        <w:t>The transfer of acyl, glycosyl, and phosphoryl groups from one nucleophile to another is</w:t>
      </w:r>
      <w:r>
        <w:rPr>
          <w:lang w:val="en"/>
        </w:rPr>
        <w:t xml:space="preserve"> known as a group transfer reaction</w:t>
      </w:r>
      <w:r w:rsidRPr="00B300A4">
        <w:rPr>
          <w:lang w:val="en"/>
        </w:rPr>
        <w:t xml:space="preserve">. Acyl group transfer generally involves the addition of a </w:t>
      </w:r>
      <w:r w:rsidRPr="00B300A4">
        <w:rPr>
          <w:b/>
          <w:lang w:val="en"/>
        </w:rPr>
        <w:t>nucleophile</w:t>
      </w:r>
      <w:r w:rsidRPr="00B300A4">
        <w:rPr>
          <w:lang w:val="en"/>
        </w:rPr>
        <w:t xml:space="preserve"> to the carbonyl carbon of an acyl group to form a tetrahedral intermediate:</w:t>
      </w:r>
    </w:p>
    <w:p w14:paraId="0D32D581" w14:textId="1D1B0AD6" w:rsidR="00B300A4" w:rsidRDefault="00B300A4" w:rsidP="00892766">
      <w:pPr>
        <w:rPr>
          <w:rFonts w:ascii="Arial" w:hAnsi="Arial" w:cs="Arial"/>
          <w:sz w:val="20"/>
          <w:szCs w:val="20"/>
        </w:rPr>
      </w:pPr>
      <w:r>
        <w:rPr>
          <w:rFonts w:ascii="Arial" w:hAnsi="Arial" w:cs="Arial"/>
          <w:noProof/>
          <w:color w:val="001BA0"/>
          <w:sz w:val="20"/>
          <w:szCs w:val="20"/>
          <w:lang w:eastAsia="en-CA"/>
        </w:rPr>
        <w:drawing>
          <wp:inline distT="0" distB="0" distL="0" distR="0" wp14:anchorId="5D865F1A" wp14:editId="1B54BE73">
            <wp:extent cx="2361537" cy="1769445"/>
            <wp:effectExtent l="0" t="0" r="1270" b="2540"/>
            <wp:docPr id="3" name="Picture 3" descr="https://tse1.mm.bing.net/th?&amp;id=OIP.M207b04aa701cb12cf34b661f64ec3e4fo0&amp;w=300&amp;h=225&amp;c=0&amp;pid=1.9&amp;rs=0&amp;p=0&amp;r=0">
              <a:hlinkClick xmlns:a="http://schemas.openxmlformats.org/drawingml/2006/main" r:id="rId34"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1.mm.bing.net/th?&amp;id=OIP.M207b04aa701cb12cf34b661f64ec3e4fo0&amp;w=300&amp;h=225&amp;c=0&amp;pid=1.9&amp;rs=0&amp;p=0&amp;r=0">
                      <a:hlinkClick r:id="rId34" tooltip="&quot;View image details&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73850" cy="1778671"/>
                    </a:xfrm>
                    <a:prstGeom prst="rect">
                      <a:avLst/>
                    </a:prstGeom>
                    <a:noFill/>
                    <a:ln>
                      <a:noFill/>
                    </a:ln>
                  </pic:spPr>
                </pic:pic>
              </a:graphicData>
            </a:graphic>
          </wp:inline>
        </w:drawing>
      </w:r>
    </w:p>
    <w:p w14:paraId="317B6B0A" w14:textId="543E031D" w:rsidR="00B300A4" w:rsidRDefault="00B300A4" w:rsidP="00892766">
      <w:pPr>
        <w:rPr>
          <w:rFonts w:ascii="Arial" w:hAnsi="Arial" w:cs="Arial"/>
          <w:sz w:val="20"/>
          <w:szCs w:val="20"/>
        </w:rPr>
      </w:pPr>
      <w:r w:rsidRPr="00B300A4">
        <w:rPr>
          <w:rFonts w:ascii="Arial" w:hAnsi="Arial" w:cs="Arial"/>
          <w:b/>
          <w:sz w:val="20"/>
          <w:szCs w:val="20"/>
        </w:rPr>
        <w:t>Glycosyl group transfers</w:t>
      </w:r>
      <w:r w:rsidR="000606BE">
        <w:rPr>
          <w:rFonts w:ascii="Arial" w:hAnsi="Arial" w:cs="Arial"/>
          <w:b/>
          <w:sz w:val="20"/>
          <w:szCs w:val="20"/>
        </w:rPr>
        <w:t>:</w:t>
      </w:r>
      <w:r w:rsidRPr="00B300A4">
        <w:rPr>
          <w:rFonts w:ascii="Arial" w:hAnsi="Arial" w:cs="Arial"/>
          <w:sz w:val="20"/>
          <w:szCs w:val="20"/>
        </w:rPr>
        <w:t xml:space="preserve"> involve nucleophilic substitution at C-1 of a sugar ring, which is the central atom of an acetal. In principle, the substitution could proceed by an SN1 </w:t>
      </w:r>
      <w:r>
        <w:rPr>
          <w:rFonts w:ascii="Arial" w:hAnsi="Arial" w:cs="Arial"/>
          <w:sz w:val="20"/>
          <w:szCs w:val="20"/>
        </w:rPr>
        <w:t>or SN2 pathway</w:t>
      </w:r>
      <w:r w:rsidRPr="00B300A4">
        <w:rPr>
          <w:rFonts w:ascii="Arial" w:hAnsi="Arial" w:cs="Arial"/>
          <w:sz w:val="20"/>
          <w:szCs w:val="20"/>
        </w:rPr>
        <w:t>.</w:t>
      </w:r>
      <w:r>
        <w:rPr>
          <w:rFonts w:ascii="Arial" w:hAnsi="Arial" w:cs="Arial"/>
          <w:sz w:val="20"/>
          <w:szCs w:val="20"/>
        </w:rPr>
        <w:t xml:space="preserve"> </w:t>
      </w:r>
      <w:r w:rsidRPr="00B300A4">
        <w:rPr>
          <w:rFonts w:ascii="Arial" w:hAnsi="Arial" w:cs="Arial"/>
          <w:sz w:val="20"/>
          <w:szCs w:val="20"/>
        </w:rPr>
        <w:t>Phosphoryl group transfers play a special role in</w:t>
      </w:r>
      <w:r>
        <w:rPr>
          <w:rFonts w:ascii="Arial" w:hAnsi="Arial" w:cs="Arial"/>
          <w:sz w:val="20"/>
          <w:szCs w:val="20"/>
        </w:rPr>
        <w:t xml:space="preserve"> metabolic pathways.</w:t>
      </w:r>
      <w:r w:rsidRPr="00B300A4">
        <w:rPr>
          <w:rFonts w:ascii="Arial" w:hAnsi="Arial" w:cs="Arial"/>
          <w:sz w:val="20"/>
          <w:szCs w:val="20"/>
        </w:rPr>
        <w:t xml:space="preserve"> A general theme in metabolism is the attachment of a good leaving group to a metabolic intermediate to “activate” the intermediate for subsequent reaction. Among the better leaving groups in </w:t>
      </w:r>
      <w:r w:rsidRPr="00B300A4">
        <w:rPr>
          <w:rFonts w:ascii="Arial" w:hAnsi="Arial" w:cs="Arial"/>
          <w:b/>
          <w:sz w:val="20"/>
          <w:szCs w:val="20"/>
        </w:rPr>
        <w:t>nucleophilic substitution reactions</w:t>
      </w:r>
      <w:r w:rsidRPr="00B300A4">
        <w:rPr>
          <w:rFonts w:ascii="Arial" w:hAnsi="Arial" w:cs="Arial"/>
          <w:sz w:val="20"/>
          <w:szCs w:val="20"/>
        </w:rPr>
        <w:t xml:space="preserve"> are </w:t>
      </w:r>
      <w:r w:rsidRPr="00B300A4">
        <w:rPr>
          <w:rFonts w:ascii="Arial" w:hAnsi="Arial" w:cs="Arial"/>
          <w:b/>
          <w:sz w:val="20"/>
          <w:szCs w:val="20"/>
        </w:rPr>
        <w:t>inorganic orthophosphate</w:t>
      </w:r>
      <w:r w:rsidRPr="00B300A4">
        <w:rPr>
          <w:rFonts w:ascii="Arial" w:hAnsi="Arial" w:cs="Arial"/>
          <w:sz w:val="20"/>
          <w:szCs w:val="20"/>
        </w:rPr>
        <w:t xml:space="preserve"> (the ionized form of H3PO4 at neutral pH, a</w:t>
      </w:r>
      <w:r>
        <w:rPr>
          <w:rFonts w:ascii="Arial" w:hAnsi="Arial" w:cs="Arial"/>
          <w:sz w:val="20"/>
          <w:szCs w:val="20"/>
        </w:rPr>
        <w:t xml:space="preserve"> mixture of H2PO2  and HPO2</w:t>
      </w:r>
      <w:r w:rsidRPr="00B300A4">
        <w:rPr>
          <w:rFonts w:ascii="Arial" w:hAnsi="Arial" w:cs="Arial"/>
          <w:sz w:val="20"/>
          <w:szCs w:val="20"/>
        </w:rPr>
        <w:t xml:space="preserve">, commonly abbreviated Pi) and </w:t>
      </w:r>
      <w:r w:rsidRPr="00B300A4">
        <w:rPr>
          <w:rFonts w:ascii="Arial" w:hAnsi="Arial" w:cs="Arial"/>
          <w:b/>
          <w:sz w:val="20"/>
          <w:szCs w:val="20"/>
        </w:rPr>
        <w:t>inorganic pyrophosphate</w:t>
      </w:r>
      <w:r w:rsidR="00773BDB">
        <w:rPr>
          <w:rFonts w:ascii="Arial" w:hAnsi="Arial" w:cs="Arial"/>
          <w:sz w:val="20"/>
          <w:szCs w:val="20"/>
        </w:rPr>
        <w:t xml:space="preserve"> (P2O</w:t>
      </w:r>
      <w:r>
        <w:rPr>
          <w:rFonts w:ascii="Arial" w:hAnsi="Arial" w:cs="Arial"/>
          <w:sz w:val="20"/>
          <w:szCs w:val="20"/>
        </w:rPr>
        <w:t>7</w:t>
      </w:r>
      <w:r w:rsidRPr="00B300A4">
        <w:rPr>
          <w:rFonts w:ascii="Arial" w:hAnsi="Arial" w:cs="Arial"/>
          <w:sz w:val="20"/>
          <w:szCs w:val="20"/>
        </w:rPr>
        <w:t xml:space="preserve">, abbreviated PPi); esters and anhydrides of phosphoric acid are effectively activated for reaction. Nucleophilic substitution is made more favorable by the attachment of a phosphoryl group to an otherwise poor leaving group such as </w:t>
      </w:r>
      <w:r>
        <w:rPr>
          <w:rFonts w:ascii="Arial" w:hAnsi="Arial" w:cs="Arial"/>
          <w:sz w:val="20"/>
          <w:szCs w:val="20"/>
        </w:rPr>
        <w:t>-</w:t>
      </w:r>
      <w:r w:rsidRPr="00B300A4">
        <w:rPr>
          <w:rFonts w:ascii="Arial" w:hAnsi="Arial" w:cs="Arial"/>
          <w:sz w:val="20"/>
          <w:szCs w:val="20"/>
        </w:rPr>
        <w:t>OOH. Nucleophilic substitutions in which the phos</w:t>
      </w:r>
      <w:r w:rsidR="00773BDB">
        <w:rPr>
          <w:rFonts w:ascii="Arial" w:hAnsi="Arial" w:cs="Arial"/>
          <w:sz w:val="20"/>
          <w:szCs w:val="20"/>
        </w:rPr>
        <w:t xml:space="preserve">phoryl group (OPO2) </w:t>
      </w:r>
      <w:r w:rsidRPr="00B300A4">
        <w:rPr>
          <w:rFonts w:ascii="Arial" w:hAnsi="Arial" w:cs="Arial"/>
          <w:sz w:val="20"/>
          <w:szCs w:val="20"/>
        </w:rPr>
        <w:t>serves as a leaving group occur in hundreds of metabolic reactions.</w:t>
      </w:r>
    </w:p>
    <w:p w14:paraId="173B84E4" w14:textId="16A7D5F0" w:rsidR="00773BDB" w:rsidRDefault="00773BDB" w:rsidP="00892766">
      <w:pPr>
        <w:rPr>
          <w:rFonts w:ascii="Arial" w:hAnsi="Arial" w:cs="Arial"/>
          <w:sz w:val="20"/>
          <w:szCs w:val="20"/>
        </w:rPr>
      </w:pPr>
      <w:r>
        <w:rPr>
          <w:rFonts w:ascii="Arial" w:hAnsi="Arial" w:cs="Arial"/>
          <w:b/>
          <w:sz w:val="20"/>
          <w:szCs w:val="20"/>
        </w:rPr>
        <w:t xml:space="preserve">Acyl Group: </w:t>
      </w:r>
      <w:r w:rsidRPr="00773BDB">
        <w:rPr>
          <w:rFonts w:ascii="Arial" w:hAnsi="Arial" w:cs="Arial"/>
          <w:sz w:val="20"/>
          <w:szCs w:val="20"/>
        </w:rPr>
        <w:t xml:space="preserve">An acyl group is an acid that has lost its </w:t>
      </w:r>
      <w:r>
        <w:rPr>
          <w:rFonts w:ascii="Arial" w:hAnsi="Arial" w:cs="Arial"/>
          <w:sz w:val="20"/>
          <w:szCs w:val="20"/>
        </w:rPr>
        <w:t>-</w:t>
      </w:r>
      <w:r w:rsidRPr="00773BDB">
        <w:rPr>
          <w:rFonts w:ascii="Arial" w:hAnsi="Arial" w:cs="Arial"/>
          <w:sz w:val="20"/>
          <w:szCs w:val="20"/>
        </w:rPr>
        <w:t>OH (hydroxyl) group. Typically, acyl groups are not stable species in aqueous solution.</w:t>
      </w:r>
    </w:p>
    <w:p w14:paraId="3FC723A4" w14:textId="033FE149" w:rsidR="00773BDB" w:rsidRDefault="00773BDB" w:rsidP="00892766">
      <w:pPr>
        <w:rPr>
          <w:rFonts w:ascii="Arial" w:hAnsi="Arial" w:cs="Arial"/>
          <w:b/>
          <w:sz w:val="20"/>
          <w:szCs w:val="20"/>
        </w:rPr>
      </w:pPr>
      <w:r>
        <w:rPr>
          <w:rFonts w:ascii="Arial" w:hAnsi="Arial" w:cs="Arial"/>
          <w:noProof/>
          <w:color w:val="001BA0"/>
          <w:sz w:val="20"/>
          <w:szCs w:val="20"/>
          <w:lang w:eastAsia="en-CA"/>
        </w:rPr>
        <w:lastRenderedPageBreak/>
        <w:drawing>
          <wp:inline distT="0" distB="0" distL="0" distR="0" wp14:anchorId="1B6E259B" wp14:editId="1CC59D72">
            <wp:extent cx="2854325" cy="2003425"/>
            <wp:effectExtent l="0" t="0" r="3175" b="0"/>
            <wp:docPr id="12" name="Picture 12" descr="https://tse1.mm.bing.net/th?&amp;id=OIP.Mef322d1e607b1b9ea117cabc7dfbb0daH0&amp;w=300&amp;h=210&amp;c=0&amp;pid=1.9&amp;rs=0&amp;p=0&amp;r=0">
              <a:hlinkClick xmlns:a="http://schemas.openxmlformats.org/drawingml/2006/main" r:id="rId36"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1.mm.bing.net/th?&amp;id=OIP.Mef322d1e607b1b9ea117cabc7dfbb0daH0&amp;w=300&amp;h=210&amp;c=0&amp;pid=1.9&amp;rs=0&amp;p=0&amp;r=0">
                      <a:hlinkClick r:id="rId36" tooltip="&quot;View image details&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4325" cy="2003425"/>
                    </a:xfrm>
                    <a:prstGeom prst="rect">
                      <a:avLst/>
                    </a:prstGeom>
                    <a:noFill/>
                    <a:ln>
                      <a:noFill/>
                    </a:ln>
                  </pic:spPr>
                </pic:pic>
              </a:graphicData>
            </a:graphic>
          </wp:inline>
        </w:drawing>
      </w:r>
    </w:p>
    <w:p w14:paraId="44B250E3" w14:textId="16EF2D65" w:rsidR="00773BDB" w:rsidRDefault="000606BE" w:rsidP="00892766">
      <w:pPr>
        <w:rPr>
          <w:rFonts w:ascii="Arial" w:hAnsi="Arial" w:cs="Arial"/>
          <w:b/>
          <w:sz w:val="20"/>
          <w:szCs w:val="20"/>
        </w:rPr>
      </w:pPr>
      <w:r>
        <w:rPr>
          <w:rFonts w:ascii="Arial" w:hAnsi="Arial" w:cs="Arial"/>
          <w:b/>
          <w:sz w:val="20"/>
          <w:szCs w:val="20"/>
        </w:rPr>
        <w:t>Phosphoryl</w:t>
      </w:r>
      <w:r w:rsidR="00773BDB">
        <w:rPr>
          <w:rFonts w:ascii="Arial" w:hAnsi="Arial" w:cs="Arial"/>
          <w:b/>
          <w:sz w:val="20"/>
          <w:szCs w:val="20"/>
        </w:rPr>
        <w:t xml:space="preserve"> group: </w:t>
      </w:r>
      <w:r>
        <w:rPr>
          <w:lang w:val="en"/>
        </w:rPr>
        <w:t xml:space="preserve">A </w:t>
      </w:r>
      <w:r>
        <w:rPr>
          <w:b/>
          <w:bCs/>
          <w:lang w:val="en"/>
        </w:rPr>
        <w:t>phosphoryl group</w:t>
      </w:r>
      <w:r>
        <w:rPr>
          <w:lang w:val="en"/>
        </w:rPr>
        <w:t xml:space="preserve"> is the chemical entity PO</w:t>
      </w:r>
      <w:r>
        <w:rPr>
          <w:sz w:val="19"/>
          <w:szCs w:val="19"/>
          <w:vertAlign w:val="subscript"/>
          <w:lang w:val="en"/>
        </w:rPr>
        <w:t>3</w:t>
      </w:r>
      <w:r>
        <w:rPr>
          <w:sz w:val="19"/>
          <w:szCs w:val="19"/>
          <w:vertAlign w:val="superscript"/>
          <w:lang w:val="en"/>
        </w:rPr>
        <w:t>2-</w:t>
      </w:r>
      <w:r>
        <w:rPr>
          <w:lang w:val="en"/>
        </w:rPr>
        <w:t xml:space="preserve">. It may exist in different protonation states. The term is usually used to refer to compounds in which the phosphoryl group is attached to other atoms, e.g. </w:t>
      </w:r>
      <w:hyperlink r:id="rId38" w:tooltip="Phosphoryl chloride" w:history="1">
        <w:r>
          <w:rPr>
            <w:rStyle w:val="Hyperlink"/>
            <w:lang w:val="en"/>
          </w:rPr>
          <w:t>phosphoryl chloride</w:t>
        </w:r>
      </w:hyperlink>
      <w:r>
        <w:rPr>
          <w:lang w:val="en"/>
        </w:rPr>
        <w:t xml:space="preserve">, or in the description of catalytic mechanisms. In biochemical reactions involving phosphates (e.g. </w:t>
      </w:r>
      <w:hyperlink r:id="rId39" w:tooltip="Adenosine triphosphate" w:history="1">
        <w:r>
          <w:rPr>
            <w:rStyle w:val="Hyperlink"/>
            <w:lang w:val="en"/>
          </w:rPr>
          <w:t>Adenosine triphosphate</w:t>
        </w:r>
      </w:hyperlink>
      <w:r>
        <w:rPr>
          <w:lang w:val="en"/>
        </w:rPr>
        <w:t xml:space="preserve">), a phosphoryl group is usually transferred between the </w:t>
      </w:r>
      <w:hyperlink r:id="rId40" w:tooltip="Substrate (chemistry)" w:history="1">
        <w:r>
          <w:rPr>
            <w:rStyle w:val="Hyperlink"/>
            <w:lang w:val="en"/>
          </w:rPr>
          <w:t>substrates</w:t>
        </w:r>
      </w:hyperlink>
      <w:r>
        <w:rPr>
          <w:lang w:val="en"/>
        </w:rPr>
        <w:t xml:space="preserve"> (phosphoryl transfer reactions). A phosphoryl group should not be confused with a phosphate group.</w:t>
      </w:r>
    </w:p>
    <w:p w14:paraId="2C856F95" w14:textId="6A0A4780" w:rsidR="000606BE" w:rsidRDefault="000606BE" w:rsidP="00892766">
      <w:pPr>
        <w:rPr>
          <w:rFonts w:ascii="Arial" w:hAnsi="Arial" w:cs="Arial"/>
          <w:b/>
          <w:sz w:val="20"/>
          <w:szCs w:val="20"/>
        </w:rPr>
      </w:pPr>
      <w:r>
        <w:rPr>
          <w:rFonts w:ascii="Arial" w:hAnsi="Arial" w:cs="Arial"/>
          <w:noProof/>
          <w:sz w:val="20"/>
          <w:szCs w:val="20"/>
          <w:lang w:eastAsia="en-CA"/>
        </w:rPr>
        <w:drawing>
          <wp:inline distT="0" distB="0" distL="0" distR="0" wp14:anchorId="5D876551" wp14:editId="0FE4F770">
            <wp:extent cx="1045725" cy="2304288"/>
            <wp:effectExtent l="0" t="0" r="2540" b="1270"/>
            <wp:docPr id="17" name="Picture 17" descr="Image result for phosphoryl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hosphoryl group"/>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64523" cy="2345711"/>
                    </a:xfrm>
                    <a:prstGeom prst="rect">
                      <a:avLst/>
                    </a:prstGeom>
                    <a:noFill/>
                    <a:ln>
                      <a:noFill/>
                    </a:ln>
                  </pic:spPr>
                </pic:pic>
              </a:graphicData>
            </a:graphic>
          </wp:inline>
        </w:drawing>
      </w:r>
    </w:p>
    <w:p w14:paraId="2765DCC8" w14:textId="19F1D3A7" w:rsidR="000606BE" w:rsidRPr="00E41F9B" w:rsidRDefault="000606BE" w:rsidP="00892766">
      <w:pPr>
        <w:rPr>
          <w:rFonts w:ascii="Arial" w:hAnsi="Arial" w:cs="Arial"/>
          <w:sz w:val="20"/>
          <w:szCs w:val="20"/>
          <w:lang w:val="en"/>
        </w:rPr>
      </w:pPr>
      <w:r w:rsidRPr="00E41F9B">
        <w:rPr>
          <w:rFonts w:ascii="Arial" w:hAnsi="Arial" w:cs="Arial"/>
          <w:b/>
          <w:sz w:val="20"/>
          <w:szCs w:val="20"/>
        </w:rPr>
        <w:t xml:space="preserve">Biosynthesis Substrates and Products: </w:t>
      </w:r>
      <w:r w:rsidR="004A080C" w:rsidRPr="00E41F9B">
        <w:rPr>
          <w:rFonts w:ascii="Arial" w:hAnsi="Arial" w:cs="Arial"/>
          <w:b/>
          <w:bCs/>
          <w:sz w:val="20"/>
          <w:szCs w:val="20"/>
          <w:lang w:val="en"/>
        </w:rPr>
        <w:t>Biosynthesis</w:t>
      </w:r>
      <w:r w:rsidR="004A080C" w:rsidRPr="00E41F9B">
        <w:rPr>
          <w:rFonts w:ascii="Arial" w:hAnsi="Arial" w:cs="Arial"/>
          <w:sz w:val="20"/>
          <w:szCs w:val="20"/>
          <w:lang w:val="en"/>
        </w:rPr>
        <w:t xml:space="preserve"> (also called </w:t>
      </w:r>
      <w:r w:rsidR="004A080C" w:rsidRPr="00E41F9B">
        <w:rPr>
          <w:rFonts w:ascii="Arial" w:hAnsi="Arial" w:cs="Arial"/>
          <w:b/>
          <w:bCs/>
          <w:sz w:val="20"/>
          <w:szCs w:val="20"/>
          <w:lang w:val="en"/>
        </w:rPr>
        <w:t>biogenesis</w:t>
      </w:r>
      <w:r w:rsidR="004A080C" w:rsidRPr="00E41F9B">
        <w:rPr>
          <w:rFonts w:ascii="Arial" w:hAnsi="Arial" w:cs="Arial"/>
          <w:sz w:val="20"/>
          <w:szCs w:val="20"/>
          <w:lang w:val="en"/>
        </w:rPr>
        <w:t xml:space="preserve"> or </w:t>
      </w:r>
      <w:r w:rsidR="004A080C" w:rsidRPr="00E41F9B">
        <w:rPr>
          <w:rFonts w:ascii="Arial" w:hAnsi="Arial" w:cs="Arial"/>
          <w:b/>
          <w:bCs/>
          <w:sz w:val="20"/>
          <w:szCs w:val="20"/>
          <w:lang w:val="en"/>
        </w:rPr>
        <w:t>anabolism</w:t>
      </w:r>
      <w:r w:rsidR="004A080C" w:rsidRPr="00E41F9B">
        <w:rPr>
          <w:rFonts w:ascii="Arial" w:hAnsi="Arial" w:cs="Arial"/>
          <w:sz w:val="20"/>
          <w:szCs w:val="20"/>
          <w:lang w:val="en"/>
        </w:rPr>
        <w:t xml:space="preserve">) is a multi-step, </w:t>
      </w:r>
      <w:hyperlink r:id="rId42" w:tooltip="Enzyme" w:history="1">
        <w:r w:rsidR="004A080C" w:rsidRPr="00E41F9B">
          <w:rPr>
            <w:rStyle w:val="Hyperlink"/>
            <w:rFonts w:ascii="Arial" w:hAnsi="Arial" w:cs="Arial"/>
            <w:sz w:val="20"/>
            <w:szCs w:val="20"/>
            <w:lang w:val="en"/>
          </w:rPr>
          <w:t>enzyme</w:t>
        </w:r>
      </w:hyperlink>
      <w:r w:rsidR="004A080C" w:rsidRPr="00E41F9B">
        <w:rPr>
          <w:rFonts w:ascii="Arial" w:hAnsi="Arial" w:cs="Arial"/>
          <w:sz w:val="20"/>
          <w:szCs w:val="20"/>
          <w:lang w:val="en"/>
        </w:rPr>
        <w:t>-</w:t>
      </w:r>
      <w:hyperlink r:id="rId43" w:tooltip="Catalyst" w:history="1">
        <w:r w:rsidR="004A080C" w:rsidRPr="00E41F9B">
          <w:rPr>
            <w:rStyle w:val="Hyperlink"/>
            <w:rFonts w:ascii="Arial" w:hAnsi="Arial" w:cs="Arial"/>
            <w:sz w:val="20"/>
            <w:szCs w:val="20"/>
            <w:lang w:val="en"/>
          </w:rPr>
          <w:t>catalyzed</w:t>
        </w:r>
      </w:hyperlink>
      <w:r w:rsidR="004A080C" w:rsidRPr="00E41F9B">
        <w:rPr>
          <w:rFonts w:ascii="Arial" w:hAnsi="Arial" w:cs="Arial"/>
          <w:sz w:val="20"/>
          <w:szCs w:val="20"/>
          <w:lang w:val="en"/>
        </w:rPr>
        <w:t xml:space="preserve"> process where </w:t>
      </w:r>
      <w:hyperlink r:id="rId44" w:tooltip="Substrate (chemistry)" w:history="1">
        <w:r w:rsidR="004A080C" w:rsidRPr="00E41F9B">
          <w:rPr>
            <w:rStyle w:val="Hyperlink"/>
            <w:rFonts w:ascii="Arial" w:hAnsi="Arial" w:cs="Arial"/>
            <w:b/>
            <w:sz w:val="20"/>
            <w:szCs w:val="20"/>
            <w:lang w:val="en"/>
          </w:rPr>
          <w:t>substrates</w:t>
        </w:r>
      </w:hyperlink>
      <w:r w:rsidR="004A080C" w:rsidRPr="00E41F9B">
        <w:rPr>
          <w:rFonts w:ascii="Arial" w:hAnsi="Arial" w:cs="Arial"/>
          <w:b/>
          <w:sz w:val="20"/>
          <w:szCs w:val="20"/>
          <w:lang w:val="en"/>
        </w:rPr>
        <w:t xml:space="preserve"> </w:t>
      </w:r>
      <w:r w:rsidR="004A080C" w:rsidRPr="00E41F9B">
        <w:rPr>
          <w:rFonts w:ascii="Arial" w:hAnsi="Arial" w:cs="Arial"/>
          <w:sz w:val="20"/>
          <w:szCs w:val="20"/>
          <w:lang w:val="en"/>
        </w:rPr>
        <w:t xml:space="preserve">(reactants) are converted into more complex </w:t>
      </w:r>
      <w:hyperlink r:id="rId45" w:tooltip="Product (chemistry)" w:history="1">
        <w:r w:rsidR="004A080C" w:rsidRPr="00E41F9B">
          <w:rPr>
            <w:rStyle w:val="Hyperlink"/>
            <w:rFonts w:ascii="Arial" w:hAnsi="Arial" w:cs="Arial"/>
            <w:sz w:val="20"/>
            <w:szCs w:val="20"/>
            <w:lang w:val="en"/>
          </w:rPr>
          <w:t>products</w:t>
        </w:r>
      </w:hyperlink>
      <w:r w:rsidR="004A080C" w:rsidRPr="00E41F9B">
        <w:rPr>
          <w:rFonts w:ascii="Arial" w:hAnsi="Arial" w:cs="Arial"/>
          <w:sz w:val="20"/>
          <w:szCs w:val="20"/>
          <w:lang w:val="en"/>
        </w:rPr>
        <w:t xml:space="preserve"> in living organisms. In biosynthesis, simple </w:t>
      </w:r>
      <w:hyperlink r:id="rId46" w:tooltip="Chemical compound" w:history="1">
        <w:r w:rsidR="004A080C" w:rsidRPr="00E41F9B">
          <w:rPr>
            <w:rStyle w:val="Hyperlink"/>
            <w:rFonts w:ascii="Arial" w:hAnsi="Arial" w:cs="Arial"/>
            <w:sz w:val="20"/>
            <w:szCs w:val="20"/>
            <w:lang w:val="en"/>
          </w:rPr>
          <w:t>compounds</w:t>
        </w:r>
      </w:hyperlink>
      <w:r w:rsidR="004A080C" w:rsidRPr="00E41F9B">
        <w:rPr>
          <w:rFonts w:ascii="Arial" w:hAnsi="Arial" w:cs="Arial"/>
          <w:sz w:val="20"/>
          <w:szCs w:val="20"/>
          <w:lang w:val="en"/>
        </w:rPr>
        <w:t xml:space="preserve"> are modified, converted into other compounds, or joined together to form </w:t>
      </w:r>
      <w:hyperlink r:id="rId47" w:tooltip="Macromolecules" w:history="1">
        <w:r w:rsidR="004A080C" w:rsidRPr="00E41F9B">
          <w:rPr>
            <w:rStyle w:val="Hyperlink"/>
            <w:rFonts w:ascii="Arial" w:hAnsi="Arial" w:cs="Arial"/>
            <w:sz w:val="20"/>
            <w:szCs w:val="20"/>
            <w:lang w:val="en"/>
          </w:rPr>
          <w:t>macromolecules</w:t>
        </w:r>
      </w:hyperlink>
      <w:r w:rsidR="004A080C" w:rsidRPr="00E41F9B">
        <w:rPr>
          <w:rFonts w:ascii="Arial" w:hAnsi="Arial" w:cs="Arial"/>
          <w:sz w:val="20"/>
          <w:szCs w:val="20"/>
          <w:lang w:val="en"/>
        </w:rPr>
        <w:t xml:space="preserve">. This process often consists of </w:t>
      </w:r>
      <w:hyperlink r:id="rId48" w:tooltip="Metabolic pathway" w:history="1">
        <w:r w:rsidR="004A080C" w:rsidRPr="00E41F9B">
          <w:rPr>
            <w:rStyle w:val="Hyperlink"/>
            <w:rFonts w:ascii="Arial" w:hAnsi="Arial" w:cs="Arial"/>
            <w:sz w:val="20"/>
            <w:szCs w:val="20"/>
            <w:lang w:val="en"/>
          </w:rPr>
          <w:t>metabolic pathways</w:t>
        </w:r>
      </w:hyperlink>
      <w:r w:rsidR="004A080C" w:rsidRPr="00E41F9B">
        <w:rPr>
          <w:rFonts w:ascii="Arial" w:hAnsi="Arial" w:cs="Arial"/>
          <w:sz w:val="20"/>
          <w:szCs w:val="20"/>
          <w:lang w:val="en"/>
        </w:rPr>
        <w:t xml:space="preserve">. Some of these biosynthetic pathways are located within a single cellular </w:t>
      </w:r>
      <w:hyperlink r:id="rId49" w:tooltip="Organelle" w:history="1">
        <w:r w:rsidR="004A080C" w:rsidRPr="00E41F9B">
          <w:rPr>
            <w:rStyle w:val="Hyperlink"/>
            <w:rFonts w:ascii="Arial" w:hAnsi="Arial" w:cs="Arial"/>
            <w:sz w:val="20"/>
            <w:szCs w:val="20"/>
            <w:lang w:val="en"/>
          </w:rPr>
          <w:t>organelle</w:t>
        </w:r>
      </w:hyperlink>
      <w:r w:rsidR="004A080C" w:rsidRPr="00E41F9B">
        <w:rPr>
          <w:rFonts w:ascii="Arial" w:hAnsi="Arial" w:cs="Arial"/>
          <w:sz w:val="20"/>
          <w:szCs w:val="20"/>
          <w:lang w:val="en"/>
        </w:rPr>
        <w:t xml:space="preserve">, while others involve enzymes that are located within multiple cellular organelles. Examples of these biosynthetic pathways include the production of </w:t>
      </w:r>
      <w:hyperlink r:id="rId50" w:tooltip="Lipid membrane" w:history="1">
        <w:r w:rsidR="004A080C" w:rsidRPr="00E41F9B">
          <w:rPr>
            <w:rStyle w:val="Hyperlink"/>
            <w:rFonts w:ascii="Arial" w:hAnsi="Arial" w:cs="Arial"/>
            <w:sz w:val="20"/>
            <w:szCs w:val="20"/>
            <w:lang w:val="en"/>
          </w:rPr>
          <w:t>lipid membrane</w:t>
        </w:r>
      </w:hyperlink>
      <w:r w:rsidR="004A080C" w:rsidRPr="00E41F9B">
        <w:rPr>
          <w:rFonts w:ascii="Arial" w:hAnsi="Arial" w:cs="Arial"/>
          <w:sz w:val="20"/>
          <w:szCs w:val="20"/>
          <w:lang w:val="en"/>
        </w:rPr>
        <w:t xml:space="preserve"> components and </w:t>
      </w:r>
      <w:hyperlink r:id="rId51" w:tooltip="Nucleotide" w:history="1">
        <w:r w:rsidR="004A080C" w:rsidRPr="00E41F9B">
          <w:rPr>
            <w:rStyle w:val="Hyperlink"/>
            <w:rFonts w:ascii="Arial" w:hAnsi="Arial" w:cs="Arial"/>
            <w:sz w:val="20"/>
            <w:szCs w:val="20"/>
            <w:lang w:val="en"/>
          </w:rPr>
          <w:t>nucleotides</w:t>
        </w:r>
      </w:hyperlink>
      <w:r w:rsidR="004A080C" w:rsidRPr="00E41F9B">
        <w:rPr>
          <w:rFonts w:ascii="Arial" w:hAnsi="Arial" w:cs="Arial"/>
          <w:sz w:val="20"/>
          <w:szCs w:val="20"/>
          <w:lang w:val="en"/>
        </w:rPr>
        <w:t>.</w:t>
      </w:r>
    </w:p>
    <w:p w14:paraId="6D515B5F" w14:textId="7019FA97" w:rsidR="004A080C" w:rsidRDefault="004A080C" w:rsidP="00892766">
      <w:pPr>
        <w:rPr>
          <w:rFonts w:ascii="Arial" w:hAnsi="Arial" w:cs="Arial"/>
          <w:sz w:val="20"/>
          <w:szCs w:val="20"/>
          <w:lang w:val="en"/>
        </w:rPr>
      </w:pPr>
      <w:r w:rsidRPr="00E41F9B">
        <w:rPr>
          <w:rFonts w:ascii="Arial" w:hAnsi="Arial" w:cs="Arial"/>
          <w:b/>
          <w:sz w:val="20"/>
          <w:szCs w:val="20"/>
          <w:lang w:val="en"/>
        </w:rPr>
        <w:t xml:space="preserve">dNMP vs. dNTP, NMP vs. NTP: </w:t>
      </w:r>
      <w:r w:rsidR="00E41F9B" w:rsidRPr="00E41F9B">
        <w:rPr>
          <w:rFonts w:ascii="Arial" w:hAnsi="Arial" w:cs="Arial"/>
          <w:sz w:val="20"/>
          <w:szCs w:val="20"/>
          <w:lang w:val="en"/>
        </w:rPr>
        <w:t xml:space="preserve">nucleoside triphosphate (NTP) forms by phosphoryl group transfer to the corresponding nucleoside diphosphates (NDPs) and monophosphates (NMPs). dNMP is deoxynucleoside monophosphate and dNTP is deoxynucleoside triphosphate. A </w:t>
      </w:r>
      <w:r w:rsidR="00E41F9B" w:rsidRPr="00E41F9B">
        <w:rPr>
          <w:rFonts w:ascii="Arial" w:hAnsi="Arial" w:cs="Arial"/>
          <w:b/>
          <w:bCs/>
          <w:sz w:val="20"/>
          <w:szCs w:val="20"/>
          <w:lang w:val="en"/>
        </w:rPr>
        <w:t>nucleoside</w:t>
      </w:r>
      <w:r w:rsidR="00E41F9B" w:rsidRPr="00E41F9B">
        <w:rPr>
          <w:rFonts w:ascii="Arial" w:hAnsi="Arial" w:cs="Arial"/>
          <w:sz w:val="20"/>
          <w:szCs w:val="20"/>
          <w:lang w:val="en"/>
        </w:rPr>
        <w:t xml:space="preserve"> consists of a nitrogenous </w:t>
      </w:r>
      <w:hyperlink r:id="rId52" w:tooltip="Acid vs Base" w:history="1">
        <w:r w:rsidR="00E41F9B" w:rsidRPr="00E41F9B">
          <w:rPr>
            <w:rStyle w:val="Hyperlink"/>
            <w:rFonts w:ascii="Arial" w:hAnsi="Arial" w:cs="Arial"/>
            <w:sz w:val="20"/>
            <w:szCs w:val="20"/>
            <w:lang w:val="en"/>
          </w:rPr>
          <w:t>base</w:t>
        </w:r>
      </w:hyperlink>
      <w:r w:rsidR="00E41F9B" w:rsidRPr="00E41F9B">
        <w:rPr>
          <w:rFonts w:ascii="Arial" w:hAnsi="Arial" w:cs="Arial"/>
          <w:sz w:val="20"/>
          <w:szCs w:val="20"/>
          <w:lang w:val="en"/>
        </w:rPr>
        <w:t xml:space="preserve"> covalently attached to a sugar (ribose or deoxyribose) but without the phosphate group. Deoxynucleoside is a nucleoside specifically attached to a deoxyribose sugar.</w:t>
      </w:r>
      <w:r w:rsidR="00E41F9B">
        <w:rPr>
          <w:rFonts w:ascii="Arial" w:hAnsi="Arial" w:cs="Arial"/>
          <w:sz w:val="20"/>
          <w:szCs w:val="20"/>
          <w:lang w:val="en"/>
        </w:rPr>
        <w:t xml:space="preserve"> </w:t>
      </w:r>
    </w:p>
    <w:p w14:paraId="2FAF6B6B" w14:textId="609B9972" w:rsidR="00E41F9B" w:rsidRDefault="00E41F9B" w:rsidP="00892766">
      <w:pPr>
        <w:rPr>
          <w:rFonts w:ascii="Arial" w:hAnsi="Arial" w:cs="Arial"/>
          <w:sz w:val="20"/>
          <w:szCs w:val="20"/>
          <w:lang w:val="en"/>
        </w:rPr>
      </w:pPr>
      <w:r>
        <w:rPr>
          <w:rFonts w:ascii="Arial" w:hAnsi="Arial" w:cs="Arial"/>
          <w:sz w:val="20"/>
          <w:szCs w:val="20"/>
          <w:lang w:val="en"/>
        </w:rPr>
        <w:t>ASK ABOUT THIS IN TUTORIAL OR ASK T.A.!!!!!!!!!!!!!!!!!!!!!!!!!!!!!!</w:t>
      </w:r>
    </w:p>
    <w:p w14:paraId="4C5A818E" w14:textId="39CA9554" w:rsidR="00E41F9B" w:rsidRDefault="00160279" w:rsidP="00892766">
      <w:pPr>
        <w:rPr>
          <w:rFonts w:ascii="Arial" w:hAnsi="Arial" w:cs="Arial"/>
          <w:sz w:val="20"/>
          <w:szCs w:val="20"/>
          <w:lang w:val="en"/>
        </w:rPr>
      </w:pPr>
      <w:r w:rsidRPr="00160279">
        <w:rPr>
          <w:rFonts w:ascii="Arial" w:hAnsi="Arial" w:cs="Arial"/>
          <w:b/>
          <w:sz w:val="20"/>
          <w:szCs w:val="20"/>
          <w:lang w:val="en"/>
        </w:rPr>
        <w:lastRenderedPageBreak/>
        <w:t xml:space="preserve">Phosphodiester Linkage: </w:t>
      </w:r>
      <w:r>
        <w:rPr>
          <w:rFonts w:ascii="Arial" w:hAnsi="Arial" w:cs="Arial"/>
          <w:sz w:val="20"/>
          <w:szCs w:val="20"/>
          <w:lang w:val="en"/>
        </w:rPr>
        <w:t>A phosphodiester bond occurs when exactly two of the hydroxyl groups in phosphoric acid react with hydroxyl groups on other molecules to form two ester bonds. Phosphodiester bonds are central to all life on Earth, as they make up the backbone of the strands of nucleic acid. In DNA and RNA, the phosphodiester bond is the linkage between the 3' carbon atom of one sugar molecule and the 5' carbon atom of another, deoxyribose in DNA and ribose in RNA. Strong covalent bonds form between the phosphate group and two 5-carbon ring carbohydrates over two ester bonds.</w:t>
      </w:r>
      <w:r>
        <w:rPr>
          <w:rFonts w:ascii="Arial" w:hAnsi="Arial" w:cs="Arial"/>
          <w:noProof/>
          <w:sz w:val="20"/>
          <w:szCs w:val="20"/>
          <w:lang w:eastAsia="en-CA"/>
        </w:rPr>
        <w:drawing>
          <wp:inline distT="0" distB="0" distL="0" distR="0" wp14:anchorId="056EABE7" wp14:editId="7229724D">
            <wp:extent cx="2713939" cy="2033699"/>
            <wp:effectExtent l="0" t="0" r="0" b="5080"/>
            <wp:docPr id="18" name="Picture 18" descr="Image result for phospodiester link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hospodiester link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33822" cy="2048599"/>
                    </a:xfrm>
                    <a:prstGeom prst="rect">
                      <a:avLst/>
                    </a:prstGeom>
                    <a:noFill/>
                    <a:ln>
                      <a:noFill/>
                    </a:ln>
                  </pic:spPr>
                </pic:pic>
              </a:graphicData>
            </a:graphic>
          </wp:inline>
        </w:drawing>
      </w:r>
    </w:p>
    <w:p w14:paraId="2BCF8824" w14:textId="19CFE591" w:rsidR="00160279" w:rsidRDefault="00160279" w:rsidP="00892766">
      <w:pPr>
        <w:rPr>
          <w:rFonts w:ascii="Arial" w:hAnsi="Arial" w:cs="Arial"/>
          <w:sz w:val="20"/>
          <w:szCs w:val="20"/>
          <w:lang w:val="en"/>
        </w:rPr>
      </w:pPr>
      <w:r w:rsidRPr="00160279">
        <w:rPr>
          <w:rFonts w:ascii="Arial" w:hAnsi="Arial" w:cs="Arial"/>
          <w:b/>
          <w:sz w:val="20"/>
          <w:szCs w:val="20"/>
          <w:lang w:val="en"/>
        </w:rPr>
        <w:t xml:space="preserve">Electronegativity Series: </w:t>
      </w:r>
      <w:r w:rsidRPr="00160279">
        <w:rPr>
          <w:rFonts w:ascii="Arial" w:hAnsi="Arial" w:cs="Arial"/>
          <w:sz w:val="20"/>
          <w:szCs w:val="20"/>
          <w:lang w:val="en"/>
        </w:rPr>
        <w:t>Electronegativity, symbol χ, is a chemical property that describes the tendency of an atom or a functional group to attract electrons towards itself. An atom's electronegativity is affected by both its atomic number and the distance at which its valence electrons reside from the charged nucleus. The higher the associated electronegativity number, the more an element or compound attracts electrons towards it.</w:t>
      </w:r>
      <w:r>
        <w:rPr>
          <w:rFonts w:ascii="Arial" w:hAnsi="Arial" w:cs="Arial"/>
          <w:sz w:val="20"/>
          <w:szCs w:val="20"/>
          <w:lang w:val="en"/>
        </w:rPr>
        <w:t xml:space="preserve">  O&gt;N&gt;C=S&gt;P=H (Electronegativity decreases from left to right)</w:t>
      </w:r>
    </w:p>
    <w:p w14:paraId="57A6B075" w14:textId="06A02194" w:rsidR="00160279" w:rsidRDefault="00160279" w:rsidP="00892766">
      <w:pPr>
        <w:rPr>
          <w:rFonts w:ascii="Arial" w:hAnsi="Arial" w:cs="Arial"/>
          <w:b/>
          <w:sz w:val="20"/>
          <w:szCs w:val="20"/>
          <w:lang w:val="en"/>
        </w:rPr>
      </w:pPr>
      <w:r w:rsidRPr="00160279">
        <w:rPr>
          <w:rFonts w:ascii="Arial" w:hAnsi="Arial" w:cs="Arial"/>
          <w:b/>
          <w:sz w:val="20"/>
          <w:szCs w:val="20"/>
          <w:lang w:val="en"/>
        </w:rPr>
        <w:t xml:space="preserve">Electron Rich vs. Electron Poor: </w:t>
      </w:r>
    </w:p>
    <w:p w14:paraId="4834CFEE" w14:textId="601BEC5E" w:rsidR="00160279" w:rsidRDefault="00FF1DA7" w:rsidP="00892766">
      <w:pPr>
        <w:rPr>
          <w:rFonts w:ascii="Arial" w:hAnsi="Arial" w:cs="Arial"/>
          <w:sz w:val="20"/>
          <w:szCs w:val="20"/>
        </w:rPr>
      </w:pPr>
      <w:r>
        <w:rPr>
          <w:rFonts w:ascii="Arial" w:hAnsi="Arial" w:cs="Arial"/>
          <w:b/>
          <w:sz w:val="20"/>
          <w:szCs w:val="20"/>
          <w:lang w:val="en"/>
        </w:rPr>
        <w:t xml:space="preserve">Lewis Base vs. Lewis Acid: </w:t>
      </w:r>
      <w:r w:rsidRPr="00FF1DA7">
        <w:rPr>
          <w:rFonts w:ascii="Arial" w:hAnsi="Arial" w:cs="Arial"/>
          <w:sz w:val="20"/>
          <w:szCs w:val="20"/>
        </w:rPr>
        <w:t xml:space="preserve">A </w:t>
      </w:r>
      <w:r w:rsidRPr="00FF1DA7">
        <w:rPr>
          <w:rFonts w:ascii="Arial" w:hAnsi="Arial" w:cs="Arial"/>
          <w:b/>
          <w:bCs/>
          <w:sz w:val="20"/>
          <w:szCs w:val="20"/>
        </w:rPr>
        <w:t>Lewis acid</w:t>
      </w:r>
      <w:r w:rsidRPr="00FF1DA7">
        <w:rPr>
          <w:rFonts w:ascii="Arial" w:hAnsi="Arial" w:cs="Arial"/>
          <w:sz w:val="20"/>
          <w:szCs w:val="20"/>
        </w:rPr>
        <w:t xml:space="preserve"> is therefore any substance, such as the H</w:t>
      </w:r>
      <w:r w:rsidRPr="00FF1DA7">
        <w:rPr>
          <w:rFonts w:ascii="Arial" w:hAnsi="Arial" w:cs="Arial"/>
          <w:sz w:val="20"/>
          <w:szCs w:val="20"/>
          <w:vertAlign w:val="superscript"/>
        </w:rPr>
        <w:t>+</w:t>
      </w:r>
      <w:r w:rsidRPr="00FF1DA7">
        <w:rPr>
          <w:rFonts w:ascii="Arial" w:hAnsi="Arial" w:cs="Arial"/>
          <w:sz w:val="20"/>
          <w:szCs w:val="20"/>
        </w:rPr>
        <w:t xml:space="preserve"> ion, that can accept a pair of nonbonding electrons. In other words, a Lewis acid is an </w:t>
      </w:r>
      <w:r w:rsidRPr="00FF1DA7">
        <w:rPr>
          <w:rFonts w:ascii="Arial" w:hAnsi="Arial" w:cs="Arial"/>
          <w:b/>
          <w:bCs/>
          <w:sz w:val="20"/>
          <w:szCs w:val="20"/>
        </w:rPr>
        <w:t>electron-pair acceptor</w:t>
      </w:r>
      <w:r w:rsidRPr="00FF1DA7">
        <w:rPr>
          <w:rFonts w:ascii="Arial" w:hAnsi="Arial" w:cs="Arial"/>
          <w:sz w:val="20"/>
          <w:szCs w:val="20"/>
        </w:rPr>
        <w:t xml:space="preserve">. A </w:t>
      </w:r>
      <w:r w:rsidRPr="00FF1DA7">
        <w:rPr>
          <w:rFonts w:ascii="Arial" w:hAnsi="Arial" w:cs="Arial"/>
          <w:b/>
          <w:bCs/>
          <w:sz w:val="20"/>
          <w:szCs w:val="20"/>
        </w:rPr>
        <w:t>Lewis base</w:t>
      </w:r>
      <w:r w:rsidRPr="00FF1DA7">
        <w:rPr>
          <w:rFonts w:ascii="Arial" w:hAnsi="Arial" w:cs="Arial"/>
          <w:sz w:val="20"/>
          <w:szCs w:val="20"/>
        </w:rPr>
        <w:t xml:space="preserve"> is any substance, such as the OH</w:t>
      </w:r>
      <w:r w:rsidRPr="00FF1DA7">
        <w:rPr>
          <w:rFonts w:ascii="Arial" w:hAnsi="Arial" w:cs="Arial"/>
          <w:sz w:val="20"/>
          <w:szCs w:val="20"/>
          <w:vertAlign w:val="superscript"/>
        </w:rPr>
        <w:t>-</w:t>
      </w:r>
      <w:r w:rsidRPr="00FF1DA7">
        <w:rPr>
          <w:rFonts w:ascii="Arial" w:hAnsi="Arial" w:cs="Arial"/>
          <w:sz w:val="20"/>
          <w:szCs w:val="20"/>
        </w:rPr>
        <w:t xml:space="preserve"> ion, that can donate a pair of nonbonding electrons. A Lewis base is therefore an </w:t>
      </w:r>
      <w:r w:rsidRPr="00FF1DA7">
        <w:rPr>
          <w:rFonts w:ascii="Arial" w:hAnsi="Arial" w:cs="Arial"/>
          <w:b/>
          <w:bCs/>
          <w:sz w:val="20"/>
          <w:szCs w:val="20"/>
        </w:rPr>
        <w:t>electron-pair donor</w:t>
      </w:r>
      <w:r w:rsidRPr="00FF1DA7">
        <w:rPr>
          <w:rFonts w:ascii="Arial" w:hAnsi="Arial" w:cs="Arial"/>
          <w:sz w:val="20"/>
          <w:szCs w:val="20"/>
        </w:rPr>
        <w:t>.</w:t>
      </w:r>
    </w:p>
    <w:p w14:paraId="2A47BBCD" w14:textId="0D7F9161" w:rsidR="00FF1DA7" w:rsidRDefault="00FF1DA7" w:rsidP="00892766">
      <w:pPr>
        <w:rPr>
          <w:rFonts w:ascii="Arial" w:hAnsi="Arial" w:cs="Arial"/>
          <w:sz w:val="20"/>
          <w:szCs w:val="20"/>
        </w:rPr>
      </w:pPr>
      <w:r>
        <w:rPr>
          <w:rFonts w:ascii="Arial" w:hAnsi="Arial" w:cs="Arial"/>
          <w:sz w:val="20"/>
          <w:szCs w:val="20"/>
        </w:rPr>
        <w:t xml:space="preserve">U1-05: DNA Electrophoresis: </w:t>
      </w:r>
    </w:p>
    <w:p w14:paraId="71F8F2ED" w14:textId="0B5EE4B6" w:rsidR="00FF1DA7" w:rsidRPr="00FF1DA7" w:rsidRDefault="00FF1DA7" w:rsidP="00FF1DA7">
      <w:pPr>
        <w:rPr>
          <w:rFonts w:ascii="Arial" w:hAnsi="Arial" w:cs="Arial"/>
          <w:sz w:val="20"/>
          <w:szCs w:val="20"/>
        </w:rPr>
      </w:pPr>
      <w:r w:rsidRPr="00FF1DA7">
        <w:rPr>
          <w:rFonts w:ascii="Arial" w:hAnsi="Arial" w:cs="Arial"/>
          <w:b/>
          <w:sz w:val="20"/>
          <w:szCs w:val="20"/>
        </w:rPr>
        <w:t xml:space="preserve">Electrophoresis: </w:t>
      </w:r>
      <w:r w:rsidRPr="00FF1DA7">
        <w:rPr>
          <w:rFonts w:ascii="Arial" w:hAnsi="Arial" w:cs="Arial"/>
          <w:sz w:val="20"/>
          <w:szCs w:val="20"/>
        </w:rPr>
        <w:t>Gel electrophoresis is a technique commonly used in laboratories to separate charged molecules like DNA, RNA and pr</w:t>
      </w:r>
      <w:r>
        <w:rPr>
          <w:rFonts w:ascii="Arial" w:hAnsi="Arial" w:cs="Arial"/>
          <w:sz w:val="20"/>
          <w:szCs w:val="20"/>
        </w:rPr>
        <w:t xml:space="preserve">oteins according to their size. </w:t>
      </w:r>
      <w:r w:rsidRPr="00FF1DA7">
        <w:rPr>
          <w:rFonts w:ascii="Arial" w:hAnsi="Arial" w:cs="Arial"/>
          <w:sz w:val="20"/>
          <w:szCs w:val="20"/>
        </w:rPr>
        <w:t xml:space="preserve">Charged molecules move through a gel when an electric current is passed across it. An electric current is applied across the gel so that one end of the gel has a positive charge and the other end has a negative charge. The movement of charged molecules is called </w:t>
      </w:r>
      <w:r w:rsidRPr="004F0400">
        <w:rPr>
          <w:rFonts w:ascii="Arial" w:hAnsi="Arial" w:cs="Arial"/>
          <w:b/>
          <w:sz w:val="20"/>
          <w:szCs w:val="20"/>
        </w:rPr>
        <w:t>migration</w:t>
      </w:r>
      <w:r w:rsidRPr="00FF1DA7">
        <w:rPr>
          <w:rFonts w:ascii="Arial" w:hAnsi="Arial" w:cs="Arial"/>
          <w:sz w:val="20"/>
          <w:szCs w:val="20"/>
        </w:rPr>
        <w:t xml:space="preserve">. Molecules </w:t>
      </w:r>
      <w:r w:rsidRPr="004F0400">
        <w:rPr>
          <w:rFonts w:ascii="Arial" w:hAnsi="Arial" w:cs="Arial"/>
          <w:b/>
          <w:sz w:val="20"/>
          <w:szCs w:val="20"/>
        </w:rPr>
        <w:t>migrate</w:t>
      </w:r>
      <w:r w:rsidRPr="00FF1DA7">
        <w:rPr>
          <w:rFonts w:ascii="Arial" w:hAnsi="Arial" w:cs="Arial"/>
          <w:sz w:val="20"/>
          <w:szCs w:val="20"/>
        </w:rPr>
        <w:t xml:space="preserve"> towards the opposite charge. A molecule with a negative charge will therefore be </w:t>
      </w:r>
      <w:r w:rsidR="004F0400">
        <w:rPr>
          <w:rFonts w:ascii="Arial" w:hAnsi="Arial" w:cs="Arial"/>
          <w:sz w:val="20"/>
          <w:szCs w:val="20"/>
        </w:rPr>
        <w:t xml:space="preserve">pulled towards the positive end, </w:t>
      </w:r>
      <w:r w:rsidR="004F0400" w:rsidRPr="004F0400">
        <w:rPr>
          <w:rFonts w:ascii="Arial" w:hAnsi="Arial" w:cs="Arial"/>
          <w:b/>
          <w:sz w:val="20"/>
          <w:szCs w:val="20"/>
        </w:rPr>
        <w:t>Anode</w:t>
      </w:r>
      <w:r w:rsidR="004F0400">
        <w:rPr>
          <w:rFonts w:ascii="Arial" w:hAnsi="Arial" w:cs="Arial"/>
          <w:b/>
          <w:sz w:val="20"/>
          <w:szCs w:val="20"/>
        </w:rPr>
        <w:t xml:space="preserve"> </w:t>
      </w:r>
      <w:r w:rsidRPr="00FF1DA7">
        <w:rPr>
          <w:rFonts w:ascii="Arial" w:hAnsi="Arial" w:cs="Arial"/>
          <w:sz w:val="20"/>
          <w:szCs w:val="20"/>
        </w:rPr>
        <w:t>(opposites attract!).</w:t>
      </w:r>
    </w:p>
    <w:p w14:paraId="510B252E" w14:textId="080E5B55" w:rsidR="00160279" w:rsidRDefault="00FF1DA7" w:rsidP="00892766">
      <w:pPr>
        <w:rPr>
          <w:rFonts w:ascii="Arial" w:hAnsi="Arial" w:cs="Arial"/>
          <w:sz w:val="20"/>
          <w:szCs w:val="20"/>
        </w:rPr>
      </w:pPr>
      <w:r>
        <w:rPr>
          <w:rFonts w:ascii="Arial" w:hAnsi="Arial" w:cs="Arial"/>
          <w:b/>
          <w:sz w:val="20"/>
          <w:szCs w:val="20"/>
        </w:rPr>
        <w:t xml:space="preserve">Permeable Matrix/Gel: </w:t>
      </w:r>
      <w:r w:rsidRPr="004F0400">
        <w:rPr>
          <w:rFonts w:ascii="Arial" w:hAnsi="Arial" w:cs="Arial"/>
          <w:sz w:val="20"/>
          <w:szCs w:val="20"/>
        </w:rPr>
        <w:t xml:space="preserve">The gel consists of a permeable matrix, a bit like a sieve, through which molecules can travel when an electric current is passed across it. Smaller molecules migrate through the gel more quickly and therefore travel further than larger fragments that migrate more slowly and therefore will travel a shorter distance. As a </w:t>
      </w:r>
      <w:r w:rsidR="004F0400" w:rsidRPr="004F0400">
        <w:rPr>
          <w:rFonts w:ascii="Arial" w:hAnsi="Arial" w:cs="Arial"/>
          <w:sz w:val="20"/>
          <w:szCs w:val="20"/>
        </w:rPr>
        <w:t>result,</w:t>
      </w:r>
      <w:r w:rsidRPr="004F0400">
        <w:rPr>
          <w:rFonts w:ascii="Arial" w:hAnsi="Arial" w:cs="Arial"/>
          <w:sz w:val="20"/>
          <w:szCs w:val="20"/>
        </w:rPr>
        <w:t xml:space="preserve"> the molecules are separated by size.</w:t>
      </w:r>
    </w:p>
    <w:p w14:paraId="29D27EE8" w14:textId="5278D635" w:rsidR="004F0400" w:rsidRDefault="004F0400" w:rsidP="00892766">
      <w:pPr>
        <w:rPr>
          <w:rFonts w:ascii="Arial" w:hAnsi="Arial" w:cs="Arial"/>
          <w:sz w:val="20"/>
          <w:szCs w:val="20"/>
        </w:rPr>
      </w:pPr>
      <w:r w:rsidRPr="004F0400">
        <w:rPr>
          <w:rFonts w:ascii="Arial" w:hAnsi="Arial" w:cs="Arial"/>
          <w:b/>
          <w:sz w:val="20"/>
          <w:szCs w:val="20"/>
        </w:rPr>
        <w:t xml:space="preserve">Agarose: </w:t>
      </w:r>
      <w:r w:rsidRPr="004F0400">
        <w:rPr>
          <w:rFonts w:ascii="Arial" w:hAnsi="Arial" w:cs="Arial"/>
          <w:sz w:val="20"/>
          <w:szCs w:val="20"/>
        </w:rPr>
        <w:t>Agarose gels are typically used to visualise fragments of DNA. The concentration of agarose used to make the gel depends on the size of the DNA fragments you are working with. The higher the agarose concentration, the denser the matrix and vice versa. Smaller fragments of DNA are separated on higher concentrations of agarose whilst larger molecules require a lower concentration of agarose.</w:t>
      </w:r>
    </w:p>
    <w:p w14:paraId="00BEA306" w14:textId="29F248F0" w:rsidR="004F0400" w:rsidRDefault="004F0400" w:rsidP="00892766">
      <w:pPr>
        <w:rPr>
          <w:rFonts w:ascii="Arial" w:hAnsi="Arial" w:cs="Arial"/>
          <w:sz w:val="20"/>
          <w:szCs w:val="20"/>
        </w:rPr>
      </w:pPr>
      <w:r w:rsidRPr="004F0400">
        <w:rPr>
          <w:rFonts w:ascii="Arial" w:hAnsi="Arial" w:cs="Arial"/>
          <w:b/>
          <w:sz w:val="20"/>
          <w:szCs w:val="20"/>
        </w:rPr>
        <w:t xml:space="preserve">Loading Well: </w:t>
      </w:r>
      <w:r w:rsidRPr="004F0400">
        <w:rPr>
          <w:rFonts w:ascii="Arial" w:hAnsi="Arial" w:cs="Arial"/>
          <w:sz w:val="20"/>
          <w:szCs w:val="20"/>
        </w:rPr>
        <w:t xml:space="preserve">The DNA samples are placed in wells at one end of the gel and an electrical current passed across the gel. </w:t>
      </w:r>
    </w:p>
    <w:p w14:paraId="4EE4DC2E" w14:textId="05877837" w:rsidR="004F0400" w:rsidRDefault="004F0400" w:rsidP="00892766">
      <w:pPr>
        <w:rPr>
          <w:rFonts w:ascii="Arial" w:hAnsi="Arial" w:cs="Arial"/>
          <w:sz w:val="20"/>
          <w:szCs w:val="20"/>
        </w:rPr>
      </w:pPr>
      <w:r w:rsidRPr="004F0400">
        <w:rPr>
          <w:rFonts w:ascii="Arial" w:hAnsi="Arial" w:cs="Arial"/>
          <w:b/>
          <w:sz w:val="20"/>
          <w:szCs w:val="20"/>
        </w:rPr>
        <w:lastRenderedPageBreak/>
        <w:t>Visualization/Staining</w:t>
      </w:r>
      <w:r w:rsidRPr="004F0400">
        <w:rPr>
          <w:rFonts w:ascii="Arial" w:hAnsi="Arial" w:cs="Arial"/>
          <w:sz w:val="20"/>
          <w:szCs w:val="20"/>
        </w:rPr>
        <w:t>: Once the DNA has migrated far enough across the gel, the electrical current is switched off and the gel is removed from the electrophoresis tank. To visualise the DNA, the gel is stained with a fluorescent dye that binds to the DNA, and is placed on an ultraviolet trans</w:t>
      </w:r>
      <w:r>
        <w:rPr>
          <w:rFonts w:ascii="Arial" w:hAnsi="Arial" w:cs="Arial"/>
          <w:sz w:val="20"/>
          <w:szCs w:val="20"/>
        </w:rPr>
        <w:t>-</w:t>
      </w:r>
      <w:r w:rsidRPr="004F0400">
        <w:rPr>
          <w:rFonts w:ascii="Arial" w:hAnsi="Arial" w:cs="Arial"/>
          <w:sz w:val="20"/>
          <w:szCs w:val="20"/>
        </w:rPr>
        <w:t>illuminator which will show up the stained DNA as bright bands. Alternatively, the dye can be mixed with the gel before it is poured</w:t>
      </w:r>
      <w:r>
        <w:rPr>
          <w:rFonts w:ascii="Arial" w:hAnsi="Arial" w:cs="Arial"/>
          <w:sz w:val="20"/>
          <w:szCs w:val="20"/>
        </w:rPr>
        <w:t>.</w:t>
      </w:r>
    </w:p>
    <w:p w14:paraId="391B7A79" w14:textId="720D39BE" w:rsidR="004F0400" w:rsidRDefault="004F0400" w:rsidP="00892766">
      <w:pPr>
        <w:rPr>
          <w:rFonts w:ascii="Arial" w:hAnsi="Arial" w:cs="Arial"/>
          <w:sz w:val="20"/>
          <w:szCs w:val="20"/>
        </w:rPr>
      </w:pPr>
      <w:r w:rsidRPr="004F0400">
        <w:rPr>
          <w:rFonts w:ascii="Arial" w:hAnsi="Arial" w:cs="Arial"/>
          <w:b/>
          <w:sz w:val="20"/>
          <w:szCs w:val="20"/>
        </w:rPr>
        <w:t>Dye/Fluorescent:</w:t>
      </w:r>
      <w:r>
        <w:rPr>
          <w:rFonts w:ascii="Arial" w:hAnsi="Arial" w:cs="Arial"/>
          <w:sz w:val="20"/>
          <w:szCs w:val="20"/>
        </w:rPr>
        <w:t xml:space="preserve"> </w:t>
      </w:r>
      <w:r w:rsidRPr="004F0400">
        <w:rPr>
          <w:rFonts w:ascii="Arial" w:hAnsi="Arial" w:cs="Arial"/>
          <w:sz w:val="20"/>
          <w:szCs w:val="20"/>
        </w:rPr>
        <w:t xml:space="preserve">ethidium bromide has played an important part in the development of molecular cloning: Staining with a low concentration of </w:t>
      </w:r>
      <w:r w:rsidRPr="004F0400">
        <w:rPr>
          <w:rFonts w:ascii="Arial" w:hAnsi="Arial" w:cs="Arial"/>
          <w:b/>
          <w:sz w:val="20"/>
          <w:szCs w:val="20"/>
        </w:rPr>
        <w:t>ethidium bromide</w:t>
      </w:r>
      <w:r w:rsidRPr="004F0400">
        <w:rPr>
          <w:rFonts w:ascii="Arial" w:hAnsi="Arial" w:cs="Arial"/>
          <w:sz w:val="20"/>
          <w:szCs w:val="20"/>
        </w:rPr>
        <w:t xml:space="preserve"> has been the standard method of detecting small quantities of DNA in agarose gels for more than 25 years</w:t>
      </w:r>
      <w:r>
        <w:rPr>
          <w:rFonts w:ascii="Arial" w:hAnsi="Arial" w:cs="Arial"/>
          <w:sz w:val="20"/>
          <w:szCs w:val="20"/>
        </w:rPr>
        <w:t xml:space="preserve">. </w:t>
      </w:r>
      <w:r w:rsidRPr="004F0400">
        <w:rPr>
          <w:rFonts w:ascii="Arial" w:hAnsi="Arial" w:cs="Arial"/>
          <w:sz w:val="20"/>
          <w:szCs w:val="20"/>
        </w:rPr>
        <w:t xml:space="preserve">The usefulness of ethidium bromide for these tasks derives from its </w:t>
      </w:r>
      <w:r w:rsidRPr="004F0400">
        <w:rPr>
          <w:rFonts w:ascii="Arial" w:hAnsi="Arial" w:cs="Arial"/>
          <w:b/>
          <w:sz w:val="20"/>
          <w:szCs w:val="20"/>
        </w:rPr>
        <w:t>fluorescent</w:t>
      </w:r>
      <w:r w:rsidRPr="004F0400">
        <w:rPr>
          <w:rFonts w:ascii="Arial" w:hAnsi="Arial" w:cs="Arial"/>
          <w:sz w:val="20"/>
          <w:szCs w:val="20"/>
        </w:rPr>
        <w:t xml:space="preserve"> properties in combination with its ability to intercalate between the base pairs of double-stranded DNA.</w:t>
      </w:r>
    </w:p>
    <w:p w14:paraId="006D156E" w14:textId="64C24590" w:rsidR="004F0400" w:rsidRDefault="004F0400" w:rsidP="00892766">
      <w:pPr>
        <w:rPr>
          <w:rFonts w:ascii="Arial" w:hAnsi="Arial" w:cs="Arial"/>
          <w:sz w:val="20"/>
          <w:szCs w:val="20"/>
        </w:rPr>
      </w:pPr>
      <w:r w:rsidRPr="004F0400">
        <w:rPr>
          <w:rFonts w:ascii="Arial" w:hAnsi="Arial" w:cs="Arial"/>
          <w:b/>
          <w:sz w:val="20"/>
          <w:szCs w:val="20"/>
        </w:rPr>
        <w:t>Radioactive Label (Radiolabels):</w:t>
      </w:r>
      <w:r w:rsidRPr="004F0400">
        <w:rPr>
          <w:rFonts w:ascii="Arial" w:hAnsi="Arial" w:cs="Arial"/>
          <w:sz w:val="20"/>
          <w:szCs w:val="20"/>
        </w:rPr>
        <w:t xml:space="preserve"> </w:t>
      </w:r>
      <w:r w:rsidRPr="004F0400">
        <w:rPr>
          <w:rFonts w:ascii="Arial" w:hAnsi="Arial" w:cs="Arial"/>
          <w:sz w:val="20"/>
          <w:szCs w:val="20"/>
          <w:lang w:val="en"/>
        </w:rPr>
        <w:t xml:space="preserve">A </w:t>
      </w:r>
      <w:r w:rsidRPr="004F0400">
        <w:rPr>
          <w:rFonts w:ascii="Arial" w:hAnsi="Arial" w:cs="Arial"/>
          <w:b/>
          <w:bCs/>
          <w:sz w:val="20"/>
          <w:szCs w:val="20"/>
          <w:lang w:val="en"/>
        </w:rPr>
        <w:t>radioactive tracer</w:t>
      </w:r>
      <w:r w:rsidRPr="004F0400">
        <w:rPr>
          <w:rFonts w:ascii="Arial" w:hAnsi="Arial" w:cs="Arial"/>
          <w:sz w:val="20"/>
          <w:szCs w:val="20"/>
          <w:lang w:val="en"/>
        </w:rPr>
        <w:t xml:space="preserve">, or </w:t>
      </w:r>
      <w:r w:rsidRPr="004F0400">
        <w:rPr>
          <w:rFonts w:ascii="Arial" w:hAnsi="Arial" w:cs="Arial"/>
          <w:b/>
          <w:bCs/>
          <w:sz w:val="20"/>
          <w:szCs w:val="20"/>
          <w:lang w:val="en"/>
        </w:rPr>
        <w:t>radioactive label</w:t>
      </w:r>
      <w:r w:rsidRPr="004F0400">
        <w:rPr>
          <w:rFonts w:ascii="Arial" w:hAnsi="Arial" w:cs="Arial"/>
          <w:sz w:val="20"/>
          <w:szCs w:val="20"/>
          <w:lang w:val="en"/>
        </w:rPr>
        <w:t xml:space="preserve">, is a </w:t>
      </w:r>
      <w:hyperlink r:id="rId53" w:tooltip="Chemical compound" w:history="1">
        <w:r w:rsidRPr="004F0400">
          <w:rPr>
            <w:rStyle w:val="Hyperlink"/>
            <w:rFonts w:ascii="Arial" w:hAnsi="Arial" w:cs="Arial"/>
            <w:sz w:val="20"/>
            <w:szCs w:val="20"/>
            <w:lang w:val="en"/>
          </w:rPr>
          <w:t>chemical compound</w:t>
        </w:r>
      </w:hyperlink>
      <w:r w:rsidRPr="004F0400">
        <w:rPr>
          <w:rFonts w:ascii="Arial" w:hAnsi="Arial" w:cs="Arial"/>
          <w:sz w:val="20"/>
          <w:szCs w:val="20"/>
          <w:lang w:val="en"/>
        </w:rPr>
        <w:t xml:space="preserve"> in which one or more atoms have been replaced by a </w:t>
      </w:r>
      <w:hyperlink r:id="rId54" w:tooltip="Radioisotope" w:history="1">
        <w:r w:rsidRPr="004F0400">
          <w:rPr>
            <w:rStyle w:val="Hyperlink"/>
            <w:rFonts w:ascii="Arial" w:hAnsi="Arial" w:cs="Arial"/>
            <w:sz w:val="20"/>
            <w:szCs w:val="20"/>
            <w:lang w:val="en"/>
          </w:rPr>
          <w:t>radioisotope</w:t>
        </w:r>
      </w:hyperlink>
      <w:r w:rsidRPr="004F0400">
        <w:rPr>
          <w:rFonts w:ascii="Arial" w:hAnsi="Arial" w:cs="Arial"/>
          <w:sz w:val="20"/>
          <w:szCs w:val="20"/>
          <w:lang w:val="en"/>
        </w:rPr>
        <w:t xml:space="preserve"> so by virtue of its </w:t>
      </w:r>
      <w:hyperlink r:id="rId55" w:tooltip="Radioactive decay" w:history="1">
        <w:r w:rsidRPr="004F0400">
          <w:rPr>
            <w:rStyle w:val="Hyperlink"/>
            <w:rFonts w:ascii="Arial" w:hAnsi="Arial" w:cs="Arial"/>
            <w:sz w:val="20"/>
            <w:szCs w:val="20"/>
            <w:lang w:val="en"/>
          </w:rPr>
          <w:t>radioactive decay</w:t>
        </w:r>
      </w:hyperlink>
      <w:r w:rsidRPr="004F0400">
        <w:rPr>
          <w:rFonts w:ascii="Arial" w:hAnsi="Arial" w:cs="Arial"/>
          <w:sz w:val="20"/>
          <w:szCs w:val="20"/>
          <w:lang w:val="en"/>
        </w:rPr>
        <w:t xml:space="preserve"> it can be used to explore the mechanism of chemical reactions by tracing the path that the radioisotope follows from reactants to products. </w:t>
      </w:r>
      <w:r w:rsidRPr="004F0400">
        <w:rPr>
          <w:rFonts w:ascii="Arial" w:hAnsi="Arial" w:cs="Arial"/>
          <w:b/>
          <w:bCs/>
          <w:sz w:val="20"/>
          <w:szCs w:val="20"/>
          <w:lang w:val="en"/>
        </w:rPr>
        <w:t>Radiolabeling</w:t>
      </w:r>
      <w:r w:rsidRPr="004F0400">
        <w:rPr>
          <w:rFonts w:ascii="Arial" w:hAnsi="Arial" w:cs="Arial"/>
          <w:sz w:val="20"/>
          <w:szCs w:val="20"/>
          <w:lang w:val="en"/>
        </w:rPr>
        <w:t xml:space="preserve"> is thus the radioactive form of </w:t>
      </w:r>
      <w:hyperlink r:id="rId56" w:tooltip="Isotopic labeling" w:history="1">
        <w:r w:rsidRPr="004F0400">
          <w:rPr>
            <w:rStyle w:val="Hyperlink"/>
            <w:rFonts w:ascii="Arial" w:hAnsi="Arial" w:cs="Arial"/>
            <w:sz w:val="20"/>
            <w:szCs w:val="20"/>
            <w:lang w:val="en"/>
          </w:rPr>
          <w:t>isotopic labeling</w:t>
        </w:r>
      </w:hyperlink>
      <w:r w:rsidRPr="004F0400">
        <w:rPr>
          <w:rFonts w:ascii="Arial" w:hAnsi="Arial" w:cs="Arial"/>
          <w:sz w:val="20"/>
          <w:szCs w:val="20"/>
          <w:lang w:val="en"/>
        </w:rPr>
        <w:t>.</w:t>
      </w:r>
      <w:r w:rsidRPr="004F0400">
        <w:rPr>
          <w:rFonts w:ascii="Arial" w:hAnsi="Arial" w:cs="Arial"/>
          <w:sz w:val="20"/>
          <w:szCs w:val="20"/>
        </w:rPr>
        <w:t>The use of dyes, fluorescent tags or radioactive labels enables the DNA on the gel to be seen after they have been separated. They will appear as bands on the gel. A DNA marker with fragments of known lengths is usually run through the gel at the same time as the samples. By comparing the bands of the DNA samples with those from the DNA marker, you can work out the approximate length of the DNA fragments in the samples.</w:t>
      </w:r>
    </w:p>
    <w:p w14:paraId="0BF396C2" w14:textId="35801712" w:rsidR="004F0400" w:rsidRDefault="007F43BA" w:rsidP="00892766">
      <w:pPr>
        <w:rPr>
          <w:rFonts w:ascii="Arial" w:hAnsi="Arial" w:cs="Arial"/>
          <w:sz w:val="20"/>
          <w:szCs w:val="20"/>
        </w:rPr>
      </w:pPr>
      <w:r w:rsidRPr="007F43BA">
        <w:rPr>
          <w:rFonts w:ascii="Arial" w:hAnsi="Arial" w:cs="Arial"/>
          <w:b/>
          <w:sz w:val="20"/>
          <w:szCs w:val="20"/>
        </w:rPr>
        <w:t xml:space="preserve">Band: Marker vs. Sample: </w:t>
      </w:r>
      <w:r w:rsidR="00F31118" w:rsidRPr="00F31118">
        <w:rPr>
          <w:rFonts w:ascii="Arial" w:hAnsi="Arial" w:cs="Arial"/>
          <w:sz w:val="20"/>
          <w:szCs w:val="20"/>
        </w:rPr>
        <w:t xml:space="preserve">If the gel has run correctly the banding pattern of the DNA marker/size standard will be visible. It is then possible to judge the size of the DNA in your </w:t>
      </w:r>
      <w:r w:rsidR="00F31118" w:rsidRPr="00F31118">
        <w:rPr>
          <w:rFonts w:ascii="Arial" w:hAnsi="Arial" w:cs="Arial"/>
          <w:b/>
          <w:sz w:val="20"/>
          <w:szCs w:val="20"/>
        </w:rPr>
        <w:t>sample</w:t>
      </w:r>
      <w:r w:rsidR="00F31118" w:rsidRPr="00F31118">
        <w:rPr>
          <w:rFonts w:ascii="Arial" w:hAnsi="Arial" w:cs="Arial"/>
          <w:sz w:val="20"/>
          <w:szCs w:val="20"/>
        </w:rPr>
        <w:t xml:space="preserve"> by imagining a horizontal line running across from the bands of the DNA marker. You can then estimate the size of the DNA in the sample by matching them against the closest band in the marker. The length of the DNA fragments is compared to a </w:t>
      </w:r>
      <w:r w:rsidR="00F31118" w:rsidRPr="00F31118">
        <w:rPr>
          <w:rFonts w:ascii="Arial" w:hAnsi="Arial" w:cs="Arial"/>
          <w:b/>
          <w:sz w:val="20"/>
          <w:szCs w:val="20"/>
        </w:rPr>
        <w:t>marker</w:t>
      </w:r>
      <w:r w:rsidR="00F31118" w:rsidRPr="00F31118">
        <w:rPr>
          <w:rFonts w:ascii="Arial" w:hAnsi="Arial" w:cs="Arial"/>
          <w:sz w:val="20"/>
          <w:szCs w:val="20"/>
        </w:rPr>
        <w:t xml:space="preserve"> containing fragments of known length.</w:t>
      </w:r>
    </w:p>
    <w:p w14:paraId="0E01EC40" w14:textId="0DFA2AB7" w:rsidR="00F31118" w:rsidRDefault="00F31118" w:rsidP="00892766">
      <w:pPr>
        <w:rPr>
          <w:rFonts w:ascii="Arial" w:hAnsi="Arial" w:cs="Arial"/>
          <w:b/>
          <w:sz w:val="20"/>
          <w:szCs w:val="20"/>
        </w:rPr>
      </w:pPr>
      <w:r w:rsidRPr="00F31118">
        <w:rPr>
          <w:rFonts w:ascii="Arial" w:hAnsi="Arial" w:cs="Arial"/>
          <w:b/>
          <w:sz w:val="20"/>
          <w:szCs w:val="20"/>
        </w:rPr>
        <w:t xml:space="preserve">Base Pair as Length Measurement Unit: </w:t>
      </w:r>
    </w:p>
    <w:p w14:paraId="51455FDC" w14:textId="6C730F59" w:rsidR="00F31118" w:rsidRDefault="00F31118" w:rsidP="00892766">
      <w:pPr>
        <w:rPr>
          <w:rFonts w:ascii="Arial" w:hAnsi="Arial" w:cs="Arial"/>
          <w:b/>
          <w:sz w:val="20"/>
          <w:szCs w:val="20"/>
        </w:rPr>
      </w:pPr>
      <w:r>
        <w:rPr>
          <w:rFonts w:ascii="Arial" w:hAnsi="Arial" w:cs="Arial"/>
          <w:noProof/>
          <w:sz w:val="20"/>
          <w:szCs w:val="20"/>
          <w:lang w:eastAsia="en-CA"/>
        </w:rPr>
        <w:drawing>
          <wp:inline distT="0" distB="0" distL="0" distR="0" wp14:anchorId="61DDBD16" wp14:editId="295FB9C4">
            <wp:extent cx="1426210" cy="2713990"/>
            <wp:effectExtent l="0" t="0" r="2540" b="0"/>
            <wp:docPr id="19" name="Picture 19" descr="Image result for gel electrophoresis band and base p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gel electrophoresis band and base pairs"/>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26210" cy="2713990"/>
                    </a:xfrm>
                    <a:prstGeom prst="rect">
                      <a:avLst/>
                    </a:prstGeom>
                    <a:noFill/>
                    <a:ln>
                      <a:noFill/>
                    </a:ln>
                  </pic:spPr>
                </pic:pic>
              </a:graphicData>
            </a:graphic>
          </wp:inline>
        </w:drawing>
      </w:r>
    </w:p>
    <w:p w14:paraId="742D724A" w14:textId="77777777" w:rsidR="00F31118" w:rsidRDefault="00F31118" w:rsidP="00F31118">
      <w:pPr>
        <w:pStyle w:val="NormalWeb"/>
        <w:rPr>
          <w:lang w:val="en"/>
        </w:rPr>
      </w:pPr>
      <w:r>
        <w:rPr>
          <w:rFonts w:ascii="Arial" w:hAnsi="Arial" w:cs="Arial"/>
          <w:b/>
          <w:sz w:val="20"/>
          <w:szCs w:val="20"/>
        </w:rPr>
        <w:t xml:space="preserve">Intercalation: </w:t>
      </w:r>
      <w:r>
        <w:rPr>
          <w:lang w:val="en"/>
        </w:rPr>
        <w:t xml:space="preserve">In </w:t>
      </w:r>
      <w:hyperlink r:id="rId58" w:tooltip="Biochemistry" w:history="1">
        <w:r>
          <w:rPr>
            <w:rStyle w:val="Hyperlink"/>
            <w:lang w:val="en"/>
          </w:rPr>
          <w:t>biochemistry</w:t>
        </w:r>
      </w:hyperlink>
      <w:r>
        <w:rPr>
          <w:lang w:val="en"/>
        </w:rPr>
        <w:t xml:space="preserve">, </w:t>
      </w:r>
      <w:r>
        <w:rPr>
          <w:b/>
          <w:bCs/>
          <w:lang w:val="en"/>
        </w:rPr>
        <w:t>intercalation</w:t>
      </w:r>
      <w:r>
        <w:rPr>
          <w:lang w:val="en"/>
        </w:rPr>
        <w:t xml:space="preserve"> is the insertion of molecules between the planar bases of DNA. This process is used as a method for analyzing DNA and it is also the basis of certain kinds of poisoning.</w:t>
      </w:r>
    </w:p>
    <w:p w14:paraId="0E866D88" w14:textId="0CFCC198" w:rsidR="00F31118" w:rsidRDefault="00F31118" w:rsidP="00F31118">
      <w:pPr>
        <w:rPr>
          <w:lang w:val="en"/>
        </w:rPr>
      </w:pPr>
      <w:r>
        <w:rPr>
          <w:noProof/>
          <w:color w:val="0000FF"/>
          <w:lang w:eastAsia="en-CA"/>
        </w:rPr>
        <w:lastRenderedPageBreak/>
        <w:drawing>
          <wp:inline distT="0" distB="0" distL="0" distR="0" wp14:anchorId="28DAFD20" wp14:editId="0CEA20E6">
            <wp:extent cx="2377440" cy="1411605"/>
            <wp:effectExtent l="0" t="0" r="3810" b="0"/>
            <wp:docPr id="20" name="Picture 20" descr="https://upload.wikimedia.org/wikipedia/commons/thumb/8/8c/DNA_intercalation2.jpg/250px-DNA_intercalation2.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wikimedia.org/wikipedia/commons/thumb/8/8c/DNA_intercalation2.jpg/250px-DNA_intercalation2.jp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377440" cy="1411605"/>
                    </a:xfrm>
                    <a:prstGeom prst="rect">
                      <a:avLst/>
                    </a:prstGeom>
                    <a:noFill/>
                    <a:ln>
                      <a:noFill/>
                    </a:ln>
                  </pic:spPr>
                </pic:pic>
              </a:graphicData>
            </a:graphic>
          </wp:inline>
        </w:drawing>
      </w:r>
    </w:p>
    <w:p w14:paraId="5624BC91" w14:textId="77777777" w:rsidR="00F31118" w:rsidRPr="00F31118" w:rsidRDefault="00F31118" w:rsidP="00F31118">
      <w:pPr>
        <w:rPr>
          <w:rFonts w:ascii="Arial" w:hAnsi="Arial" w:cs="Arial"/>
          <w:sz w:val="20"/>
          <w:szCs w:val="20"/>
          <w:lang w:val="en"/>
        </w:rPr>
      </w:pPr>
      <w:r w:rsidRPr="00F31118">
        <w:rPr>
          <w:rFonts w:ascii="Arial" w:hAnsi="Arial" w:cs="Arial"/>
          <w:sz w:val="20"/>
          <w:szCs w:val="20"/>
          <w:lang w:val="en"/>
        </w:rPr>
        <w:t>Ethidium intercalated between two adenine-thymine base pairs.</w:t>
      </w:r>
    </w:p>
    <w:p w14:paraId="5A62EF6D" w14:textId="038B74C6" w:rsidR="00F31118" w:rsidRPr="00F73BE4" w:rsidRDefault="00F31118" w:rsidP="00F31118">
      <w:pPr>
        <w:pStyle w:val="NormalWeb"/>
        <w:rPr>
          <w:rFonts w:ascii="Arial" w:hAnsi="Arial" w:cs="Arial"/>
          <w:sz w:val="20"/>
          <w:szCs w:val="20"/>
          <w:lang w:val="en"/>
        </w:rPr>
      </w:pPr>
      <w:r w:rsidRPr="00F73BE4">
        <w:rPr>
          <w:rFonts w:ascii="Arial" w:hAnsi="Arial" w:cs="Arial"/>
          <w:sz w:val="20"/>
          <w:szCs w:val="20"/>
          <w:lang w:val="en"/>
        </w:rPr>
        <w:t xml:space="preserve">There are several ways molecules (in this case, also known as </w:t>
      </w:r>
      <w:hyperlink r:id="rId61" w:tooltip="Ligand (biochemistry)" w:history="1">
        <w:r w:rsidRPr="00F73BE4">
          <w:rPr>
            <w:rStyle w:val="Hyperlink"/>
            <w:rFonts w:ascii="Arial" w:hAnsi="Arial" w:cs="Arial"/>
            <w:i/>
            <w:iCs/>
            <w:color w:val="auto"/>
            <w:sz w:val="20"/>
            <w:szCs w:val="20"/>
            <w:u w:val="none"/>
            <w:lang w:val="en"/>
          </w:rPr>
          <w:t>ligands</w:t>
        </w:r>
      </w:hyperlink>
      <w:r w:rsidRPr="00F73BE4">
        <w:rPr>
          <w:rFonts w:ascii="Arial" w:hAnsi="Arial" w:cs="Arial"/>
          <w:sz w:val="20"/>
          <w:szCs w:val="20"/>
          <w:lang w:val="en"/>
        </w:rPr>
        <w:t>) can interact with DNA. Ligands may interact with DNA by covalently binding, electrostatically binding, or intercalating.</w:t>
      </w:r>
      <w:hyperlink r:id="rId62" w:anchor="cite_note-1" w:history="1">
        <w:r w:rsidRPr="00F73BE4">
          <w:rPr>
            <w:rFonts w:ascii="Arial" w:hAnsi="Arial" w:cs="Arial"/>
            <w:sz w:val="20"/>
            <w:szCs w:val="20"/>
            <w:vertAlign w:val="superscript"/>
            <w:lang w:val="en"/>
          </w:rPr>
          <w:t>[1]</w:t>
        </w:r>
      </w:hyperlink>
      <w:r w:rsidRPr="00F73BE4">
        <w:rPr>
          <w:rFonts w:ascii="Arial" w:hAnsi="Arial" w:cs="Arial"/>
          <w:sz w:val="20"/>
          <w:szCs w:val="20"/>
          <w:lang w:val="en"/>
        </w:rPr>
        <w:t xml:space="preserve"> Intercalation occurs when ligands of an appropriate size and chemical nature fit themselves in between base pairs of DNA. These ligands are mostly polycyclic, </w:t>
      </w:r>
      <w:hyperlink r:id="rId63" w:tooltip="Aromatic" w:history="1">
        <w:r w:rsidRPr="00F73BE4">
          <w:rPr>
            <w:rStyle w:val="Hyperlink"/>
            <w:rFonts w:ascii="Arial" w:hAnsi="Arial" w:cs="Arial"/>
            <w:color w:val="auto"/>
            <w:sz w:val="20"/>
            <w:szCs w:val="20"/>
            <w:u w:val="none"/>
            <w:lang w:val="en"/>
          </w:rPr>
          <w:t>aromatic</w:t>
        </w:r>
      </w:hyperlink>
      <w:r w:rsidRPr="00F73BE4">
        <w:rPr>
          <w:rFonts w:ascii="Arial" w:hAnsi="Arial" w:cs="Arial"/>
          <w:sz w:val="20"/>
          <w:szCs w:val="20"/>
          <w:lang w:val="en"/>
        </w:rPr>
        <w:t xml:space="preserve">, and planar, and therefore often make good nucleic acid </w:t>
      </w:r>
      <w:hyperlink r:id="rId64" w:tooltip="Staining (biology)" w:history="1">
        <w:r w:rsidRPr="00F73BE4">
          <w:rPr>
            <w:rStyle w:val="Hyperlink"/>
            <w:rFonts w:ascii="Arial" w:hAnsi="Arial" w:cs="Arial"/>
            <w:color w:val="auto"/>
            <w:sz w:val="20"/>
            <w:szCs w:val="20"/>
            <w:u w:val="none"/>
            <w:lang w:val="en"/>
          </w:rPr>
          <w:t>stains</w:t>
        </w:r>
      </w:hyperlink>
      <w:r w:rsidRPr="00F73BE4">
        <w:rPr>
          <w:rFonts w:ascii="Arial" w:hAnsi="Arial" w:cs="Arial"/>
          <w:sz w:val="20"/>
          <w:szCs w:val="20"/>
          <w:lang w:val="en"/>
        </w:rPr>
        <w:t xml:space="preserve">. Intensively studied DNA intercalators include </w:t>
      </w:r>
      <w:hyperlink r:id="rId65" w:tooltip="Berberine" w:history="1">
        <w:r w:rsidRPr="00F73BE4">
          <w:rPr>
            <w:rStyle w:val="Hyperlink"/>
            <w:rFonts w:ascii="Arial" w:hAnsi="Arial" w:cs="Arial"/>
            <w:color w:val="auto"/>
            <w:sz w:val="20"/>
            <w:szCs w:val="20"/>
            <w:u w:val="none"/>
            <w:lang w:val="en"/>
          </w:rPr>
          <w:t>berberine</w:t>
        </w:r>
      </w:hyperlink>
      <w:r w:rsidRPr="00F73BE4">
        <w:rPr>
          <w:rFonts w:ascii="Arial" w:hAnsi="Arial" w:cs="Arial"/>
          <w:sz w:val="20"/>
          <w:szCs w:val="20"/>
          <w:lang w:val="en"/>
        </w:rPr>
        <w:t xml:space="preserve">, </w:t>
      </w:r>
      <w:hyperlink r:id="rId66" w:tooltip="Ethidium bromide" w:history="1">
        <w:r w:rsidRPr="00F73BE4">
          <w:rPr>
            <w:rStyle w:val="Hyperlink"/>
            <w:rFonts w:ascii="Arial" w:hAnsi="Arial" w:cs="Arial"/>
            <w:color w:val="auto"/>
            <w:sz w:val="20"/>
            <w:szCs w:val="20"/>
            <w:u w:val="none"/>
            <w:lang w:val="en"/>
          </w:rPr>
          <w:t>ethidium bromide</w:t>
        </w:r>
      </w:hyperlink>
      <w:r w:rsidRPr="00F73BE4">
        <w:rPr>
          <w:rFonts w:ascii="Arial" w:hAnsi="Arial" w:cs="Arial"/>
          <w:sz w:val="20"/>
          <w:szCs w:val="20"/>
          <w:lang w:val="en"/>
        </w:rPr>
        <w:t xml:space="preserve">, </w:t>
      </w:r>
      <w:hyperlink r:id="rId67" w:tooltip="Proflavine" w:history="1">
        <w:r w:rsidRPr="00F73BE4">
          <w:rPr>
            <w:rStyle w:val="Hyperlink"/>
            <w:rFonts w:ascii="Arial" w:hAnsi="Arial" w:cs="Arial"/>
            <w:color w:val="auto"/>
            <w:sz w:val="20"/>
            <w:szCs w:val="20"/>
            <w:u w:val="none"/>
            <w:lang w:val="en"/>
          </w:rPr>
          <w:t>proflavine</w:t>
        </w:r>
      </w:hyperlink>
      <w:r w:rsidRPr="00F73BE4">
        <w:rPr>
          <w:rFonts w:ascii="Arial" w:hAnsi="Arial" w:cs="Arial"/>
          <w:sz w:val="20"/>
          <w:szCs w:val="20"/>
          <w:lang w:val="en"/>
        </w:rPr>
        <w:t xml:space="preserve">, </w:t>
      </w:r>
      <w:hyperlink r:id="rId68" w:tooltip="Daunomycin" w:history="1">
        <w:r w:rsidRPr="00F73BE4">
          <w:rPr>
            <w:rStyle w:val="Hyperlink"/>
            <w:rFonts w:ascii="Arial" w:hAnsi="Arial" w:cs="Arial"/>
            <w:color w:val="auto"/>
            <w:sz w:val="20"/>
            <w:szCs w:val="20"/>
            <w:u w:val="none"/>
            <w:lang w:val="en"/>
          </w:rPr>
          <w:t>daunomycin</w:t>
        </w:r>
      </w:hyperlink>
      <w:r w:rsidRPr="00F73BE4">
        <w:rPr>
          <w:rFonts w:ascii="Arial" w:hAnsi="Arial" w:cs="Arial"/>
          <w:sz w:val="20"/>
          <w:szCs w:val="20"/>
          <w:lang w:val="en"/>
        </w:rPr>
        <w:t xml:space="preserve">, </w:t>
      </w:r>
      <w:hyperlink r:id="rId69" w:tooltip="Doxorubicin" w:history="1">
        <w:r w:rsidRPr="00F73BE4">
          <w:rPr>
            <w:rStyle w:val="Hyperlink"/>
            <w:rFonts w:ascii="Arial" w:hAnsi="Arial" w:cs="Arial"/>
            <w:color w:val="auto"/>
            <w:sz w:val="20"/>
            <w:szCs w:val="20"/>
            <w:u w:val="none"/>
            <w:lang w:val="en"/>
          </w:rPr>
          <w:t>doxorubicin</w:t>
        </w:r>
      </w:hyperlink>
      <w:r w:rsidRPr="00F73BE4">
        <w:rPr>
          <w:rFonts w:ascii="Arial" w:hAnsi="Arial" w:cs="Arial"/>
          <w:sz w:val="20"/>
          <w:szCs w:val="20"/>
          <w:lang w:val="en"/>
        </w:rPr>
        <w:t xml:space="preserve">, and </w:t>
      </w:r>
      <w:hyperlink r:id="rId70" w:tooltip="Thalidomide" w:history="1">
        <w:r w:rsidRPr="00F73BE4">
          <w:rPr>
            <w:rStyle w:val="Hyperlink"/>
            <w:rFonts w:ascii="Arial" w:hAnsi="Arial" w:cs="Arial"/>
            <w:color w:val="auto"/>
            <w:sz w:val="20"/>
            <w:szCs w:val="20"/>
            <w:u w:val="none"/>
            <w:lang w:val="en"/>
          </w:rPr>
          <w:t>thalidomide</w:t>
        </w:r>
      </w:hyperlink>
      <w:r w:rsidRPr="00F73BE4">
        <w:rPr>
          <w:rFonts w:ascii="Arial" w:hAnsi="Arial" w:cs="Arial"/>
          <w:sz w:val="20"/>
          <w:szCs w:val="20"/>
          <w:lang w:val="en"/>
        </w:rPr>
        <w:t xml:space="preserve">. DNA intercalators are used in </w:t>
      </w:r>
      <w:hyperlink r:id="rId71" w:tooltip="Chemotherapy" w:history="1">
        <w:r w:rsidRPr="00F73BE4">
          <w:rPr>
            <w:rStyle w:val="Hyperlink"/>
            <w:rFonts w:ascii="Arial" w:hAnsi="Arial" w:cs="Arial"/>
            <w:color w:val="auto"/>
            <w:sz w:val="20"/>
            <w:szCs w:val="20"/>
            <w:u w:val="none"/>
            <w:lang w:val="en"/>
          </w:rPr>
          <w:t>chemotherapeutic</w:t>
        </w:r>
      </w:hyperlink>
      <w:r w:rsidRPr="00F73BE4">
        <w:rPr>
          <w:rFonts w:ascii="Arial" w:hAnsi="Arial" w:cs="Arial"/>
          <w:sz w:val="20"/>
          <w:szCs w:val="20"/>
          <w:lang w:val="en"/>
        </w:rPr>
        <w:t xml:space="preserve"> treatment to inhibit DNA replication in rapidly growing cancer cells. Examples include doxorubicin (adriamycin) and daunorubicin (both of which are used in treatment of Hodgkin's lymphoma), and dactinomycin (used in Wilm's tumour, Ewing's Sarcoma, rhabdomyosarcoma).</w:t>
      </w:r>
    </w:p>
    <w:p w14:paraId="180B8FB2" w14:textId="40F16C63" w:rsidR="00F31118" w:rsidRDefault="00F31118" w:rsidP="00F31118">
      <w:pPr>
        <w:pStyle w:val="NormalWeb"/>
        <w:rPr>
          <w:rFonts w:ascii="Arial" w:hAnsi="Arial" w:cs="Arial"/>
          <w:sz w:val="20"/>
          <w:szCs w:val="20"/>
          <w:lang w:val="en"/>
        </w:rPr>
      </w:pPr>
      <w:r w:rsidRPr="00F31118">
        <w:rPr>
          <w:rFonts w:ascii="Arial" w:hAnsi="Arial" w:cs="Arial"/>
          <w:b/>
          <w:sz w:val="20"/>
          <w:szCs w:val="20"/>
          <w:lang w:val="en"/>
        </w:rPr>
        <w:t xml:space="preserve">Planar Ring System: </w:t>
      </w:r>
      <w:r>
        <w:rPr>
          <w:rFonts w:ascii="Arial" w:hAnsi="Arial" w:cs="Arial"/>
          <w:sz w:val="20"/>
          <w:szCs w:val="20"/>
          <w:lang w:val="en"/>
        </w:rPr>
        <w:t xml:space="preserve">a </w:t>
      </w:r>
      <w:r w:rsidR="00F73BE4">
        <w:rPr>
          <w:rFonts w:ascii="Arial" w:hAnsi="Arial" w:cs="Arial"/>
          <w:sz w:val="20"/>
          <w:szCs w:val="20"/>
          <w:lang w:val="en"/>
        </w:rPr>
        <w:t>chemical ring where all the atoms involved in the ring structure are located within the same plane =&gt; this means that the ring is flat</w:t>
      </w:r>
    </w:p>
    <w:p w14:paraId="08D7E6B6" w14:textId="1B0943C6" w:rsidR="00F73BE4" w:rsidRPr="00F73BE4" w:rsidRDefault="00F73BE4" w:rsidP="00F31118">
      <w:pPr>
        <w:pStyle w:val="NormalWeb"/>
        <w:rPr>
          <w:rFonts w:ascii="Arial" w:hAnsi="Arial" w:cs="Arial"/>
          <w:sz w:val="20"/>
          <w:szCs w:val="20"/>
          <w:lang w:val="en"/>
        </w:rPr>
      </w:pPr>
      <w:r w:rsidRPr="00F73BE4">
        <w:rPr>
          <w:rFonts w:ascii="Arial" w:hAnsi="Arial" w:cs="Arial"/>
          <w:b/>
          <w:sz w:val="20"/>
          <w:szCs w:val="20"/>
          <w:lang w:val="en"/>
        </w:rPr>
        <w:t xml:space="preserve">Ultraviolet (UV) vs. Visible Spectrum Radiation: </w:t>
      </w:r>
      <w:r w:rsidRPr="00F73BE4">
        <w:rPr>
          <w:rFonts w:ascii="Arial" w:hAnsi="Arial" w:cs="Arial"/>
          <w:b/>
          <w:bCs/>
          <w:sz w:val="20"/>
          <w:szCs w:val="20"/>
          <w:lang w:val="en"/>
        </w:rPr>
        <w:t>Ultraviolet</w:t>
      </w:r>
      <w:r w:rsidRPr="00F73BE4">
        <w:rPr>
          <w:rFonts w:ascii="Arial" w:hAnsi="Arial" w:cs="Arial"/>
          <w:sz w:val="20"/>
          <w:szCs w:val="20"/>
          <w:lang w:val="en"/>
        </w:rPr>
        <w:t xml:space="preserve"> (</w:t>
      </w:r>
      <w:r w:rsidRPr="00F73BE4">
        <w:rPr>
          <w:rFonts w:ascii="Arial" w:hAnsi="Arial" w:cs="Arial"/>
          <w:b/>
          <w:bCs/>
          <w:sz w:val="20"/>
          <w:szCs w:val="20"/>
          <w:lang w:val="en"/>
        </w:rPr>
        <w:t>UV</w:t>
      </w:r>
      <w:r w:rsidRPr="00F73BE4">
        <w:rPr>
          <w:rFonts w:ascii="Arial" w:hAnsi="Arial" w:cs="Arial"/>
          <w:sz w:val="20"/>
          <w:szCs w:val="20"/>
          <w:lang w:val="en"/>
        </w:rPr>
        <w:t xml:space="preserve">) is an </w:t>
      </w:r>
      <w:hyperlink r:id="rId72" w:tooltip="Electromagnetic radiation" w:history="1">
        <w:r w:rsidRPr="00F73BE4">
          <w:rPr>
            <w:rStyle w:val="Hyperlink"/>
            <w:rFonts w:ascii="Arial" w:hAnsi="Arial" w:cs="Arial"/>
            <w:color w:val="auto"/>
            <w:sz w:val="20"/>
            <w:szCs w:val="20"/>
            <w:u w:val="none"/>
            <w:lang w:val="en"/>
          </w:rPr>
          <w:t>electromagnetic radiation</w:t>
        </w:r>
      </w:hyperlink>
      <w:r w:rsidRPr="00F73BE4">
        <w:rPr>
          <w:rFonts w:ascii="Arial" w:hAnsi="Arial" w:cs="Arial"/>
          <w:sz w:val="20"/>
          <w:szCs w:val="20"/>
          <w:lang w:val="en"/>
        </w:rPr>
        <w:t xml:space="preserve"> with a </w:t>
      </w:r>
      <w:hyperlink r:id="rId73" w:tooltip="Wavelength" w:history="1">
        <w:r w:rsidRPr="00F73BE4">
          <w:rPr>
            <w:rStyle w:val="Hyperlink"/>
            <w:rFonts w:ascii="Arial" w:hAnsi="Arial" w:cs="Arial"/>
            <w:color w:val="auto"/>
            <w:sz w:val="20"/>
            <w:szCs w:val="20"/>
            <w:u w:val="none"/>
            <w:lang w:val="en"/>
          </w:rPr>
          <w:t>wavelength</w:t>
        </w:r>
      </w:hyperlink>
      <w:r w:rsidRPr="00F73BE4">
        <w:rPr>
          <w:rFonts w:ascii="Arial" w:hAnsi="Arial" w:cs="Arial"/>
          <w:sz w:val="20"/>
          <w:szCs w:val="20"/>
          <w:lang w:val="en"/>
        </w:rPr>
        <w:t xml:space="preserve"> from 10 nm (30 </w:t>
      </w:r>
      <w:hyperlink r:id="rId74" w:tooltip="PHz" w:history="1">
        <w:r w:rsidRPr="00F73BE4">
          <w:rPr>
            <w:rStyle w:val="Hyperlink"/>
            <w:rFonts w:ascii="Arial" w:hAnsi="Arial" w:cs="Arial"/>
            <w:color w:val="auto"/>
            <w:sz w:val="20"/>
            <w:szCs w:val="20"/>
            <w:u w:val="none"/>
            <w:lang w:val="en"/>
          </w:rPr>
          <w:t>PHz</w:t>
        </w:r>
      </w:hyperlink>
      <w:r w:rsidRPr="00F73BE4">
        <w:rPr>
          <w:rFonts w:ascii="Arial" w:hAnsi="Arial" w:cs="Arial"/>
          <w:sz w:val="20"/>
          <w:szCs w:val="20"/>
          <w:lang w:val="en"/>
        </w:rPr>
        <w:t xml:space="preserve">) to 400 nm (750 </w:t>
      </w:r>
      <w:hyperlink r:id="rId75" w:tooltip="THz" w:history="1">
        <w:r w:rsidRPr="00F73BE4">
          <w:rPr>
            <w:rStyle w:val="Hyperlink"/>
            <w:rFonts w:ascii="Arial" w:hAnsi="Arial" w:cs="Arial"/>
            <w:color w:val="auto"/>
            <w:sz w:val="20"/>
            <w:szCs w:val="20"/>
            <w:u w:val="none"/>
            <w:lang w:val="en"/>
          </w:rPr>
          <w:t>THz</w:t>
        </w:r>
      </w:hyperlink>
      <w:r w:rsidRPr="00F73BE4">
        <w:rPr>
          <w:rFonts w:ascii="Arial" w:hAnsi="Arial" w:cs="Arial"/>
          <w:sz w:val="20"/>
          <w:szCs w:val="20"/>
          <w:lang w:val="en"/>
        </w:rPr>
        <w:t xml:space="preserve">), shorter than that of </w:t>
      </w:r>
      <w:hyperlink r:id="rId76" w:tooltip="Visible light" w:history="1">
        <w:r w:rsidRPr="00F73BE4">
          <w:rPr>
            <w:rStyle w:val="Hyperlink"/>
            <w:rFonts w:ascii="Arial" w:hAnsi="Arial" w:cs="Arial"/>
            <w:color w:val="auto"/>
            <w:sz w:val="20"/>
            <w:szCs w:val="20"/>
            <w:u w:val="none"/>
            <w:lang w:val="en"/>
          </w:rPr>
          <w:t>visible light</w:t>
        </w:r>
      </w:hyperlink>
      <w:r w:rsidRPr="00F73BE4">
        <w:rPr>
          <w:rFonts w:ascii="Arial" w:hAnsi="Arial" w:cs="Arial"/>
          <w:sz w:val="20"/>
          <w:szCs w:val="20"/>
          <w:lang w:val="en"/>
        </w:rPr>
        <w:t xml:space="preserve"> but longer than </w:t>
      </w:r>
      <w:hyperlink r:id="rId77" w:tooltip="X-ray" w:history="1">
        <w:r w:rsidRPr="00F73BE4">
          <w:rPr>
            <w:rStyle w:val="Hyperlink"/>
            <w:rFonts w:ascii="Arial" w:hAnsi="Arial" w:cs="Arial"/>
            <w:color w:val="auto"/>
            <w:sz w:val="20"/>
            <w:szCs w:val="20"/>
            <w:u w:val="none"/>
            <w:lang w:val="en"/>
          </w:rPr>
          <w:t>X-rays</w:t>
        </w:r>
      </w:hyperlink>
      <w:r w:rsidRPr="00F73BE4">
        <w:rPr>
          <w:rFonts w:ascii="Arial" w:hAnsi="Arial" w:cs="Arial"/>
          <w:sz w:val="20"/>
          <w:szCs w:val="20"/>
          <w:lang w:val="en"/>
        </w:rPr>
        <w:t xml:space="preserve">. </w:t>
      </w:r>
      <w:r w:rsidRPr="00F73BE4">
        <w:rPr>
          <w:rFonts w:ascii="Arial" w:hAnsi="Arial" w:cs="Arial"/>
          <w:b/>
          <w:sz w:val="20"/>
          <w:szCs w:val="20"/>
          <w:lang w:val="en"/>
        </w:rPr>
        <w:t xml:space="preserve">UV radiation </w:t>
      </w:r>
      <w:r w:rsidRPr="00F73BE4">
        <w:rPr>
          <w:rFonts w:ascii="Arial" w:hAnsi="Arial" w:cs="Arial"/>
          <w:sz w:val="20"/>
          <w:szCs w:val="20"/>
          <w:lang w:val="en"/>
        </w:rPr>
        <w:t xml:space="preserve">is present in </w:t>
      </w:r>
      <w:hyperlink r:id="rId78" w:tooltip="Sunlight" w:history="1">
        <w:r w:rsidRPr="00F73BE4">
          <w:rPr>
            <w:rStyle w:val="Hyperlink"/>
            <w:rFonts w:ascii="Arial" w:hAnsi="Arial" w:cs="Arial"/>
            <w:color w:val="auto"/>
            <w:sz w:val="20"/>
            <w:szCs w:val="20"/>
            <w:u w:val="none"/>
            <w:lang w:val="en"/>
          </w:rPr>
          <w:t>sunlight</w:t>
        </w:r>
      </w:hyperlink>
      <w:r w:rsidRPr="00F73BE4">
        <w:rPr>
          <w:rFonts w:ascii="Arial" w:hAnsi="Arial" w:cs="Arial"/>
          <w:sz w:val="20"/>
          <w:szCs w:val="20"/>
          <w:lang w:val="en"/>
        </w:rPr>
        <w:t xml:space="preserve">. It is also produced by </w:t>
      </w:r>
      <w:hyperlink r:id="rId79" w:tooltip="Electric arc" w:history="1">
        <w:r w:rsidRPr="00F73BE4">
          <w:rPr>
            <w:rStyle w:val="Hyperlink"/>
            <w:rFonts w:ascii="Arial" w:hAnsi="Arial" w:cs="Arial"/>
            <w:color w:val="auto"/>
            <w:sz w:val="20"/>
            <w:szCs w:val="20"/>
            <w:u w:val="none"/>
            <w:lang w:val="en"/>
          </w:rPr>
          <w:t>electric arcs</w:t>
        </w:r>
      </w:hyperlink>
      <w:r w:rsidRPr="00F73BE4">
        <w:rPr>
          <w:rFonts w:ascii="Arial" w:hAnsi="Arial" w:cs="Arial"/>
          <w:sz w:val="20"/>
          <w:szCs w:val="20"/>
          <w:lang w:val="en"/>
        </w:rPr>
        <w:t xml:space="preserve"> and specialized lights such as </w:t>
      </w:r>
      <w:hyperlink r:id="rId80" w:tooltip="Mercury-vapor lamp" w:history="1">
        <w:r w:rsidRPr="00F73BE4">
          <w:rPr>
            <w:rStyle w:val="Hyperlink"/>
            <w:rFonts w:ascii="Arial" w:hAnsi="Arial" w:cs="Arial"/>
            <w:color w:val="auto"/>
            <w:sz w:val="20"/>
            <w:szCs w:val="20"/>
            <w:u w:val="none"/>
            <w:lang w:val="en"/>
          </w:rPr>
          <w:t>mercury-vapor lamps</w:t>
        </w:r>
      </w:hyperlink>
      <w:r w:rsidRPr="00F73BE4">
        <w:rPr>
          <w:rFonts w:ascii="Arial" w:hAnsi="Arial" w:cs="Arial"/>
          <w:sz w:val="20"/>
          <w:szCs w:val="20"/>
          <w:lang w:val="en"/>
        </w:rPr>
        <w:t xml:space="preserve">, </w:t>
      </w:r>
      <w:hyperlink r:id="rId81" w:tooltip="Tanning lamp" w:history="1">
        <w:r w:rsidRPr="00F73BE4">
          <w:rPr>
            <w:rStyle w:val="Hyperlink"/>
            <w:rFonts w:ascii="Arial" w:hAnsi="Arial" w:cs="Arial"/>
            <w:color w:val="auto"/>
            <w:sz w:val="20"/>
            <w:szCs w:val="20"/>
            <w:u w:val="none"/>
            <w:lang w:val="en"/>
          </w:rPr>
          <w:t>tanning lamps</w:t>
        </w:r>
      </w:hyperlink>
      <w:r w:rsidRPr="00F73BE4">
        <w:rPr>
          <w:rFonts w:ascii="Arial" w:hAnsi="Arial" w:cs="Arial"/>
          <w:sz w:val="20"/>
          <w:szCs w:val="20"/>
          <w:lang w:val="en"/>
        </w:rPr>
        <w:t xml:space="preserve">, and </w:t>
      </w:r>
      <w:hyperlink r:id="rId82" w:tooltip="Black light" w:history="1">
        <w:r w:rsidRPr="00F73BE4">
          <w:rPr>
            <w:rStyle w:val="Hyperlink"/>
            <w:rFonts w:ascii="Arial" w:hAnsi="Arial" w:cs="Arial"/>
            <w:color w:val="auto"/>
            <w:sz w:val="20"/>
            <w:szCs w:val="20"/>
            <w:u w:val="none"/>
            <w:lang w:val="en"/>
          </w:rPr>
          <w:t>black lights</w:t>
        </w:r>
      </w:hyperlink>
      <w:r w:rsidRPr="00F73BE4">
        <w:rPr>
          <w:rFonts w:ascii="Arial" w:hAnsi="Arial" w:cs="Arial"/>
          <w:sz w:val="20"/>
          <w:szCs w:val="20"/>
          <w:lang w:val="en"/>
        </w:rPr>
        <w:t xml:space="preserve">. Although lacking the </w:t>
      </w:r>
      <w:hyperlink r:id="rId83" w:tooltip="Photon energy" w:history="1">
        <w:r w:rsidRPr="00F73BE4">
          <w:rPr>
            <w:rStyle w:val="Hyperlink"/>
            <w:rFonts w:ascii="Arial" w:hAnsi="Arial" w:cs="Arial"/>
            <w:color w:val="auto"/>
            <w:sz w:val="20"/>
            <w:szCs w:val="20"/>
            <w:u w:val="none"/>
            <w:lang w:val="en"/>
          </w:rPr>
          <w:t>energy</w:t>
        </w:r>
      </w:hyperlink>
      <w:r w:rsidRPr="00F73BE4">
        <w:rPr>
          <w:rFonts w:ascii="Arial" w:hAnsi="Arial" w:cs="Arial"/>
          <w:sz w:val="20"/>
          <w:szCs w:val="20"/>
          <w:lang w:val="en"/>
        </w:rPr>
        <w:t xml:space="preserve"> to </w:t>
      </w:r>
      <w:hyperlink r:id="rId84" w:tooltip="Ionization energies of the elements (data page)" w:history="1">
        <w:r w:rsidRPr="00F73BE4">
          <w:rPr>
            <w:rStyle w:val="Hyperlink"/>
            <w:rFonts w:ascii="Arial" w:hAnsi="Arial" w:cs="Arial"/>
            <w:color w:val="auto"/>
            <w:sz w:val="20"/>
            <w:szCs w:val="20"/>
            <w:u w:val="none"/>
            <w:lang w:val="en"/>
          </w:rPr>
          <w:t>ionize atoms</w:t>
        </w:r>
      </w:hyperlink>
      <w:r w:rsidRPr="00F73BE4">
        <w:rPr>
          <w:rFonts w:ascii="Arial" w:hAnsi="Arial" w:cs="Arial"/>
          <w:sz w:val="20"/>
          <w:szCs w:val="20"/>
          <w:lang w:val="en"/>
        </w:rPr>
        <w:t xml:space="preserve">, long-wavelength </w:t>
      </w:r>
      <w:r w:rsidRPr="00F73BE4">
        <w:rPr>
          <w:rFonts w:ascii="Arial" w:hAnsi="Arial" w:cs="Arial"/>
          <w:b/>
          <w:sz w:val="20"/>
          <w:szCs w:val="20"/>
          <w:lang w:val="en"/>
        </w:rPr>
        <w:t>ultraviolet radiation</w:t>
      </w:r>
      <w:r w:rsidRPr="00F73BE4">
        <w:rPr>
          <w:rFonts w:ascii="Arial" w:hAnsi="Arial" w:cs="Arial"/>
          <w:sz w:val="20"/>
          <w:szCs w:val="20"/>
          <w:lang w:val="en"/>
        </w:rPr>
        <w:t xml:space="preserve"> can cause </w:t>
      </w:r>
      <w:hyperlink r:id="rId85" w:tooltip="Chemical reaction" w:history="1">
        <w:r w:rsidRPr="00F73BE4">
          <w:rPr>
            <w:rStyle w:val="Hyperlink"/>
            <w:rFonts w:ascii="Arial" w:hAnsi="Arial" w:cs="Arial"/>
            <w:color w:val="auto"/>
            <w:sz w:val="20"/>
            <w:szCs w:val="20"/>
            <w:u w:val="none"/>
            <w:lang w:val="en"/>
          </w:rPr>
          <w:t>chemical reactions</w:t>
        </w:r>
      </w:hyperlink>
      <w:r w:rsidRPr="00F73BE4">
        <w:rPr>
          <w:rFonts w:ascii="Arial" w:hAnsi="Arial" w:cs="Arial"/>
          <w:sz w:val="20"/>
          <w:szCs w:val="20"/>
          <w:lang w:val="en"/>
        </w:rPr>
        <w:t xml:space="preserve"> and causes many substances to glow or </w:t>
      </w:r>
      <w:hyperlink r:id="rId86" w:tooltip="Fluorescence" w:history="1">
        <w:r w:rsidRPr="00F73BE4">
          <w:rPr>
            <w:rStyle w:val="Hyperlink"/>
            <w:rFonts w:ascii="Arial" w:hAnsi="Arial" w:cs="Arial"/>
            <w:color w:val="auto"/>
            <w:sz w:val="20"/>
            <w:szCs w:val="20"/>
            <w:u w:val="none"/>
            <w:lang w:val="en"/>
          </w:rPr>
          <w:t>fluoresce</w:t>
        </w:r>
      </w:hyperlink>
      <w:r w:rsidRPr="00F73BE4">
        <w:rPr>
          <w:rFonts w:ascii="Arial" w:hAnsi="Arial" w:cs="Arial"/>
          <w:sz w:val="20"/>
          <w:szCs w:val="20"/>
          <w:lang w:val="en"/>
        </w:rPr>
        <w:t>.</w:t>
      </w:r>
      <w:r>
        <w:rPr>
          <w:rFonts w:ascii="Arial" w:hAnsi="Arial" w:cs="Arial"/>
          <w:sz w:val="20"/>
          <w:szCs w:val="20"/>
          <w:lang w:val="en"/>
        </w:rPr>
        <w:t xml:space="preserve"> </w:t>
      </w:r>
      <w:r w:rsidRPr="00F73BE4">
        <w:rPr>
          <w:rFonts w:ascii="Arial" w:hAnsi="Arial" w:cs="Arial"/>
          <w:sz w:val="20"/>
          <w:szCs w:val="20"/>
          <w:lang w:val="en"/>
        </w:rPr>
        <w:t xml:space="preserve">The </w:t>
      </w:r>
      <w:r w:rsidRPr="00F73BE4">
        <w:rPr>
          <w:rFonts w:ascii="Arial" w:hAnsi="Arial" w:cs="Arial"/>
          <w:b/>
          <w:bCs/>
          <w:sz w:val="20"/>
          <w:szCs w:val="20"/>
          <w:lang w:val="en"/>
        </w:rPr>
        <w:t>visible spectrum</w:t>
      </w:r>
      <w:r w:rsidRPr="00F73BE4">
        <w:rPr>
          <w:rFonts w:ascii="Arial" w:hAnsi="Arial" w:cs="Arial"/>
          <w:sz w:val="20"/>
          <w:szCs w:val="20"/>
          <w:lang w:val="en"/>
        </w:rPr>
        <w:t xml:space="preserve"> is the portion of the </w:t>
      </w:r>
      <w:hyperlink r:id="rId87" w:tooltip="Electromagnetic spectrum" w:history="1">
        <w:r w:rsidRPr="00F73BE4">
          <w:rPr>
            <w:rStyle w:val="Hyperlink"/>
            <w:rFonts w:ascii="Arial" w:hAnsi="Arial" w:cs="Arial"/>
            <w:color w:val="auto"/>
            <w:sz w:val="20"/>
            <w:szCs w:val="20"/>
            <w:u w:val="none"/>
            <w:lang w:val="en"/>
          </w:rPr>
          <w:t>electromagnetic spectrum</w:t>
        </w:r>
      </w:hyperlink>
      <w:r w:rsidRPr="00F73BE4">
        <w:rPr>
          <w:rFonts w:ascii="Arial" w:hAnsi="Arial" w:cs="Arial"/>
          <w:sz w:val="20"/>
          <w:szCs w:val="20"/>
          <w:lang w:val="en"/>
        </w:rPr>
        <w:t xml:space="preserve"> that is </w:t>
      </w:r>
      <w:hyperlink r:id="rId88" w:tooltip="Visual perception" w:history="1">
        <w:r w:rsidRPr="00F73BE4">
          <w:rPr>
            <w:rStyle w:val="Hyperlink"/>
            <w:rFonts w:ascii="Arial" w:hAnsi="Arial" w:cs="Arial"/>
            <w:color w:val="auto"/>
            <w:sz w:val="20"/>
            <w:szCs w:val="20"/>
            <w:u w:val="none"/>
            <w:lang w:val="en"/>
          </w:rPr>
          <w:t>visible</w:t>
        </w:r>
      </w:hyperlink>
      <w:r w:rsidRPr="00F73BE4">
        <w:rPr>
          <w:rFonts w:ascii="Arial" w:hAnsi="Arial" w:cs="Arial"/>
          <w:sz w:val="20"/>
          <w:szCs w:val="20"/>
          <w:lang w:val="en"/>
        </w:rPr>
        <w:t xml:space="preserve"> to the </w:t>
      </w:r>
      <w:hyperlink r:id="rId89" w:tooltip="Human eye" w:history="1">
        <w:r w:rsidRPr="00F73BE4">
          <w:rPr>
            <w:rStyle w:val="Hyperlink"/>
            <w:rFonts w:ascii="Arial" w:hAnsi="Arial" w:cs="Arial"/>
            <w:color w:val="auto"/>
            <w:sz w:val="20"/>
            <w:szCs w:val="20"/>
            <w:u w:val="none"/>
            <w:lang w:val="en"/>
          </w:rPr>
          <w:t>human eye</w:t>
        </w:r>
      </w:hyperlink>
      <w:r w:rsidRPr="00F73BE4">
        <w:rPr>
          <w:rFonts w:ascii="Arial" w:hAnsi="Arial" w:cs="Arial"/>
          <w:sz w:val="20"/>
          <w:szCs w:val="20"/>
          <w:lang w:val="en"/>
        </w:rPr>
        <w:t xml:space="preserve">. </w:t>
      </w:r>
      <w:hyperlink r:id="rId90" w:tooltip="Electromagnetic radiation" w:history="1">
        <w:r w:rsidRPr="00F73BE4">
          <w:rPr>
            <w:rStyle w:val="Hyperlink"/>
            <w:rFonts w:ascii="Arial" w:hAnsi="Arial" w:cs="Arial"/>
            <w:color w:val="auto"/>
            <w:sz w:val="20"/>
            <w:szCs w:val="20"/>
            <w:u w:val="none"/>
            <w:lang w:val="en"/>
          </w:rPr>
          <w:t>Electromagnetic radiation</w:t>
        </w:r>
      </w:hyperlink>
      <w:r w:rsidRPr="00F73BE4">
        <w:rPr>
          <w:rFonts w:ascii="Arial" w:hAnsi="Arial" w:cs="Arial"/>
          <w:sz w:val="20"/>
          <w:szCs w:val="20"/>
          <w:lang w:val="en"/>
        </w:rPr>
        <w:t xml:space="preserve"> in this range of </w:t>
      </w:r>
      <w:hyperlink r:id="rId91" w:tooltip="Wavelength" w:history="1">
        <w:r w:rsidRPr="00F73BE4">
          <w:rPr>
            <w:rStyle w:val="Hyperlink"/>
            <w:rFonts w:ascii="Arial" w:hAnsi="Arial" w:cs="Arial"/>
            <w:color w:val="auto"/>
            <w:sz w:val="20"/>
            <w:szCs w:val="20"/>
            <w:u w:val="none"/>
            <w:lang w:val="en"/>
          </w:rPr>
          <w:t>wavelengths</w:t>
        </w:r>
      </w:hyperlink>
      <w:r w:rsidRPr="00F73BE4">
        <w:rPr>
          <w:rFonts w:ascii="Arial" w:hAnsi="Arial" w:cs="Arial"/>
          <w:sz w:val="20"/>
          <w:szCs w:val="20"/>
          <w:lang w:val="en"/>
        </w:rPr>
        <w:t xml:space="preserve"> is called </w:t>
      </w:r>
      <w:r w:rsidRPr="00F73BE4">
        <w:rPr>
          <w:rFonts w:ascii="Arial" w:hAnsi="Arial" w:cs="Arial"/>
          <w:b/>
          <w:bCs/>
          <w:sz w:val="20"/>
          <w:szCs w:val="20"/>
          <w:lang w:val="en"/>
        </w:rPr>
        <w:t>visible light</w:t>
      </w:r>
      <w:r w:rsidRPr="00F73BE4">
        <w:rPr>
          <w:rFonts w:ascii="Arial" w:hAnsi="Arial" w:cs="Arial"/>
          <w:sz w:val="20"/>
          <w:szCs w:val="20"/>
          <w:lang w:val="en"/>
        </w:rPr>
        <w:t xml:space="preserve"> or simply </w:t>
      </w:r>
      <w:hyperlink r:id="rId92" w:tooltip="Light" w:history="1">
        <w:r w:rsidRPr="00F73BE4">
          <w:rPr>
            <w:rStyle w:val="Hyperlink"/>
            <w:rFonts w:ascii="Arial" w:hAnsi="Arial" w:cs="Arial"/>
            <w:color w:val="auto"/>
            <w:sz w:val="20"/>
            <w:szCs w:val="20"/>
            <w:u w:val="none"/>
            <w:lang w:val="en"/>
          </w:rPr>
          <w:t>light</w:t>
        </w:r>
      </w:hyperlink>
      <w:r w:rsidRPr="00F73BE4">
        <w:rPr>
          <w:rFonts w:ascii="Arial" w:hAnsi="Arial" w:cs="Arial"/>
          <w:sz w:val="20"/>
          <w:szCs w:val="20"/>
          <w:lang w:val="en"/>
        </w:rPr>
        <w:t xml:space="preserve">. A typical human eye will respond to wavelengths from about </w:t>
      </w:r>
      <w:hyperlink r:id="rId93" w:tooltip="1 E-7 m" w:history="1">
        <w:r w:rsidRPr="00F73BE4">
          <w:rPr>
            <w:rStyle w:val="Hyperlink"/>
            <w:rFonts w:ascii="Arial" w:hAnsi="Arial" w:cs="Arial"/>
            <w:color w:val="auto"/>
            <w:sz w:val="20"/>
            <w:szCs w:val="20"/>
            <w:u w:val="none"/>
            <w:lang w:val="en"/>
          </w:rPr>
          <w:t>390 to 700 nm</w:t>
        </w:r>
      </w:hyperlink>
      <w:r w:rsidRPr="00F73BE4">
        <w:rPr>
          <w:rFonts w:ascii="Arial" w:hAnsi="Arial" w:cs="Arial"/>
          <w:sz w:val="20"/>
          <w:szCs w:val="20"/>
          <w:lang w:val="en"/>
        </w:rPr>
        <w:t>.</w:t>
      </w:r>
      <w:hyperlink r:id="rId94" w:anchor="cite_note-1" w:history="1">
        <w:r w:rsidRPr="00F73BE4">
          <w:rPr>
            <w:rFonts w:ascii="Arial" w:hAnsi="Arial" w:cs="Arial"/>
            <w:sz w:val="20"/>
            <w:szCs w:val="20"/>
            <w:vertAlign w:val="superscript"/>
            <w:lang w:val="en"/>
          </w:rPr>
          <w:t>[1]</w:t>
        </w:r>
      </w:hyperlink>
      <w:r w:rsidRPr="00F73BE4">
        <w:rPr>
          <w:rFonts w:ascii="Arial" w:hAnsi="Arial" w:cs="Arial"/>
          <w:sz w:val="20"/>
          <w:szCs w:val="20"/>
          <w:lang w:val="en"/>
        </w:rPr>
        <w:t xml:space="preserve"> In terms of frequency, this corresponds to a band in the vicinity of 430–770 </w:t>
      </w:r>
      <w:hyperlink r:id="rId95" w:tooltip="Hertz" w:history="1">
        <w:r w:rsidRPr="00F73BE4">
          <w:rPr>
            <w:rStyle w:val="Hyperlink"/>
            <w:rFonts w:ascii="Arial" w:hAnsi="Arial" w:cs="Arial"/>
            <w:color w:val="auto"/>
            <w:sz w:val="20"/>
            <w:szCs w:val="20"/>
            <w:u w:val="none"/>
            <w:lang w:val="en"/>
          </w:rPr>
          <w:t>THz</w:t>
        </w:r>
      </w:hyperlink>
      <w:r w:rsidRPr="00F73BE4">
        <w:rPr>
          <w:rFonts w:ascii="Arial" w:hAnsi="Arial" w:cs="Arial"/>
          <w:sz w:val="20"/>
          <w:szCs w:val="20"/>
          <w:lang w:val="en"/>
        </w:rPr>
        <w:t>.</w:t>
      </w:r>
    </w:p>
    <w:p w14:paraId="1520B1EF" w14:textId="3DAFE1AC" w:rsidR="00F31118" w:rsidRDefault="00F73BE4" w:rsidP="00892766">
      <w:pPr>
        <w:rPr>
          <w:rFonts w:ascii="Arial" w:hAnsi="Arial" w:cs="Arial"/>
          <w:sz w:val="20"/>
          <w:szCs w:val="20"/>
          <w:lang w:val="en"/>
        </w:rPr>
      </w:pPr>
      <w:r>
        <w:rPr>
          <w:rFonts w:ascii="Arial" w:hAnsi="Arial" w:cs="Arial"/>
          <w:b/>
          <w:sz w:val="20"/>
          <w:szCs w:val="20"/>
        </w:rPr>
        <w:t xml:space="preserve">Nanometre Wavelength: </w:t>
      </w:r>
      <w:r w:rsidR="005A1DFA" w:rsidRPr="005A1DFA">
        <w:rPr>
          <w:rFonts w:ascii="Arial" w:hAnsi="Arial" w:cs="Arial"/>
          <w:sz w:val="20"/>
          <w:szCs w:val="20"/>
          <w:lang w:val="en"/>
        </w:rPr>
        <w:t xml:space="preserve">The </w:t>
      </w:r>
      <w:r w:rsidR="005A1DFA" w:rsidRPr="005A1DFA">
        <w:rPr>
          <w:rFonts w:ascii="Arial" w:hAnsi="Arial" w:cs="Arial"/>
          <w:b/>
          <w:bCs/>
          <w:sz w:val="20"/>
          <w:szCs w:val="20"/>
          <w:lang w:val="en"/>
        </w:rPr>
        <w:t>nanometre</w:t>
      </w:r>
      <w:r w:rsidR="005A1DFA" w:rsidRPr="005A1DFA">
        <w:rPr>
          <w:rFonts w:ascii="Arial" w:hAnsi="Arial" w:cs="Arial"/>
          <w:sz w:val="20"/>
          <w:szCs w:val="20"/>
          <w:lang w:val="en"/>
        </w:rPr>
        <w:t xml:space="preserve"> (</w:t>
      </w:r>
      <w:hyperlink r:id="rId96" w:anchor="-re.2C_-er" w:tooltip="American and British English spelling differences" w:history="1">
        <w:r w:rsidR="005A1DFA" w:rsidRPr="005A1DFA">
          <w:rPr>
            <w:rStyle w:val="Hyperlink"/>
            <w:rFonts w:ascii="Arial" w:hAnsi="Arial" w:cs="Arial"/>
            <w:color w:val="auto"/>
            <w:sz w:val="20"/>
            <w:szCs w:val="20"/>
            <w:u w:val="none"/>
            <w:lang w:val="en"/>
          </w:rPr>
          <w:t>International spelling</w:t>
        </w:r>
      </w:hyperlink>
      <w:r w:rsidR="005A1DFA" w:rsidRPr="005A1DFA">
        <w:rPr>
          <w:rFonts w:ascii="Arial" w:hAnsi="Arial" w:cs="Arial"/>
          <w:sz w:val="20"/>
          <w:szCs w:val="20"/>
          <w:lang w:val="en"/>
        </w:rPr>
        <w:t xml:space="preserve"> as used by the </w:t>
      </w:r>
      <w:hyperlink r:id="rId97" w:tooltip="International Bureau of Weights and Measures" w:history="1">
        <w:r w:rsidR="005A1DFA" w:rsidRPr="005A1DFA">
          <w:rPr>
            <w:rStyle w:val="Hyperlink"/>
            <w:rFonts w:ascii="Arial" w:hAnsi="Arial" w:cs="Arial"/>
            <w:color w:val="auto"/>
            <w:sz w:val="20"/>
            <w:szCs w:val="20"/>
            <w:u w:val="none"/>
            <w:lang w:val="en"/>
          </w:rPr>
          <w:t>International Bureau of Weights and Measures</w:t>
        </w:r>
      </w:hyperlink>
      <w:r w:rsidR="005A1DFA" w:rsidRPr="005A1DFA">
        <w:rPr>
          <w:rFonts w:ascii="Arial" w:hAnsi="Arial" w:cs="Arial"/>
          <w:sz w:val="20"/>
          <w:szCs w:val="20"/>
          <w:lang w:val="en"/>
        </w:rPr>
        <w:t xml:space="preserve">; </w:t>
      </w:r>
      <w:hyperlink r:id="rId98" w:tooltip="SI" w:history="1">
        <w:r w:rsidR="005A1DFA" w:rsidRPr="005A1DFA">
          <w:rPr>
            <w:rStyle w:val="Hyperlink"/>
            <w:rFonts w:ascii="Arial" w:hAnsi="Arial" w:cs="Arial"/>
            <w:color w:val="auto"/>
            <w:sz w:val="20"/>
            <w:szCs w:val="20"/>
            <w:u w:val="none"/>
            <w:lang w:val="en"/>
          </w:rPr>
          <w:t>SI</w:t>
        </w:r>
      </w:hyperlink>
      <w:r w:rsidR="005A1DFA" w:rsidRPr="005A1DFA">
        <w:rPr>
          <w:rFonts w:ascii="Arial" w:hAnsi="Arial" w:cs="Arial"/>
          <w:sz w:val="20"/>
          <w:szCs w:val="20"/>
          <w:lang w:val="en"/>
        </w:rPr>
        <w:t xml:space="preserve"> symbol: </w:t>
      </w:r>
      <w:r w:rsidR="005A1DFA" w:rsidRPr="005A1DFA">
        <w:rPr>
          <w:rFonts w:ascii="Arial" w:hAnsi="Arial" w:cs="Arial"/>
          <w:b/>
          <w:bCs/>
          <w:sz w:val="20"/>
          <w:szCs w:val="20"/>
          <w:lang w:val="en"/>
        </w:rPr>
        <w:t>nm</w:t>
      </w:r>
      <w:r w:rsidR="005A1DFA" w:rsidRPr="005A1DFA">
        <w:rPr>
          <w:rFonts w:ascii="Arial" w:hAnsi="Arial" w:cs="Arial"/>
          <w:sz w:val="20"/>
          <w:szCs w:val="20"/>
          <w:lang w:val="en"/>
        </w:rPr>
        <w:t xml:space="preserve">) or </w:t>
      </w:r>
      <w:r w:rsidR="005A1DFA" w:rsidRPr="005A1DFA">
        <w:rPr>
          <w:rFonts w:ascii="Arial" w:hAnsi="Arial" w:cs="Arial"/>
          <w:b/>
          <w:bCs/>
          <w:sz w:val="20"/>
          <w:szCs w:val="20"/>
          <w:lang w:val="en"/>
        </w:rPr>
        <w:t>nanometer</w:t>
      </w:r>
      <w:r w:rsidR="005A1DFA" w:rsidRPr="005A1DFA">
        <w:rPr>
          <w:rFonts w:ascii="Arial" w:hAnsi="Arial" w:cs="Arial"/>
          <w:sz w:val="20"/>
          <w:szCs w:val="20"/>
          <w:lang w:val="en"/>
        </w:rPr>
        <w:t xml:space="preserve"> (</w:t>
      </w:r>
      <w:hyperlink r:id="rId99" w:anchor="-re.2C_-er" w:tooltip="American and British English spelling differences" w:history="1">
        <w:r w:rsidR="005A1DFA" w:rsidRPr="005A1DFA">
          <w:rPr>
            <w:rStyle w:val="Hyperlink"/>
            <w:rFonts w:ascii="Arial" w:hAnsi="Arial" w:cs="Arial"/>
            <w:color w:val="auto"/>
            <w:sz w:val="20"/>
            <w:szCs w:val="20"/>
            <w:u w:val="none"/>
            <w:lang w:val="en"/>
          </w:rPr>
          <w:t>American spelling</w:t>
        </w:r>
      </w:hyperlink>
      <w:r w:rsidR="005A1DFA" w:rsidRPr="005A1DFA">
        <w:rPr>
          <w:rFonts w:ascii="Arial" w:hAnsi="Arial" w:cs="Arial"/>
          <w:sz w:val="20"/>
          <w:szCs w:val="20"/>
          <w:lang w:val="en"/>
        </w:rPr>
        <w:t xml:space="preserve">) is a </w:t>
      </w:r>
      <w:hyperlink r:id="rId100" w:tooltip="Units of measurement" w:history="1">
        <w:r w:rsidR="005A1DFA" w:rsidRPr="005A1DFA">
          <w:rPr>
            <w:rStyle w:val="Hyperlink"/>
            <w:rFonts w:ascii="Arial" w:hAnsi="Arial" w:cs="Arial"/>
            <w:color w:val="auto"/>
            <w:sz w:val="20"/>
            <w:szCs w:val="20"/>
            <w:u w:val="none"/>
            <w:lang w:val="en"/>
          </w:rPr>
          <w:t>unit</w:t>
        </w:r>
      </w:hyperlink>
      <w:r w:rsidR="005A1DFA" w:rsidRPr="005A1DFA">
        <w:rPr>
          <w:rFonts w:ascii="Arial" w:hAnsi="Arial" w:cs="Arial"/>
          <w:sz w:val="20"/>
          <w:szCs w:val="20"/>
          <w:lang w:val="en"/>
        </w:rPr>
        <w:t xml:space="preserve"> of </w:t>
      </w:r>
      <w:hyperlink r:id="rId101" w:tooltip="Length" w:history="1">
        <w:r w:rsidR="005A1DFA" w:rsidRPr="005A1DFA">
          <w:rPr>
            <w:rStyle w:val="Hyperlink"/>
            <w:rFonts w:ascii="Arial" w:hAnsi="Arial" w:cs="Arial"/>
            <w:color w:val="auto"/>
            <w:sz w:val="20"/>
            <w:szCs w:val="20"/>
            <w:u w:val="none"/>
            <w:lang w:val="en"/>
          </w:rPr>
          <w:t>length</w:t>
        </w:r>
      </w:hyperlink>
      <w:r w:rsidR="005A1DFA" w:rsidRPr="005A1DFA">
        <w:rPr>
          <w:rFonts w:ascii="Arial" w:hAnsi="Arial" w:cs="Arial"/>
          <w:sz w:val="20"/>
          <w:szCs w:val="20"/>
          <w:lang w:val="en"/>
        </w:rPr>
        <w:t xml:space="preserve"> in the </w:t>
      </w:r>
      <w:hyperlink r:id="rId102" w:tooltip="Metric system" w:history="1">
        <w:r w:rsidR="005A1DFA" w:rsidRPr="005A1DFA">
          <w:rPr>
            <w:rStyle w:val="Hyperlink"/>
            <w:rFonts w:ascii="Arial" w:hAnsi="Arial" w:cs="Arial"/>
            <w:color w:val="auto"/>
            <w:sz w:val="20"/>
            <w:szCs w:val="20"/>
            <w:u w:val="none"/>
            <w:lang w:val="en"/>
          </w:rPr>
          <w:t>metric system</w:t>
        </w:r>
      </w:hyperlink>
      <w:r w:rsidR="005A1DFA" w:rsidRPr="005A1DFA">
        <w:rPr>
          <w:rFonts w:ascii="Arial" w:hAnsi="Arial" w:cs="Arial"/>
          <w:sz w:val="20"/>
          <w:szCs w:val="20"/>
          <w:lang w:val="en"/>
        </w:rPr>
        <w:t xml:space="preserve">, equal to one billionth of a </w:t>
      </w:r>
      <w:hyperlink r:id="rId103" w:tooltip="Metre" w:history="1">
        <w:r w:rsidR="005A1DFA" w:rsidRPr="005A1DFA">
          <w:rPr>
            <w:rStyle w:val="Hyperlink"/>
            <w:rFonts w:ascii="Arial" w:hAnsi="Arial" w:cs="Arial"/>
            <w:color w:val="auto"/>
            <w:sz w:val="20"/>
            <w:szCs w:val="20"/>
            <w:u w:val="none"/>
            <w:lang w:val="en"/>
          </w:rPr>
          <w:t>metre</w:t>
        </w:r>
      </w:hyperlink>
      <w:r w:rsidR="005A1DFA" w:rsidRPr="005A1DFA">
        <w:rPr>
          <w:rFonts w:ascii="Arial" w:hAnsi="Arial" w:cs="Arial"/>
          <w:sz w:val="20"/>
          <w:szCs w:val="20"/>
          <w:lang w:val="en"/>
        </w:rPr>
        <w:t xml:space="preserve"> (</w:t>
      </w:r>
      <w:r w:rsidR="005A1DFA" w:rsidRPr="005A1DFA">
        <w:rPr>
          <w:rStyle w:val="sortkey3"/>
          <w:rFonts w:ascii="Arial" w:hAnsi="Arial" w:cs="Arial"/>
          <w:vanish/>
          <w:sz w:val="20"/>
          <w:szCs w:val="20"/>
          <w:lang w:val="en"/>
        </w:rPr>
        <w:t>6991100000000000000♠</w:t>
      </w:r>
      <w:r w:rsidR="005A1DFA" w:rsidRPr="005A1DFA">
        <w:rPr>
          <w:rStyle w:val="nowrap1"/>
          <w:rFonts w:ascii="Arial" w:hAnsi="Arial" w:cs="Arial"/>
          <w:sz w:val="20"/>
          <w:szCs w:val="20"/>
          <w:lang w:val="en"/>
        </w:rPr>
        <w:t>0.000000001</w:t>
      </w:r>
      <w:r w:rsidR="005A1DFA" w:rsidRPr="005A1DFA">
        <w:rPr>
          <w:rFonts w:ascii="Arial" w:hAnsi="Arial" w:cs="Arial"/>
          <w:sz w:val="20"/>
          <w:szCs w:val="20"/>
          <w:lang w:val="en"/>
        </w:rPr>
        <w:t xml:space="preserve"> m). The name combines the </w:t>
      </w:r>
      <w:hyperlink r:id="rId104" w:tooltip="SI prefix" w:history="1">
        <w:r w:rsidR="005A1DFA" w:rsidRPr="005A1DFA">
          <w:rPr>
            <w:rStyle w:val="Hyperlink"/>
            <w:rFonts w:ascii="Arial" w:hAnsi="Arial" w:cs="Arial"/>
            <w:color w:val="auto"/>
            <w:sz w:val="20"/>
            <w:szCs w:val="20"/>
            <w:u w:val="none"/>
            <w:lang w:val="en"/>
          </w:rPr>
          <w:t>SI prefix</w:t>
        </w:r>
      </w:hyperlink>
      <w:r w:rsidR="005A1DFA" w:rsidRPr="005A1DFA">
        <w:rPr>
          <w:rFonts w:ascii="Arial" w:hAnsi="Arial" w:cs="Arial"/>
          <w:sz w:val="20"/>
          <w:szCs w:val="20"/>
          <w:lang w:val="en"/>
        </w:rPr>
        <w:t xml:space="preserve"> </w:t>
      </w:r>
      <w:r w:rsidR="005A1DFA" w:rsidRPr="005A1DFA">
        <w:rPr>
          <w:rFonts w:ascii="Arial" w:hAnsi="Arial" w:cs="Arial"/>
          <w:i/>
          <w:iCs/>
          <w:sz w:val="20"/>
          <w:szCs w:val="20"/>
          <w:lang w:val="en"/>
        </w:rPr>
        <w:t>nano-</w:t>
      </w:r>
      <w:r w:rsidR="005A1DFA" w:rsidRPr="005A1DFA">
        <w:rPr>
          <w:rFonts w:ascii="Arial" w:hAnsi="Arial" w:cs="Arial"/>
          <w:sz w:val="20"/>
          <w:szCs w:val="20"/>
          <w:lang w:val="en"/>
        </w:rPr>
        <w:t xml:space="preserve"> (from the </w:t>
      </w:r>
      <w:hyperlink r:id="rId105" w:tooltip="Ancient Greek" w:history="1">
        <w:r w:rsidR="005A1DFA" w:rsidRPr="005A1DFA">
          <w:rPr>
            <w:rStyle w:val="Hyperlink"/>
            <w:rFonts w:ascii="Arial" w:hAnsi="Arial" w:cs="Arial"/>
            <w:color w:val="auto"/>
            <w:sz w:val="20"/>
            <w:szCs w:val="20"/>
            <w:u w:val="none"/>
            <w:lang w:val="en"/>
          </w:rPr>
          <w:t>Ancient Greek</w:t>
        </w:r>
      </w:hyperlink>
      <w:r w:rsidR="005A1DFA" w:rsidRPr="005A1DFA">
        <w:rPr>
          <w:rFonts w:ascii="Arial" w:hAnsi="Arial" w:cs="Arial"/>
          <w:sz w:val="20"/>
          <w:szCs w:val="20"/>
          <w:lang w:val="en"/>
        </w:rPr>
        <w:t xml:space="preserve"> νάνος, </w:t>
      </w:r>
      <w:r w:rsidR="005A1DFA" w:rsidRPr="005A1DFA">
        <w:rPr>
          <w:rFonts w:ascii="Arial" w:hAnsi="Arial" w:cs="Arial"/>
          <w:i/>
          <w:iCs/>
          <w:sz w:val="20"/>
          <w:szCs w:val="20"/>
          <w:lang w:val="en"/>
        </w:rPr>
        <w:t>nanos</w:t>
      </w:r>
      <w:r w:rsidR="005A1DFA" w:rsidRPr="005A1DFA">
        <w:rPr>
          <w:rFonts w:ascii="Arial" w:hAnsi="Arial" w:cs="Arial"/>
          <w:sz w:val="20"/>
          <w:szCs w:val="20"/>
          <w:lang w:val="en"/>
        </w:rPr>
        <w:t xml:space="preserve">, "dwarf") with the parent unit name </w:t>
      </w:r>
      <w:r w:rsidR="005A1DFA" w:rsidRPr="005A1DFA">
        <w:rPr>
          <w:rFonts w:ascii="Arial" w:hAnsi="Arial" w:cs="Arial"/>
          <w:i/>
          <w:iCs/>
          <w:sz w:val="20"/>
          <w:szCs w:val="20"/>
          <w:lang w:val="en"/>
        </w:rPr>
        <w:t>metre</w:t>
      </w:r>
      <w:r w:rsidR="005A1DFA" w:rsidRPr="005A1DFA">
        <w:rPr>
          <w:rFonts w:ascii="Arial" w:hAnsi="Arial" w:cs="Arial"/>
          <w:sz w:val="20"/>
          <w:szCs w:val="20"/>
          <w:lang w:val="en"/>
        </w:rPr>
        <w:t xml:space="preserve"> (from Greek μέτρον, </w:t>
      </w:r>
      <w:r w:rsidR="005A1DFA" w:rsidRPr="005A1DFA">
        <w:rPr>
          <w:rFonts w:ascii="Arial" w:hAnsi="Arial" w:cs="Arial"/>
          <w:i/>
          <w:iCs/>
          <w:sz w:val="20"/>
          <w:szCs w:val="20"/>
          <w:lang w:val="en"/>
        </w:rPr>
        <w:t>metrοn</w:t>
      </w:r>
      <w:r w:rsidR="005A1DFA" w:rsidRPr="005A1DFA">
        <w:rPr>
          <w:rFonts w:ascii="Arial" w:hAnsi="Arial" w:cs="Arial"/>
          <w:sz w:val="20"/>
          <w:szCs w:val="20"/>
          <w:lang w:val="en"/>
        </w:rPr>
        <w:t xml:space="preserve">, "unit of measurement"). It can be written in </w:t>
      </w:r>
      <w:hyperlink r:id="rId106" w:tooltip="Scientific notation" w:history="1">
        <w:r w:rsidR="005A1DFA" w:rsidRPr="005A1DFA">
          <w:rPr>
            <w:rStyle w:val="Hyperlink"/>
            <w:rFonts w:ascii="Arial" w:hAnsi="Arial" w:cs="Arial"/>
            <w:color w:val="auto"/>
            <w:sz w:val="20"/>
            <w:szCs w:val="20"/>
            <w:u w:val="none"/>
            <w:lang w:val="en"/>
          </w:rPr>
          <w:t>scientific notation</w:t>
        </w:r>
      </w:hyperlink>
      <w:r w:rsidR="005A1DFA" w:rsidRPr="005A1DFA">
        <w:rPr>
          <w:rFonts w:ascii="Arial" w:hAnsi="Arial" w:cs="Arial"/>
          <w:sz w:val="20"/>
          <w:szCs w:val="20"/>
          <w:lang w:val="en"/>
        </w:rPr>
        <w:t xml:space="preserve"> as </w:t>
      </w:r>
      <w:r w:rsidR="005A1DFA" w:rsidRPr="005A1DFA">
        <w:rPr>
          <w:rStyle w:val="sortkey3"/>
          <w:rFonts w:ascii="Arial" w:hAnsi="Arial" w:cs="Arial"/>
          <w:vanish/>
          <w:sz w:val="20"/>
          <w:szCs w:val="20"/>
          <w:lang w:val="en"/>
        </w:rPr>
        <w:t>6991100000000000000♠</w:t>
      </w:r>
      <w:r w:rsidR="005A1DFA" w:rsidRPr="005A1DFA">
        <w:rPr>
          <w:rStyle w:val="nowrap1"/>
          <w:rFonts w:ascii="Arial" w:hAnsi="Arial" w:cs="Arial"/>
          <w:sz w:val="20"/>
          <w:szCs w:val="20"/>
          <w:lang w:val="en"/>
        </w:rPr>
        <w:t>1×10</w:t>
      </w:r>
      <w:r w:rsidR="005A1DFA" w:rsidRPr="005A1DFA">
        <w:rPr>
          <w:rStyle w:val="nowrap1"/>
          <w:rFonts w:ascii="Arial" w:hAnsi="Arial" w:cs="Arial"/>
          <w:sz w:val="20"/>
          <w:szCs w:val="20"/>
          <w:vertAlign w:val="superscript"/>
          <w:lang w:val="en"/>
        </w:rPr>
        <w:t>−9</w:t>
      </w:r>
      <w:r w:rsidR="005A1DFA" w:rsidRPr="005A1DFA">
        <w:rPr>
          <w:rStyle w:val="nowrap1"/>
          <w:rFonts w:ascii="Arial" w:hAnsi="Arial" w:cs="Arial"/>
          <w:sz w:val="20"/>
          <w:szCs w:val="20"/>
          <w:lang w:val="en"/>
        </w:rPr>
        <w:t> m</w:t>
      </w:r>
      <w:r w:rsidR="005A1DFA" w:rsidRPr="005A1DFA">
        <w:rPr>
          <w:rFonts w:ascii="Arial" w:hAnsi="Arial" w:cs="Arial"/>
          <w:sz w:val="20"/>
          <w:szCs w:val="20"/>
          <w:lang w:val="en"/>
        </w:rPr>
        <w:t xml:space="preserve">, in </w:t>
      </w:r>
      <w:hyperlink r:id="rId107" w:tooltip="Engineering notation" w:history="1">
        <w:r w:rsidR="005A1DFA" w:rsidRPr="005A1DFA">
          <w:rPr>
            <w:rStyle w:val="Hyperlink"/>
            <w:rFonts w:ascii="Arial" w:hAnsi="Arial" w:cs="Arial"/>
            <w:color w:val="auto"/>
            <w:sz w:val="20"/>
            <w:szCs w:val="20"/>
            <w:u w:val="none"/>
            <w:lang w:val="en"/>
          </w:rPr>
          <w:t>engineering notation</w:t>
        </w:r>
      </w:hyperlink>
      <w:r w:rsidR="005A1DFA" w:rsidRPr="005A1DFA">
        <w:rPr>
          <w:rFonts w:ascii="Arial" w:hAnsi="Arial" w:cs="Arial"/>
          <w:sz w:val="20"/>
          <w:szCs w:val="20"/>
          <w:lang w:val="en"/>
        </w:rPr>
        <w:t xml:space="preserve"> as </w:t>
      </w:r>
      <w:r w:rsidR="005A1DFA" w:rsidRPr="005A1DFA">
        <w:rPr>
          <w:rStyle w:val="nowrap1"/>
          <w:rFonts w:ascii="Arial" w:hAnsi="Arial" w:cs="Arial"/>
          <w:sz w:val="20"/>
          <w:szCs w:val="20"/>
          <w:lang w:val="en"/>
        </w:rPr>
        <w:t>1 E−9 m</w:t>
      </w:r>
      <w:r w:rsidR="005A1DFA" w:rsidRPr="005A1DFA">
        <w:rPr>
          <w:rFonts w:ascii="Arial" w:hAnsi="Arial" w:cs="Arial"/>
          <w:sz w:val="20"/>
          <w:szCs w:val="20"/>
          <w:lang w:val="en"/>
        </w:rPr>
        <w:t xml:space="preserve">, and is simply </w:t>
      </w:r>
      <w:r w:rsidR="005A1DFA" w:rsidRPr="005A1DFA">
        <w:rPr>
          <w:rStyle w:val="sfrac"/>
          <w:rFonts w:ascii="Arial" w:hAnsi="Arial" w:cs="Arial"/>
          <w:sz w:val="20"/>
          <w:szCs w:val="20"/>
          <w:lang w:val="en"/>
        </w:rPr>
        <w:t>1</w:t>
      </w:r>
      <w:r w:rsidR="005A1DFA" w:rsidRPr="005A1DFA">
        <w:rPr>
          <w:rStyle w:val="visualhide1"/>
          <w:rFonts w:ascii="Arial" w:hAnsi="Arial" w:cs="Arial"/>
          <w:sz w:val="20"/>
          <w:szCs w:val="20"/>
          <w:lang w:val="en"/>
        </w:rPr>
        <w:t>/</w:t>
      </w:r>
      <w:r w:rsidR="005A1DFA" w:rsidRPr="005A1DFA">
        <w:rPr>
          <w:rStyle w:val="sortkey3"/>
          <w:rFonts w:ascii="Arial" w:hAnsi="Arial" w:cs="Arial"/>
          <w:vanish/>
          <w:sz w:val="20"/>
          <w:szCs w:val="20"/>
          <w:bdr w:val="single" w:sz="6" w:space="0" w:color="auto" w:frame="1"/>
          <w:lang w:val="en"/>
        </w:rPr>
        <w:t>7009100000000000000♠</w:t>
      </w:r>
      <w:r w:rsidR="005A1DFA" w:rsidRPr="005A1DFA">
        <w:rPr>
          <w:rStyle w:val="nowrap1"/>
          <w:rFonts w:ascii="Arial" w:hAnsi="Arial" w:cs="Arial"/>
          <w:sz w:val="20"/>
          <w:szCs w:val="20"/>
          <w:bdr w:val="single" w:sz="6" w:space="0" w:color="auto" w:frame="1"/>
          <w:lang w:val="en"/>
        </w:rPr>
        <w:t>1000000000</w:t>
      </w:r>
      <w:r w:rsidR="005A1DFA" w:rsidRPr="005A1DFA">
        <w:rPr>
          <w:rFonts w:ascii="Arial" w:hAnsi="Arial" w:cs="Arial"/>
          <w:sz w:val="20"/>
          <w:szCs w:val="20"/>
          <w:lang w:val="en"/>
        </w:rPr>
        <w:t xml:space="preserve"> metres. One nanometre equals ten </w:t>
      </w:r>
      <w:hyperlink r:id="rId108" w:tooltip="Ångström" w:history="1">
        <w:r w:rsidR="005A1DFA" w:rsidRPr="005A1DFA">
          <w:rPr>
            <w:rStyle w:val="Hyperlink"/>
            <w:rFonts w:ascii="Arial" w:hAnsi="Arial" w:cs="Arial"/>
            <w:color w:val="auto"/>
            <w:sz w:val="20"/>
            <w:szCs w:val="20"/>
            <w:u w:val="none"/>
            <w:lang w:val="en"/>
          </w:rPr>
          <w:t>ångströms</w:t>
        </w:r>
      </w:hyperlink>
      <w:r w:rsidR="005A1DFA" w:rsidRPr="005A1DFA">
        <w:rPr>
          <w:rFonts w:ascii="Arial" w:hAnsi="Arial" w:cs="Arial"/>
          <w:sz w:val="20"/>
          <w:szCs w:val="20"/>
          <w:lang w:val="en"/>
        </w:rPr>
        <w:t>.</w:t>
      </w:r>
    </w:p>
    <w:p w14:paraId="1F714772" w14:textId="4C5122B3" w:rsidR="005A1DFA" w:rsidRDefault="005A1DFA" w:rsidP="00892766">
      <w:pPr>
        <w:rPr>
          <w:rFonts w:ascii="Arial" w:hAnsi="Arial" w:cs="Arial"/>
          <w:sz w:val="20"/>
          <w:szCs w:val="20"/>
          <w:u w:val="single"/>
          <w:lang w:val="en"/>
        </w:rPr>
      </w:pPr>
      <w:r w:rsidRPr="005A1DFA">
        <w:rPr>
          <w:rFonts w:ascii="Arial" w:hAnsi="Arial" w:cs="Arial"/>
          <w:sz w:val="20"/>
          <w:szCs w:val="20"/>
          <w:u w:val="single"/>
          <w:lang w:val="en"/>
        </w:rPr>
        <w:t xml:space="preserve">U1-06: Genome Structure: </w:t>
      </w:r>
    </w:p>
    <w:p w14:paraId="5FACFF99" w14:textId="60D2A0BC" w:rsidR="005A1DFA" w:rsidRDefault="001B2D5F" w:rsidP="00892766">
      <w:pPr>
        <w:rPr>
          <w:rFonts w:ascii="Arial" w:hAnsi="Arial" w:cs="Arial"/>
          <w:b/>
          <w:sz w:val="20"/>
          <w:szCs w:val="20"/>
          <w:lang w:val="en"/>
        </w:rPr>
      </w:pPr>
      <w:r w:rsidRPr="001B2D5F">
        <w:rPr>
          <w:rFonts w:ascii="Arial" w:hAnsi="Arial" w:cs="Arial"/>
          <w:b/>
          <w:sz w:val="20"/>
          <w:szCs w:val="20"/>
          <w:lang w:val="en"/>
        </w:rPr>
        <w:t>Chromosome</w:t>
      </w:r>
      <w:r>
        <w:rPr>
          <w:rFonts w:ascii="Arial" w:hAnsi="Arial" w:cs="Arial"/>
          <w:b/>
          <w:sz w:val="20"/>
          <w:szCs w:val="20"/>
          <w:lang w:val="en"/>
        </w:rPr>
        <w:t xml:space="preserve">: </w:t>
      </w:r>
      <w:r>
        <w:rPr>
          <w:rFonts w:ascii="Arial" w:hAnsi="Arial" w:cs="Arial"/>
          <w:sz w:val="20"/>
          <w:szCs w:val="20"/>
          <w:lang w:val="en"/>
        </w:rPr>
        <w:t xml:space="preserve">A </w:t>
      </w:r>
      <w:r w:rsidRPr="001B2D5F">
        <w:rPr>
          <w:rFonts w:ascii="Arial" w:hAnsi="Arial" w:cs="Arial"/>
          <w:b/>
          <w:sz w:val="20"/>
          <w:szCs w:val="20"/>
          <w:lang w:val="en"/>
        </w:rPr>
        <w:t>chromosome</w:t>
      </w:r>
      <w:r>
        <w:rPr>
          <w:rFonts w:ascii="Arial" w:hAnsi="Arial" w:cs="Arial"/>
          <w:sz w:val="20"/>
          <w:szCs w:val="20"/>
          <w:lang w:val="en"/>
        </w:rPr>
        <w:t xml:space="preserve"> is a packaged and organized structure containing most of the DNA of a living organism. DNA is not usually found on its own, but rather is structured by being wrapped around protein complexes called nucleosomes, which consist of proteins called histones. The DNA in chromosomes serves as the source for transcription. Most eukaryotic cells have a set of </w:t>
      </w:r>
      <w:r w:rsidRPr="001B2D5F">
        <w:rPr>
          <w:rFonts w:ascii="Arial" w:hAnsi="Arial" w:cs="Arial"/>
          <w:b/>
          <w:sz w:val="20"/>
          <w:szCs w:val="20"/>
          <w:lang w:val="en"/>
        </w:rPr>
        <w:t xml:space="preserve">chromosomes </w:t>
      </w:r>
      <w:r>
        <w:rPr>
          <w:rFonts w:ascii="Arial" w:hAnsi="Arial" w:cs="Arial"/>
          <w:sz w:val="20"/>
          <w:szCs w:val="20"/>
          <w:lang w:val="en"/>
        </w:rPr>
        <w:t>with the genetic material spread among them.</w:t>
      </w:r>
      <w:r>
        <w:rPr>
          <w:rFonts w:ascii="Arial" w:hAnsi="Arial" w:cs="Arial"/>
          <w:b/>
          <w:sz w:val="20"/>
          <w:szCs w:val="20"/>
          <w:lang w:val="en"/>
        </w:rPr>
        <w:t xml:space="preserve"> </w:t>
      </w:r>
    </w:p>
    <w:p w14:paraId="0B6D3C9E" w14:textId="04389B72" w:rsidR="001B2D5F" w:rsidRDefault="001B2D5F" w:rsidP="00892766">
      <w:pPr>
        <w:rPr>
          <w:rFonts w:ascii="Arial" w:hAnsi="Arial" w:cs="Arial"/>
          <w:sz w:val="20"/>
          <w:szCs w:val="20"/>
          <w:lang w:val="en"/>
        </w:rPr>
      </w:pPr>
      <w:r>
        <w:rPr>
          <w:rFonts w:ascii="Arial" w:hAnsi="Arial" w:cs="Arial"/>
          <w:b/>
          <w:sz w:val="20"/>
          <w:szCs w:val="20"/>
          <w:lang w:val="en"/>
        </w:rPr>
        <w:t xml:space="preserve">Gene vs. Gene Product: </w:t>
      </w:r>
      <w:r w:rsidRPr="001B2D5F">
        <w:rPr>
          <w:rFonts w:ascii="Arial" w:hAnsi="Arial" w:cs="Arial"/>
          <w:sz w:val="20"/>
          <w:szCs w:val="20"/>
          <w:lang w:val="en"/>
        </w:rPr>
        <w:t>a gene is a segment of genetic material that determines, or codes for, one polypeptide.</w:t>
      </w:r>
      <w:r>
        <w:rPr>
          <w:rFonts w:ascii="Arial" w:hAnsi="Arial" w:cs="Arial"/>
          <w:sz w:val="20"/>
          <w:szCs w:val="20"/>
          <w:lang w:val="en"/>
        </w:rPr>
        <w:t xml:space="preserve"> A gene product is the polypeptide that the gene codes for and is produced after transcription and translation.</w:t>
      </w:r>
      <w:r w:rsidR="008F6F07">
        <w:rPr>
          <w:rFonts w:ascii="Arial" w:hAnsi="Arial" w:cs="Arial"/>
          <w:sz w:val="20"/>
          <w:szCs w:val="20"/>
          <w:lang w:val="en"/>
        </w:rPr>
        <w:t xml:space="preserve"> </w:t>
      </w:r>
      <w:r w:rsidR="008F6F07" w:rsidRPr="008F6F07">
        <w:rPr>
          <w:rFonts w:ascii="Arial" w:hAnsi="Arial" w:cs="Arial"/>
          <w:sz w:val="20"/>
          <w:szCs w:val="20"/>
          <w:lang w:val="en"/>
        </w:rPr>
        <w:t xml:space="preserve">A gene is all the DNA that encodes the primary sequence of some final gene product, </w:t>
      </w:r>
      <w:r w:rsidR="008F6F07" w:rsidRPr="008F6F07">
        <w:rPr>
          <w:rFonts w:ascii="Arial" w:hAnsi="Arial" w:cs="Arial"/>
          <w:sz w:val="20"/>
          <w:szCs w:val="20"/>
          <w:lang w:val="en"/>
        </w:rPr>
        <w:lastRenderedPageBreak/>
        <w:t>which can be either a polypeptide or an RNA with a structural or catalytic function. DNA also contains other segments or sequences that have a purely regulatory function.</w:t>
      </w:r>
    </w:p>
    <w:p w14:paraId="660143A2" w14:textId="4670D30C" w:rsidR="001B2D5F" w:rsidRDefault="001B2D5F" w:rsidP="00892766">
      <w:pPr>
        <w:rPr>
          <w:rFonts w:ascii="Arial" w:hAnsi="Arial" w:cs="Arial"/>
          <w:sz w:val="20"/>
          <w:szCs w:val="20"/>
          <w:lang w:val="en"/>
        </w:rPr>
      </w:pPr>
      <w:r w:rsidRPr="001B2D5F">
        <w:rPr>
          <w:rFonts w:ascii="Arial" w:hAnsi="Arial" w:cs="Arial"/>
          <w:b/>
          <w:sz w:val="20"/>
          <w:szCs w:val="20"/>
          <w:lang w:val="en"/>
        </w:rPr>
        <w:t xml:space="preserve">Intergenic Region: </w:t>
      </w:r>
      <w:r w:rsidR="008F6F07">
        <w:rPr>
          <w:rFonts w:ascii="Arial" w:hAnsi="Arial" w:cs="Arial"/>
          <w:sz w:val="20"/>
          <w:szCs w:val="20"/>
          <w:lang w:val="en"/>
        </w:rPr>
        <w:t xml:space="preserve">An </w:t>
      </w:r>
      <w:r w:rsidR="008F6F07" w:rsidRPr="008F6F07">
        <w:rPr>
          <w:rFonts w:ascii="Arial" w:hAnsi="Arial" w:cs="Arial"/>
          <w:b/>
          <w:sz w:val="20"/>
          <w:szCs w:val="20"/>
          <w:lang w:val="en"/>
        </w:rPr>
        <w:t>Intergenic region</w:t>
      </w:r>
      <w:r w:rsidR="008F6F07">
        <w:rPr>
          <w:rFonts w:ascii="Arial" w:hAnsi="Arial" w:cs="Arial"/>
          <w:sz w:val="20"/>
          <w:szCs w:val="20"/>
          <w:lang w:val="en"/>
        </w:rPr>
        <w:t xml:space="preserve"> is a stretch of DNA sequences located between genes. Intergenic regions are a subset of Noncoding DNA. Occasionally some intergenic DNA acts to control genes nearby, but most of it has no currently known function. It is one of the DNA sequences sometimes referred to as junk DNA, though it is only one phenomenon labeled such and in scientific studies today, the term is less used. Recently DNA fragments in intergenic regions were known as "dark matter" or "dark matter transcripts".</w:t>
      </w:r>
    </w:p>
    <w:p w14:paraId="715D470D" w14:textId="1924D661" w:rsidR="008F6F07" w:rsidRDefault="008F6F07" w:rsidP="00892766">
      <w:pPr>
        <w:rPr>
          <w:rFonts w:ascii="Arial" w:hAnsi="Arial" w:cs="Arial"/>
          <w:sz w:val="20"/>
          <w:szCs w:val="20"/>
          <w:lang w:val="en"/>
        </w:rPr>
      </w:pPr>
      <w:r w:rsidRPr="008F6F07">
        <w:rPr>
          <w:rFonts w:ascii="Arial" w:hAnsi="Arial" w:cs="Arial"/>
          <w:b/>
          <w:sz w:val="20"/>
          <w:szCs w:val="20"/>
          <w:lang w:val="en"/>
        </w:rPr>
        <w:t>Regulatory Sequence vs. Intron (Intervening Sequence) vs. Exon:</w:t>
      </w:r>
      <w:r>
        <w:rPr>
          <w:rFonts w:ascii="Arial" w:hAnsi="Arial" w:cs="Arial"/>
          <w:b/>
          <w:sz w:val="20"/>
          <w:szCs w:val="20"/>
          <w:lang w:val="en"/>
        </w:rPr>
        <w:t xml:space="preserve"> </w:t>
      </w:r>
      <w:r w:rsidRPr="008F6F07">
        <w:rPr>
          <w:rFonts w:ascii="Arial" w:hAnsi="Arial" w:cs="Arial"/>
          <w:sz w:val="20"/>
          <w:szCs w:val="20"/>
          <w:lang w:val="en"/>
        </w:rPr>
        <w:t>Many, if not most, eukaryotic genes have a distinctive and puzzling structural feature: their nucleotide sequences contain one or more intervening segments of DNA that do not code for the amino acid sequence of the polypeptide product. These non</w:t>
      </w:r>
      <w:r>
        <w:rPr>
          <w:rFonts w:ascii="Arial" w:hAnsi="Arial" w:cs="Arial"/>
          <w:sz w:val="20"/>
          <w:szCs w:val="20"/>
          <w:lang w:val="en"/>
        </w:rPr>
        <w:t>-</w:t>
      </w:r>
      <w:r w:rsidRPr="008F6F07">
        <w:rPr>
          <w:rFonts w:ascii="Arial" w:hAnsi="Arial" w:cs="Arial"/>
          <w:sz w:val="20"/>
          <w:szCs w:val="20"/>
          <w:lang w:val="en"/>
        </w:rPr>
        <w:t>translated inserts interrupt the otherwise co</w:t>
      </w:r>
      <w:r>
        <w:rPr>
          <w:rFonts w:ascii="Arial" w:hAnsi="Arial" w:cs="Arial"/>
          <w:sz w:val="20"/>
          <w:szCs w:val="20"/>
          <w:lang w:val="en"/>
        </w:rPr>
        <w:t>-</w:t>
      </w:r>
      <w:r w:rsidRPr="008F6F07">
        <w:rPr>
          <w:rFonts w:ascii="Arial" w:hAnsi="Arial" w:cs="Arial"/>
          <w:sz w:val="20"/>
          <w:szCs w:val="20"/>
          <w:lang w:val="en"/>
        </w:rPr>
        <w:t>linear relationship between the nucleotide sequence of the gene and the amino acid sequence of the polypeptide it encodes. Such non</w:t>
      </w:r>
      <w:r>
        <w:rPr>
          <w:rFonts w:ascii="Arial" w:hAnsi="Arial" w:cs="Arial"/>
          <w:sz w:val="20"/>
          <w:szCs w:val="20"/>
          <w:lang w:val="en"/>
        </w:rPr>
        <w:t>-</w:t>
      </w:r>
      <w:r w:rsidRPr="008F6F07">
        <w:rPr>
          <w:rFonts w:ascii="Arial" w:hAnsi="Arial" w:cs="Arial"/>
          <w:sz w:val="20"/>
          <w:szCs w:val="20"/>
          <w:lang w:val="en"/>
        </w:rPr>
        <w:t xml:space="preserve">translated DNA segments in genes are called </w:t>
      </w:r>
      <w:r w:rsidRPr="008F6F07">
        <w:rPr>
          <w:rFonts w:ascii="Arial" w:hAnsi="Arial" w:cs="Arial"/>
          <w:b/>
          <w:sz w:val="20"/>
          <w:szCs w:val="20"/>
          <w:lang w:val="en"/>
        </w:rPr>
        <w:t>intervening sequences or introns</w:t>
      </w:r>
      <w:r w:rsidRPr="008F6F07">
        <w:rPr>
          <w:rFonts w:ascii="Arial" w:hAnsi="Arial" w:cs="Arial"/>
          <w:sz w:val="20"/>
          <w:szCs w:val="20"/>
          <w:lang w:val="en"/>
        </w:rPr>
        <w:t xml:space="preserve">, and the coding segments are called </w:t>
      </w:r>
      <w:r w:rsidRPr="008F6F07">
        <w:rPr>
          <w:rFonts w:ascii="Arial" w:hAnsi="Arial" w:cs="Arial"/>
          <w:b/>
          <w:sz w:val="20"/>
          <w:szCs w:val="20"/>
          <w:lang w:val="en"/>
        </w:rPr>
        <w:t>exons</w:t>
      </w:r>
      <w:r>
        <w:rPr>
          <w:rFonts w:ascii="Arial" w:hAnsi="Arial" w:cs="Arial"/>
          <w:b/>
          <w:sz w:val="20"/>
          <w:szCs w:val="20"/>
          <w:lang w:val="en"/>
        </w:rPr>
        <w:t xml:space="preserve">. </w:t>
      </w:r>
      <w:r>
        <w:rPr>
          <w:rFonts w:ascii="Arial" w:hAnsi="Arial" w:cs="Arial"/>
          <w:sz w:val="20"/>
          <w:szCs w:val="20"/>
          <w:lang w:val="en"/>
        </w:rPr>
        <w:t xml:space="preserve">A </w:t>
      </w:r>
      <w:r w:rsidRPr="008F6F07">
        <w:rPr>
          <w:rFonts w:ascii="Arial" w:hAnsi="Arial" w:cs="Arial"/>
          <w:b/>
          <w:sz w:val="20"/>
          <w:szCs w:val="20"/>
          <w:lang w:val="en"/>
        </w:rPr>
        <w:t>regulatory sequence</w:t>
      </w:r>
      <w:r>
        <w:rPr>
          <w:rFonts w:ascii="Arial" w:hAnsi="Arial" w:cs="Arial"/>
          <w:sz w:val="20"/>
          <w:szCs w:val="20"/>
          <w:lang w:val="en"/>
        </w:rPr>
        <w:t xml:space="preserve"> is a segment of a nucleic acid molecule which is capable of increasing or decreasing the expression of specific genes within an organism. Regulation of gene expression is an essential feature of all living organisms and viruses.</w:t>
      </w:r>
    </w:p>
    <w:p w14:paraId="354103C8" w14:textId="036AAEFF" w:rsidR="008F6F07" w:rsidRDefault="008F6F07" w:rsidP="00892766">
      <w:pPr>
        <w:rPr>
          <w:rFonts w:ascii="Arial" w:hAnsi="Arial" w:cs="Arial"/>
          <w:sz w:val="20"/>
          <w:szCs w:val="20"/>
          <w:lang w:val="en"/>
        </w:rPr>
      </w:pPr>
      <w:r w:rsidRPr="008F6F07">
        <w:rPr>
          <w:rFonts w:ascii="Arial" w:hAnsi="Arial" w:cs="Arial"/>
          <w:b/>
          <w:sz w:val="20"/>
          <w:szCs w:val="20"/>
          <w:lang w:val="en"/>
        </w:rPr>
        <w:t>Simple Sequence Repeat (SSR)/Satellite DNA/Highly Repetitive DNA:</w:t>
      </w:r>
      <w:r>
        <w:rPr>
          <w:rFonts w:ascii="Arial" w:hAnsi="Arial" w:cs="Arial"/>
          <w:b/>
          <w:sz w:val="20"/>
          <w:szCs w:val="20"/>
          <w:lang w:val="en"/>
        </w:rPr>
        <w:t xml:space="preserve"> </w:t>
      </w:r>
      <w:r w:rsidRPr="008F6F07">
        <w:rPr>
          <w:rFonts w:ascii="Arial" w:hAnsi="Arial" w:cs="Arial"/>
          <w:sz w:val="20"/>
          <w:szCs w:val="20"/>
          <w:lang w:val="en"/>
        </w:rPr>
        <w:t xml:space="preserve">Approximately 3% of the human genome consists of </w:t>
      </w:r>
      <w:r w:rsidRPr="008F6F07">
        <w:rPr>
          <w:rFonts w:ascii="Arial" w:hAnsi="Arial" w:cs="Arial"/>
          <w:b/>
          <w:sz w:val="20"/>
          <w:szCs w:val="20"/>
          <w:lang w:val="en"/>
        </w:rPr>
        <w:t>highly repetitive sequences</w:t>
      </w:r>
      <w:r w:rsidRPr="008F6F07">
        <w:rPr>
          <w:rFonts w:ascii="Arial" w:hAnsi="Arial" w:cs="Arial"/>
          <w:sz w:val="20"/>
          <w:szCs w:val="20"/>
          <w:lang w:val="en"/>
        </w:rPr>
        <w:t xml:space="preserve">, also referred to as </w:t>
      </w:r>
      <w:r w:rsidRPr="008F6F07">
        <w:rPr>
          <w:rFonts w:ascii="Arial" w:hAnsi="Arial" w:cs="Arial"/>
          <w:b/>
          <w:sz w:val="20"/>
          <w:szCs w:val="20"/>
          <w:lang w:val="en"/>
        </w:rPr>
        <w:t>simple sequence DNA</w:t>
      </w:r>
      <w:r w:rsidRPr="008F6F07">
        <w:rPr>
          <w:rFonts w:ascii="Arial" w:hAnsi="Arial" w:cs="Arial"/>
          <w:sz w:val="20"/>
          <w:szCs w:val="20"/>
          <w:lang w:val="en"/>
        </w:rPr>
        <w:t xml:space="preserve"> or </w:t>
      </w:r>
      <w:r w:rsidRPr="008F6F07">
        <w:rPr>
          <w:rFonts w:ascii="Arial" w:hAnsi="Arial" w:cs="Arial"/>
          <w:b/>
          <w:sz w:val="20"/>
          <w:szCs w:val="20"/>
          <w:lang w:val="en"/>
        </w:rPr>
        <w:t>simple sequence repeats (SSR).</w:t>
      </w:r>
      <w:r w:rsidRPr="008F6F07">
        <w:rPr>
          <w:rFonts w:ascii="Arial" w:hAnsi="Arial" w:cs="Arial"/>
          <w:sz w:val="20"/>
          <w:szCs w:val="20"/>
          <w:lang w:val="en"/>
        </w:rPr>
        <w:t xml:space="preserve"> These short sequences, generally less than 10 bp long, are sometimes repeated millions of times per cell. The simple</w:t>
      </w:r>
      <w:r>
        <w:rPr>
          <w:rFonts w:ascii="Arial" w:hAnsi="Arial" w:cs="Arial"/>
          <w:sz w:val="20"/>
          <w:szCs w:val="20"/>
          <w:lang w:val="en"/>
        </w:rPr>
        <w:t xml:space="preserve"> </w:t>
      </w:r>
      <w:r w:rsidRPr="008F6F07">
        <w:rPr>
          <w:rFonts w:ascii="Arial" w:hAnsi="Arial" w:cs="Arial"/>
          <w:sz w:val="20"/>
          <w:szCs w:val="20"/>
          <w:lang w:val="en"/>
        </w:rPr>
        <w:t xml:space="preserve">sequence DNA has also been called </w:t>
      </w:r>
      <w:r w:rsidRPr="008F6F07">
        <w:rPr>
          <w:rFonts w:ascii="Arial" w:hAnsi="Arial" w:cs="Arial"/>
          <w:b/>
          <w:sz w:val="20"/>
          <w:szCs w:val="20"/>
          <w:lang w:val="en"/>
        </w:rPr>
        <w:t>satellite DNA</w:t>
      </w:r>
      <w:r w:rsidRPr="008F6F07">
        <w:rPr>
          <w:rFonts w:ascii="Arial" w:hAnsi="Arial" w:cs="Arial"/>
          <w:sz w:val="20"/>
          <w:szCs w:val="20"/>
          <w:lang w:val="en"/>
        </w:rPr>
        <w:t>, so named because its unusual base composition often causes it to migrate as “satellite” bands (separated from the rest of the DNA) when fragmented cellular DNA samples are centrifuged in a cesium chloride density gradient. Studies suggest that simple-sequence DNA does not encode proteins or RNAs. Unlike the transposable elements, the highly repetitive DNA can have identifiable functional importance in human cellular metabolism, because much of it is associated with two defining features of eukaryotic chromosomes: centromeres and telomeres.</w:t>
      </w:r>
    </w:p>
    <w:p w14:paraId="2EC81074" w14:textId="60E996A7" w:rsidR="008F6F07" w:rsidRDefault="008F6F07" w:rsidP="00892766">
      <w:pPr>
        <w:rPr>
          <w:rFonts w:ascii="Arial" w:hAnsi="Arial" w:cs="Arial"/>
          <w:sz w:val="20"/>
          <w:szCs w:val="20"/>
          <w:lang w:val="en"/>
        </w:rPr>
      </w:pPr>
      <w:r w:rsidRPr="008F6F07">
        <w:rPr>
          <w:rFonts w:ascii="Arial" w:hAnsi="Arial" w:cs="Arial"/>
          <w:b/>
          <w:sz w:val="20"/>
          <w:szCs w:val="20"/>
          <w:lang w:val="en"/>
        </w:rPr>
        <w:t xml:space="preserve">Centromeres, Mitotic Spindle: </w:t>
      </w:r>
      <w:r>
        <w:rPr>
          <w:rFonts w:ascii="Arial" w:hAnsi="Arial" w:cs="Arial"/>
          <w:sz w:val="20"/>
          <w:szCs w:val="20"/>
          <w:lang w:val="en"/>
        </w:rPr>
        <w:t xml:space="preserve">The </w:t>
      </w:r>
      <w:r w:rsidRPr="008F6F07">
        <w:rPr>
          <w:rFonts w:ascii="Arial" w:hAnsi="Arial" w:cs="Arial"/>
          <w:b/>
          <w:sz w:val="20"/>
          <w:szCs w:val="20"/>
          <w:lang w:val="en"/>
        </w:rPr>
        <w:t>centromere</w:t>
      </w:r>
      <w:r w:rsidRPr="008F6F07">
        <w:rPr>
          <w:rFonts w:ascii="Arial" w:hAnsi="Arial" w:cs="Arial"/>
          <w:sz w:val="20"/>
          <w:szCs w:val="20"/>
          <w:lang w:val="en"/>
        </w:rPr>
        <w:t xml:space="preserve"> is a sequence of DNA that functions during cell division as an attachment point for proteins that link the chromosome to the </w:t>
      </w:r>
      <w:r w:rsidRPr="008F6F07">
        <w:rPr>
          <w:rFonts w:ascii="Arial" w:hAnsi="Arial" w:cs="Arial"/>
          <w:b/>
          <w:sz w:val="20"/>
          <w:szCs w:val="20"/>
          <w:lang w:val="en"/>
        </w:rPr>
        <w:t>mitotic spindle</w:t>
      </w:r>
      <w:r w:rsidRPr="008F6F07">
        <w:rPr>
          <w:rFonts w:ascii="Arial" w:hAnsi="Arial" w:cs="Arial"/>
          <w:sz w:val="20"/>
          <w:szCs w:val="20"/>
          <w:lang w:val="en"/>
        </w:rPr>
        <w:t>. This attachment is essential for the equal and orderly distribution of chromosome sets to daughter cells.</w:t>
      </w:r>
    </w:p>
    <w:p w14:paraId="7C455EBA" w14:textId="2730296A" w:rsidR="008F6F07" w:rsidRDefault="008F6F07" w:rsidP="00892766">
      <w:pPr>
        <w:rPr>
          <w:rFonts w:ascii="Arial" w:hAnsi="Arial" w:cs="Arial"/>
          <w:b/>
          <w:sz w:val="20"/>
          <w:szCs w:val="20"/>
        </w:rPr>
      </w:pPr>
      <w:r>
        <w:rPr>
          <w:rFonts w:ascii="Arial" w:hAnsi="Arial" w:cs="Arial"/>
          <w:noProof/>
          <w:sz w:val="20"/>
          <w:szCs w:val="20"/>
          <w:lang w:eastAsia="en-CA"/>
        </w:rPr>
        <w:drawing>
          <wp:inline distT="0" distB="0" distL="0" distR="0" wp14:anchorId="45FAF904" wp14:editId="7C175BF8">
            <wp:extent cx="2389711" cy="1748333"/>
            <wp:effectExtent l="0" t="0" r="0" b="4445"/>
            <wp:docPr id="21" name="Picture 21" descr="Image result for centromere and mitotic spi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entromere and mitotic spindle"/>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405887" cy="1760167"/>
                    </a:xfrm>
                    <a:prstGeom prst="rect">
                      <a:avLst/>
                    </a:prstGeom>
                    <a:noFill/>
                    <a:ln>
                      <a:noFill/>
                    </a:ln>
                  </pic:spPr>
                </pic:pic>
              </a:graphicData>
            </a:graphic>
          </wp:inline>
        </w:drawing>
      </w:r>
    </w:p>
    <w:p w14:paraId="7DB185C5" w14:textId="3654E806" w:rsidR="008F6F07" w:rsidRPr="008F6F07" w:rsidRDefault="008F6F07" w:rsidP="00892766">
      <w:pPr>
        <w:rPr>
          <w:rFonts w:ascii="Arial" w:hAnsi="Arial" w:cs="Arial"/>
          <w:b/>
          <w:sz w:val="20"/>
          <w:szCs w:val="20"/>
        </w:rPr>
      </w:pPr>
      <w:r>
        <w:rPr>
          <w:rFonts w:ascii="Arial" w:hAnsi="Arial" w:cs="Arial"/>
          <w:b/>
          <w:sz w:val="20"/>
          <w:szCs w:val="20"/>
        </w:rPr>
        <w:t xml:space="preserve">Telomere, Telomerase: </w:t>
      </w:r>
      <w:r w:rsidRPr="008F6F07">
        <w:rPr>
          <w:rFonts w:ascii="Arial" w:hAnsi="Arial" w:cs="Arial"/>
          <w:b/>
          <w:sz w:val="20"/>
          <w:szCs w:val="20"/>
        </w:rPr>
        <w:t>Telomeres</w:t>
      </w:r>
      <w:r w:rsidRPr="008F6F07">
        <w:rPr>
          <w:rFonts w:ascii="Arial" w:hAnsi="Arial" w:cs="Arial"/>
          <w:sz w:val="20"/>
          <w:szCs w:val="20"/>
        </w:rPr>
        <w:t xml:space="preserve"> (Greek telos, “end”) are sequences at the ends of eukaryotic chromosomes that help stabilize the chromosome. The ends of a linear DNA molecule cannot be routinely replicated by the cellular replication machinery (which may be one reason why bacterial DNA molecules are circular). Repeated telomeric sequences</w:t>
      </w:r>
      <w:r w:rsidR="006600B5">
        <w:rPr>
          <w:rFonts w:ascii="Arial" w:hAnsi="Arial" w:cs="Arial"/>
          <w:sz w:val="20"/>
          <w:szCs w:val="20"/>
        </w:rPr>
        <w:t xml:space="preserve">, </w:t>
      </w:r>
      <w:r w:rsidR="006600B5" w:rsidRPr="006600B5">
        <w:rPr>
          <w:rFonts w:ascii="Arial" w:hAnsi="Arial" w:cs="Arial"/>
          <w:sz w:val="20"/>
          <w:szCs w:val="20"/>
        </w:rPr>
        <w:t>(TTAGGG)n</w:t>
      </w:r>
      <w:r w:rsidR="006600B5">
        <w:rPr>
          <w:rFonts w:ascii="Arial" w:hAnsi="Arial" w:cs="Arial"/>
          <w:sz w:val="20"/>
          <w:szCs w:val="20"/>
        </w:rPr>
        <w:t xml:space="preserve">, </w:t>
      </w:r>
      <w:r w:rsidRPr="008F6F07">
        <w:rPr>
          <w:rFonts w:ascii="Arial" w:hAnsi="Arial" w:cs="Arial"/>
          <w:sz w:val="20"/>
          <w:szCs w:val="20"/>
        </w:rPr>
        <w:t xml:space="preserve"> are added to eukaryotic chromosome ends pri</w:t>
      </w:r>
      <w:r>
        <w:rPr>
          <w:rFonts w:ascii="Arial" w:hAnsi="Arial" w:cs="Arial"/>
          <w:sz w:val="20"/>
          <w:szCs w:val="20"/>
        </w:rPr>
        <w:t xml:space="preserve">marily by the enzyme </w:t>
      </w:r>
      <w:r w:rsidRPr="008F6F07">
        <w:rPr>
          <w:rFonts w:ascii="Arial" w:hAnsi="Arial" w:cs="Arial"/>
          <w:b/>
          <w:sz w:val="20"/>
          <w:szCs w:val="20"/>
        </w:rPr>
        <w:t>telomerase</w:t>
      </w:r>
      <w:r>
        <w:rPr>
          <w:rFonts w:ascii="Arial" w:hAnsi="Arial" w:cs="Arial"/>
          <w:sz w:val="20"/>
          <w:szCs w:val="20"/>
        </w:rPr>
        <w:t>.</w:t>
      </w:r>
      <w:r w:rsidRPr="008F6F07">
        <w:rPr>
          <w:rFonts w:ascii="Arial" w:hAnsi="Arial" w:cs="Arial"/>
          <w:b/>
          <w:sz w:val="20"/>
          <w:szCs w:val="20"/>
          <w:lang w:val="en"/>
        </w:rPr>
        <w:t xml:space="preserve"> </w:t>
      </w:r>
    </w:p>
    <w:p w14:paraId="283CAEC3" w14:textId="446B5401" w:rsidR="004F0400" w:rsidRDefault="008F6F07" w:rsidP="00892766">
      <w:pPr>
        <w:rPr>
          <w:rFonts w:ascii="Arial" w:hAnsi="Arial" w:cs="Arial"/>
          <w:sz w:val="20"/>
          <w:szCs w:val="20"/>
          <w:u w:val="single"/>
        </w:rPr>
      </w:pPr>
      <w:r w:rsidRPr="008F6F07">
        <w:rPr>
          <w:rFonts w:ascii="Arial" w:hAnsi="Arial" w:cs="Arial"/>
          <w:sz w:val="20"/>
          <w:szCs w:val="20"/>
          <w:u w:val="single"/>
        </w:rPr>
        <w:t xml:space="preserve">U1-07: Processive Mechanism: </w:t>
      </w:r>
    </w:p>
    <w:p w14:paraId="648292BD" w14:textId="725606AB" w:rsidR="008F6F07" w:rsidRDefault="008F6F07" w:rsidP="00892766">
      <w:pPr>
        <w:rPr>
          <w:rFonts w:ascii="Arial" w:hAnsi="Arial" w:cs="Arial"/>
          <w:b/>
          <w:sz w:val="20"/>
          <w:szCs w:val="20"/>
        </w:rPr>
      </w:pPr>
      <w:r w:rsidRPr="008F6F07">
        <w:rPr>
          <w:rFonts w:ascii="Arial" w:hAnsi="Arial" w:cs="Arial"/>
          <w:b/>
          <w:sz w:val="20"/>
          <w:szCs w:val="20"/>
        </w:rPr>
        <w:lastRenderedPageBreak/>
        <w:t xml:space="preserve">Nascent Polymer: </w:t>
      </w:r>
    </w:p>
    <w:p w14:paraId="694ABBD0" w14:textId="50761694" w:rsidR="006600B5" w:rsidRDefault="006600B5" w:rsidP="00892766">
      <w:pPr>
        <w:rPr>
          <w:rFonts w:ascii="Arial" w:hAnsi="Arial" w:cs="Arial"/>
          <w:sz w:val="20"/>
          <w:szCs w:val="20"/>
          <w:lang w:val="en"/>
        </w:rPr>
      </w:pPr>
      <w:r w:rsidRPr="006600B5">
        <w:rPr>
          <w:rFonts w:ascii="Arial" w:hAnsi="Arial" w:cs="Arial"/>
          <w:b/>
          <w:sz w:val="20"/>
          <w:szCs w:val="20"/>
        </w:rPr>
        <w:t xml:space="preserve">Coding (Nontemplate) Strand: </w:t>
      </w:r>
      <w:r>
        <w:rPr>
          <w:rFonts w:ascii="Arial" w:hAnsi="Arial" w:cs="Arial"/>
          <w:sz w:val="20"/>
          <w:szCs w:val="20"/>
          <w:lang w:val="en"/>
        </w:rPr>
        <w:t xml:space="preserve">When referring to transcription, the coding strand is the DNA strand which has the same base sequence as the RNA transcript produced. It is this strand which contains codons, while the non-coding (template) strand contains anti-codons. During transcription, RNA Pol II binds the </w:t>
      </w:r>
      <w:r w:rsidRPr="006600B5">
        <w:rPr>
          <w:rFonts w:ascii="Arial" w:hAnsi="Arial" w:cs="Arial"/>
          <w:b/>
          <w:sz w:val="20"/>
          <w:szCs w:val="20"/>
          <w:lang w:val="en"/>
        </w:rPr>
        <w:t xml:space="preserve">non-coding </w:t>
      </w:r>
      <w:r w:rsidR="00F4107B">
        <w:rPr>
          <w:rFonts w:ascii="Arial" w:hAnsi="Arial" w:cs="Arial"/>
          <w:b/>
          <w:sz w:val="20"/>
          <w:szCs w:val="20"/>
          <w:lang w:val="en"/>
        </w:rPr>
        <w:t xml:space="preserve">or template </w:t>
      </w:r>
      <w:r w:rsidRPr="006600B5">
        <w:rPr>
          <w:rFonts w:ascii="Arial" w:hAnsi="Arial" w:cs="Arial"/>
          <w:b/>
          <w:sz w:val="20"/>
          <w:szCs w:val="20"/>
          <w:lang w:val="en"/>
        </w:rPr>
        <w:t>strand</w:t>
      </w:r>
      <w:r>
        <w:rPr>
          <w:rFonts w:ascii="Arial" w:hAnsi="Arial" w:cs="Arial"/>
          <w:sz w:val="20"/>
          <w:szCs w:val="20"/>
          <w:lang w:val="en"/>
        </w:rPr>
        <w:t>, reads the anti-codons, and transcribes their sequence to synthesize an RNA transcript with complementary bases. By convention, the coding strand is the strand used when displaying a DNA sequence. It is presented in the 5' to 3' direction.</w:t>
      </w:r>
    </w:p>
    <w:p w14:paraId="1F0E5AB1" w14:textId="36972072" w:rsidR="00F4107B" w:rsidRDefault="00F4107B" w:rsidP="00892766">
      <w:pPr>
        <w:rPr>
          <w:rFonts w:ascii="Arial" w:hAnsi="Arial" w:cs="Arial"/>
          <w:sz w:val="20"/>
          <w:szCs w:val="20"/>
          <w:lang w:val="en"/>
        </w:rPr>
      </w:pPr>
      <w:r>
        <w:rPr>
          <w:rFonts w:ascii="Arial" w:hAnsi="Arial" w:cs="Arial"/>
          <w:noProof/>
          <w:sz w:val="20"/>
          <w:szCs w:val="20"/>
          <w:lang w:eastAsia="en-CA"/>
        </w:rPr>
        <w:drawing>
          <wp:inline distT="0" distB="0" distL="0" distR="0" wp14:anchorId="7E971163" wp14:editId="3E3CF921">
            <wp:extent cx="3395207" cy="2371045"/>
            <wp:effectExtent l="0" t="0" r="0" b="0"/>
            <wp:docPr id="23" name="Picture 23" descr="Image result for transcription of dna lehni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anscription of dna lehninger"/>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419171" cy="2387780"/>
                    </a:xfrm>
                    <a:prstGeom prst="rect">
                      <a:avLst/>
                    </a:prstGeom>
                    <a:noFill/>
                    <a:ln>
                      <a:noFill/>
                    </a:ln>
                  </pic:spPr>
                </pic:pic>
              </a:graphicData>
            </a:graphic>
          </wp:inline>
        </w:drawing>
      </w:r>
    </w:p>
    <w:p w14:paraId="498C43DA" w14:textId="7F168E56" w:rsidR="006600B5" w:rsidRDefault="006600B5" w:rsidP="00892766">
      <w:pPr>
        <w:rPr>
          <w:rFonts w:ascii="Arial" w:hAnsi="Arial" w:cs="Arial"/>
          <w:sz w:val="20"/>
          <w:szCs w:val="20"/>
          <w:lang w:val="en"/>
        </w:rPr>
      </w:pPr>
      <w:r w:rsidRPr="00EB1E7C">
        <w:rPr>
          <w:rFonts w:ascii="Arial" w:hAnsi="Arial" w:cs="Arial"/>
          <w:b/>
          <w:sz w:val="20"/>
          <w:szCs w:val="20"/>
          <w:lang w:val="en"/>
        </w:rPr>
        <w:t>Active Site:</w:t>
      </w:r>
      <w:r>
        <w:rPr>
          <w:rFonts w:ascii="Arial" w:hAnsi="Arial" w:cs="Arial"/>
          <w:sz w:val="20"/>
          <w:szCs w:val="20"/>
          <w:lang w:val="en"/>
        </w:rPr>
        <w:t xml:space="preserve"> </w:t>
      </w:r>
      <w:r w:rsidRPr="006600B5">
        <w:rPr>
          <w:rFonts w:ascii="Arial" w:hAnsi="Arial" w:cs="Arial"/>
          <w:sz w:val="20"/>
          <w:szCs w:val="20"/>
          <w:lang w:val="en"/>
        </w:rPr>
        <w:t xml:space="preserve">A DNA polymerase </w:t>
      </w:r>
      <w:r w:rsidRPr="00EB1E7C">
        <w:rPr>
          <w:rFonts w:ascii="Arial" w:hAnsi="Arial" w:cs="Arial"/>
          <w:b/>
          <w:sz w:val="20"/>
          <w:szCs w:val="20"/>
          <w:lang w:val="en"/>
        </w:rPr>
        <w:t xml:space="preserve">active site </w:t>
      </w:r>
      <w:r w:rsidRPr="006600B5">
        <w:rPr>
          <w:rFonts w:ascii="Arial" w:hAnsi="Arial" w:cs="Arial"/>
          <w:sz w:val="20"/>
          <w:szCs w:val="20"/>
          <w:lang w:val="en"/>
        </w:rPr>
        <w:t>has t</w:t>
      </w:r>
      <w:r w:rsidR="00EB1E7C">
        <w:rPr>
          <w:rFonts w:ascii="Arial" w:hAnsi="Arial" w:cs="Arial"/>
          <w:sz w:val="20"/>
          <w:szCs w:val="20"/>
          <w:lang w:val="en"/>
        </w:rPr>
        <w:t xml:space="preserve">wo parts. </w:t>
      </w:r>
      <w:r w:rsidRPr="006600B5">
        <w:rPr>
          <w:rFonts w:ascii="Arial" w:hAnsi="Arial" w:cs="Arial"/>
          <w:sz w:val="20"/>
          <w:szCs w:val="20"/>
          <w:lang w:val="en"/>
        </w:rPr>
        <w:t xml:space="preserve">The incoming nucleotide is initially positioned in the </w:t>
      </w:r>
      <w:r w:rsidRPr="00EB1E7C">
        <w:rPr>
          <w:rFonts w:ascii="Arial" w:hAnsi="Arial" w:cs="Arial"/>
          <w:b/>
          <w:sz w:val="20"/>
          <w:szCs w:val="20"/>
          <w:lang w:val="en"/>
        </w:rPr>
        <w:t>insertion site</w:t>
      </w:r>
      <w:r w:rsidRPr="006600B5">
        <w:rPr>
          <w:rFonts w:ascii="Arial" w:hAnsi="Arial" w:cs="Arial"/>
          <w:sz w:val="20"/>
          <w:szCs w:val="20"/>
          <w:lang w:val="en"/>
        </w:rPr>
        <w:t>. Once the phosphodiester bond is formed, the polymerase slides forward on the DNA and</w:t>
      </w:r>
      <w:r w:rsidR="00EB1E7C">
        <w:rPr>
          <w:rFonts w:ascii="Arial" w:hAnsi="Arial" w:cs="Arial"/>
          <w:sz w:val="20"/>
          <w:szCs w:val="20"/>
          <w:lang w:val="en"/>
        </w:rPr>
        <w:t xml:space="preserve"> </w:t>
      </w:r>
      <w:r w:rsidR="00EB1E7C" w:rsidRPr="00EB1E7C">
        <w:rPr>
          <w:rFonts w:ascii="Arial" w:hAnsi="Arial" w:cs="Arial"/>
          <w:sz w:val="20"/>
          <w:szCs w:val="20"/>
          <w:lang w:val="en"/>
        </w:rPr>
        <w:t xml:space="preserve">the new base pair is positioned in the </w:t>
      </w:r>
      <w:r w:rsidR="00EB1E7C" w:rsidRPr="00EB1E7C">
        <w:rPr>
          <w:rFonts w:ascii="Arial" w:hAnsi="Arial" w:cs="Arial"/>
          <w:b/>
          <w:sz w:val="20"/>
          <w:szCs w:val="20"/>
          <w:lang w:val="en"/>
        </w:rPr>
        <w:t>post-insertion site</w:t>
      </w:r>
      <w:r w:rsidR="00EB1E7C" w:rsidRPr="00EB1E7C">
        <w:rPr>
          <w:rFonts w:ascii="Arial" w:hAnsi="Arial" w:cs="Arial"/>
          <w:sz w:val="20"/>
          <w:szCs w:val="20"/>
          <w:lang w:val="en"/>
        </w:rPr>
        <w:t>. These elements are located in a pocket that resembles the palm of a hand</w:t>
      </w:r>
      <w:r w:rsidR="00EB1E7C">
        <w:rPr>
          <w:rFonts w:ascii="Arial" w:hAnsi="Arial" w:cs="Arial"/>
          <w:sz w:val="20"/>
          <w:szCs w:val="20"/>
          <w:lang w:val="en"/>
        </w:rPr>
        <w:t>.</w:t>
      </w:r>
    </w:p>
    <w:p w14:paraId="1F5F8031" w14:textId="2E5D93DA" w:rsidR="00EB1E7C" w:rsidRDefault="00EB1E7C" w:rsidP="00892766">
      <w:pPr>
        <w:rPr>
          <w:rFonts w:ascii="Arial" w:hAnsi="Arial" w:cs="Arial"/>
          <w:b/>
          <w:sz w:val="20"/>
          <w:szCs w:val="20"/>
        </w:rPr>
      </w:pPr>
      <w:r>
        <w:rPr>
          <w:rFonts w:ascii="Arial" w:hAnsi="Arial" w:cs="Arial"/>
          <w:noProof/>
          <w:sz w:val="20"/>
          <w:szCs w:val="20"/>
          <w:lang w:eastAsia="en-CA"/>
        </w:rPr>
        <w:drawing>
          <wp:inline distT="0" distB="0" distL="0" distR="0" wp14:anchorId="3600D5F9" wp14:editId="2C9A167D">
            <wp:extent cx="2648102" cy="1213529"/>
            <wp:effectExtent l="0" t="0" r="0" b="5715"/>
            <wp:docPr id="22" name="Picture 22" descr="Image result for insertion site of dna polymer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insertion site of dna polymerase"/>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671153" cy="1224093"/>
                    </a:xfrm>
                    <a:prstGeom prst="rect">
                      <a:avLst/>
                    </a:prstGeom>
                    <a:noFill/>
                    <a:ln>
                      <a:noFill/>
                    </a:ln>
                  </pic:spPr>
                </pic:pic>
              </a:graphicData>
            </a:graphic>
          </wp:inline>
        </w:drawing>
      </w:r>
    </w:p>
    <w:p w14:paraId="56FDCEE3" w14:textId="5F131B57" w:rsidR="00EB1E7C" w:rsidRPr="006600B5" w:rsidRDefault="00EB1E7C" w:rsidP="00892766">
      <w:pPr>
        <w:rPr>
          <w:rFonts w:ascii="Arial" w:hAnsi="Arial" w:cs="Arial"/>
          <w:b/>
          <w:sz w:val="20"/>
          <w:szCs w:val="20"/>
        </w:rPr>
      </w:pPr>
      <w:bookmarkStart w:id="0" w:name="_GoBack"/>
      <w:bookmarkEnd w:id="0"/>
    </w:p>
    <w:sectPr w:rsidR="00EB1E7C" w:rsidRPr="006600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C79"/>
    <w:rsid w:val="00012268"/>
    <w:rsid w:val="00052378"/>
    <w:rsid w:val="000606BE"/>
    <w:rsid w:val="0014501C"/>
    <w:rsid w:val="00160279"/>
    <w:rsid w:val="001B2D5F"/>
    <w:rsid w:val="002E58E1"/>
    <w:rsid w:val="00343FBA"/>
    <w:rsid w:val="00392BFE"/>
    <w:rsid w:val="00495D31"/>
    <w:rsid w:val="004A080C"/>
    <w:rsid w:val="004D28DA"/>
    <w:rsid w:val="004F0400"/>
    <w:rsid w:val="00534044"/>
    <w:rsid w:val="005419F0"/>
    <w:rsid w:val="0057790D"/>
    <w:rsid w:val="005A1DFA"/>
    <w:rsid w:val="005B7E04"/>
    <w:rsid w:val="006600B5"/>
    <w:rsid w:val="007501CD"/>
    <w:rsid w:val="00764C79"/>
    <w:rsid w:val="00773BDB"/>
    <w:rsid w:val="007C61E6"/>
    <w:rsid w:val="007F43BA"/>
    <w:rsid w:val="00892766"/>
    <w:rsid w:val="008E1A5A"/>
    <w:rsid w:val="008F6F07"/>
    <w:rsid w:val="00957511"/>
    <w:rsid w:val="009B5E67"/>
    <w:rsid w:val="009D0DB9"/>
    <w:rsid w:val="00A55262"/>
    <w:rsid w:val="00AF12FC"/>
    <w:rsid w:val="00B300A4"/>
    <w:rsid w:val="00B42E79"/>
    <w:rsid w:val="00B80523"/>
    <w:rsid w:val="00B95889"/>
    <w:rsid w:val="00E41F9B"/>
    <w:rsid w:val="00E505E6"/>
    <w:rsid w:val="00EB1E7C"/>
    <w:rsid w:val="00F31118"/>
    <w:rsid w:val="00F4107B"/>
    <w:rsid w:val="00F73BE4"/>
    <w:rsid w:val="00FD2744"/>
    <w:rsid w:val="00FF1D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6BF54"/>
  <w15:chartTrackingRefBased/>
  <w15:docId w15:val="{2C7EC68A-2B29-4C93-8E63-94F5EC45D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64C79"/>
    <w:rPr>
      <w:color w:val="0000FF"/>
      <w:u w:val="single"/>
    </w:rPr>
  </w:style>
  <w:style w:type="character" w:customStyle="1" w:styleId="center">
    <w:name w:val="center"/>
    <w:basedOn w:val="DefaultParagraphFont"/>
    <w:rsid w:val="008E1A5A"/>
  </w:style>
  <w:style w:type="paragraph" w:styleId="Caption">
    <w:name w:val="caption"/>
    <w:basedOn w:val="Normal"/>
    <w:next w:val="Normal"/>
    <w:uiPriority w:val="35"/>
    <w:unhideWhenUsed/>
    <w:qFormat/>
    <w:rsid w:val="00B95889"/>
    <w:pPr>
      <w:spacing w:after="200" w:line="240" w:lineRule="auto"/>
    </w:pPr>
    <w:rPr>
      <w:i/>
      <w:iCs/>
      <w:color w:val="44546A" w:themeColor="text2"/>
      <w:sz w:val="18"/>
      <w:szCs w:val="18"/>
    </w:rPr>
  </w:style>
  <w:style w:type="character" w:styleId="Strong">
    <w:name w:val="Strong"/>
    <w:basedOn w:val="DefaultParagraphFont"/>
    <w:uiPriority w:val="22"/>
    <w:qFormat/>
    <w:rsid w:val="00B95889"/>
    <w:rPr>
      <w:b/>
      <w:bCs/>
    </w:rPr>
  </w:style>
  <w:style w:type="paragraph" w:styleId="NormalWeb">
    <w:name w:val="Normal (Web)"/>
    <w:basedOn w:val="Normal"/>
    <w:uiPriority w:val="99"/>
    <w:unhideWhenUsed/>
    <w:rsid w:val="0014501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wrap1">
    <w:name w:val="nowrap1"/>
    <w:basedOn w:val="DefaultParagraphFont"/>
    <w:rsid w:val="005A1DFA"/>
  </w:style>
  <w:style w:type="character" w:customStyle="1" w:styleId="sortkey3">
    <w:name w:val="sortkey3"/>
    <w:basedOn w:val="DefaultParagraphFont"/>
    <w:rsid w:val="005A1DFA"/>
  </w:style>
  <w:style w:type="character" w:customStyle="1" w:styleId="sfrac">
    <w:name w:val="sfrac"/>
    <w:basedOn w:val="DefaultParagraphFont"/>
    <w:rsid w:val="005A1DFA"/>
  </w:style>
  <w:style w:type="character" w:customStyle="1" w:styleId="visualhide1">
    <w:name w:val="visualhide1"/>
    <w:basedOn w:val="DefaultParagraphFont"/>
    <w:rsid w:val="005A1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564471">
      <w:bodyDiv w:val="1"/>
      <w:marLeft w:val="0"/>
      <w:marRight w:val="0"/>
      <w:marTop w:val="0"/>
      <w:marBottom w:val="0"/>
      <w:divBdr>
        <w:top w:val="none" w:sz="0" w:space="0" w:color="auto"/>
        <w:left w:val="none" w:sz="0" w:space="0" w:color="auto"/>
        <w:bottom w:val="none" w:sz="0" w:space="0" w:color="auto"/>
        <w:right w:val="none" w:sz="0" w:space="0" w:color="auto"/>
      </w:divBdr>
    </w:div>
    <w:div w:id="816804489">
      <w:bodyDiv w:val="1"/>
      <w:marLeft w:val="0"/>
      <w:marRight w:val="0"/>
      <w:marTop w:val="0"/>
      <w:marBottom w:val="0"/>
      <w:divBdr>
        <w:top w:val="none" w:sz="0" w:space="0" w:color="auto"/>
        <w:left w:val="none" w:sz="0" w:space="0" w:color="auto"/>
        <w:bottom w:val="none" w:sz="0" w:space="0" w:color="auto"/>
        <w:right w:val="none" w:sz="0" w:space="0" w:color="auto"/>
      </w:divBdr>
      <w:divsChild>
        <w:div w:id="1400591724">
          <w:marLeft w:val="0"/>
          <w:marRight w:val="0"/>
          <w:marTop w:val="0"/>
          <w:marBottom w:val="0"/>
          <w:divBdr>
            <w:top w:val="none" w:sz="0" w:space="0" w:color="auto"/>
            <w:left w:val="none" w:sz="0" w:space="0" w:color="auto"/>
            <w:bottom w:val="none" w:sz="0" w:space="0" w:color="auto"/>
            <w:right w:val="none" w:sz="0" w:space="0" w:color="auto"/>
          </w:divBdr>
          <w:divsChild>
            <w:div w:id="1812213892">
              <w:marLeft w:val="0"/>
              <w:marRight w:val="0"/>
              <w:marTop w:val="0"/>
              <w:marBottom w:val="0"/>
              <w:divBdr>
                <w:top w:val="none" w:sz="0" w:space="0" w:color="auto"/>
                <w:left w:val="none" w:sz="0" w:space="0" w:color="auto"/>
                <w:bottom w:val="none" w:sz="0" w:space="0" w:color="auto"/>
                <w:right w:val="none" w:sz="0" w:space="0" w:color="auto"/>
              </w:divBdr>
              <w:divsChild>
                <w:div w:id="573125315">
                  <w:marLeft w:val="0"/>
                  <w:marRight w:val="0"/>
                  <w:marTop w:val="0"/>
                  <w:marBottom w:val="0"/>
                  <w:divBdr>
                    <w:top w:val="none" w:sz="0" w:space="0" w:color="auto"/>
                    <w:left w:val="none" w:sz="0" w:space="0" w:color="auto"/>
                    <w:bottom w:val="none" w:sz="0" w:space="0" w:color="auto"/>
                    <w:right w:val="none" w:sz="0" w:space="0" w:color="auto"/>
                  </w:divBdr>
                  <w:divsChild>
                    <w:div w:id="1425570892">
                      <w:marLeft w:val="0"/>
                      <w:marRight w:val="0"/>
                      <w:marTop w:val="0"/>
                      <w:marBottom w:val="0"/>
                      <w:divBdr>
                        <w:top w:val="none" w:sz="0" w:space="0" w:color="auto"/>
                        <w:left w:val="none" w:sz="0" w:space="0" w:color="auto"/>
                        <w:bottom w:val="none" w:sz="0" w:space="0" w:color="auto"/>
                        <w:right w:val="none" w:sz="0" w:space="0" w:color="auto"/>
                      </w:divBdr>
                      <w:divsChild>
                        <w:div w:id="1168132977">
                          <w:marLeft w:val="0"/>
                          <w:marRight w:val="0"/>
                          <w:marTop w:val="0"/>
                          <w:marBottom w:val="0"/>
                          <w:divBdr>
                            <w:top w:val="none" w:sz="0" w:space="0" w:color="auto"/>
                            <w:left w:val="none" w:sz="0" w:space="0" w:color="auto"/>
                            <w:bottom w:val="none" w:sz="0" w:space="0" w:color="auto"/>
                            <w:right w:val="none" w:sz="0" w:space="0" w:color="auto"/>
                          </w:divBdr>
                          <w:divsChild>
                            <w:div w:id="167106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jpeg"/><Relationship Id="rId21" Type="http://schemas.openxmlformats.org/officeDocument/2006/relationships/hyperlink" Target="https://en.wikipedia.org/wiki/Oxygen" TargetMode="External"/><Relationship Id="rId42" Type="http://schemas.openxmlformats.org/officeDocument/2006/relationships/hyperlink" Target="https://en.wikipedia.org/wiki/Enzyme" TargetMode="External"/><Relationship Id="rId47" Type="http://schemas.openxmlformats.org/officeDocument/2006/relationships/hyperlink" Target="https://en.wikipedia.org/wiki/Macromolecules" TargetMode="External"/><Relationship Id="rId63" Type="http://schemas.openxmlformats.org/officeDocument/2006/relationships/hyperlink" Target="https://en.wikipedia.org/wiki/Aromatic" TargetMode="External"/><Relationship Id="rId68" Type="http://schemas.openxmlformats.org/officeDocument/2006/relationships/hyperlink" Target="https://en.wikipedia.org/wiki/Daunomycin" TargetMode="External"/><Relationship Id="rId84" Type="http://schemas.openxmlformats.org/officeDocument/2006/relationships/hyperlink" Target="https://en.wikipedia.org/wiki/Ionization_energies_of_the_elements_(data_page)" TargetMode="External"/><Relationship Id="rId89" Type="http://schemas.openxmlformats.org/officeDocument/2006/relationships/hyperlink" Target="https://en.wikipedia.org/wiki/Human_eye" TargetMode="External"/><Relationship Id="rId1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4.jpeg"/><Relationship Id="rId29" Type="http://schemas.openxmlformats.org/officeDocument/2006/relationships/image" Target="media/image11.jpeg"/><Relationship Id="rId107" Type="http://schemas.openxmlformats.org/officeDocument/2006/relationships/hyperlink" Target="https://en.wikipedia.org/wiki/Engineering_notation" TargetMode="External"/><Relationship Id="rId11" Type="http://schemas.openxmlformats.org/officeDocument/2006/relationships/image" Target="media/image1.jpeg"/><Relationship Id="rId24" Type="http://schemas.openxmlformats.org/officeDocument/2006/relationships/hyperlink" Target="https://en.wikipedia.org/wiki/Alcohol" TargetMode="External"/><Relationship Id="rId32" Type="http://schemas.openxmlformats.org/officeDocument/2006/relationships/hyperlink" Target="https://www.bing.com/images/search?q=alpha+beta+and+gamma+phosphates&amp;view=detailv2&amp;&amp;id=6984CB20F1E7E0EB4CE02DEEAB36DEB4960D4A16&amp;selectedIndex=5&amp;ccid=bWY9%2b2NW&amp;simid=608018218943907712&amp;thid=OIP.M6d663dfb6356f350926a775dd62ceb6bo0" TargetMode="External"/><Relationship Id="rId37" Type="http://schemas.openxmlformats.org/officeDocument/2006/relationships/image" Target="media/image16.jpeg"/><Relationship Id="rId40" Type="http://schemas.openxmlformats.org/officeDocument/2006/relationships/hyperlink" Target="https://en.wikipedia.org/wiki/Substrate_(chemistry)" TargetMode="External"/><Relationship Id="rId45" Type="http://schemas.openxmlformats.org/officeDocument/2006/relationships/hyperlink" Target="https://en.wikipedia.org/wiki/Product_(chemistry)" TargetMode="External"/><Relationship Id="rId53" Type="http://schemas.openxmlformats.org/officeDocument/2006/relationships/hyperlink" Target="https://en.wikipedia.org/wiki/Chemical_compound" TargetMode="External"/><Relationship Id="rId58" Type="http://schemas.openxmlformats.org/officeDocument/2006/relationships/hyperlink" Target="https://en.wikipedia.org/wiki/Biochemistry" TargetMode="External"/><Relationship Id="rId66" Type="http://schemas.openxmlformats.org/officeDocument/2006/relationships/hyperlink" Target="https://en.wikipedia.org/wiki/Ethidium_bromide" TargetMode="External"/><Relationship Id="rId74" Type="http://schemas.openxmlformats.org/officeDocument/2006/relationships/hyperlink" Target="https://en.wikipedia.org/wiki/PHz" TargetMode="External"/><Relationship Id="rId79" Type="http://schemas.openxmlformats.org/officeDocument/2006/relationships/hyperlink" Target="https://en.wikipedia.org/wiki/Electric_arc" TargetMode="External"/><Relationship Id="rId87" Type="http://schemas.openxmlformats.org/officeDocument/2006/relationships/hyperlink" Target="https://en.wikipedia.org/wiki/Electromagnetic_spectrum" TargetMode="External"/><Relationship Id="rId102" Type="http://schemas.openxmlformats.org/officeDocument/2006/relationships/hyperlink" Target="https://en.wikipedia.org/wiki/Metric_system" TargetMode="External"/><Relationship Id="rId110" Type="http://schemas.openxmlformats.org/officeDocument/2006/relationships/image" Target="media/image21.png"/><Relationship Id="rId5" Type="http://schemas.openxmlformats.org/officeDocument/2006/relationships/hyperlink" Target="http://chemistry.about.com/od/chemistryglossary/g/moleculedef.htm" TargetMode="External"/><Relationship Id="rId61" Type="http://schemas.openxmlformats.org/officeDocument/2006/relationships/hyperlink" Target="https://en.wikipedia.org/wiki/Ligand_(biochemistry)" TargetMode="External"/><Relationship Id="rId82" Type="http://schemas.openxmlformats.org/officeDocument/2006/relationships/hyperlink" Target="https://en.wikipedia.org/wiki/Black_light" TargetMode="External"/><Relationship Id="rId90" Type="http://schemas.openxmlformats.org/officeDocument/2006/relationships/hyperlink" Target="https://en.wikipedia.org/wiki/Electromagnetic_radiation" TargetMode="External"/><Relationship Id="rId95" Type="http://schemas.openxmlformats.org/officeDocument/2006/relationships/hyperlink" Target="https://en.wikipedia.org/wiki/Hertz" TargetMode="External"/><Relationship Id="rId19" Type="http://schemas.openxmlformats.org/officeDocument/2006/relationships/image" Target="media/image6.jpeg"/><Relationship Id="rId14" Type="http://schemas.openxmlformats.org/officeDocument/2006/relationships/image" Target="media/image3.jpeg"/><Relationship Id="rId22" Type="http://schemas.openxmlformats.org/officeDocument/2006/relationships/hyperlink" Target="https://en.wikipedia.org/wiki/Covalent_bonding" TargetMode="External"/><Relationship Id="rId27" Type="http://schemas.openxmlformats.org/officeDocument/2006/relationships/image" Target="media/image9.gif"/><Relationship Id="rId30" Type="http://schemas.openxmlformats.org/officeDocument/2006/relationships/image" Target="media/image12.png"/><Relationship Id="rId35" Type="http://schemas.openxmlformats.org/officeDocument/2006/relationships/image" Target="media/image15.jpeg"/><Relationship Id="rId43" Type="http://schemas.openxmlformats.org/officeDocument/2006/relationships/hyperlink" Target="https://en.wikipedia.org/wiki/Catalyst" TargetMode="External"/><Relationship Id="rId48" Type="http://schemas.openxmlformats.org/officeDocument/2006/relationships/hyperlink" Target="https://en.wikipedia.org/wiki/Metabolic_pathway" TargetMode="External"/><Relationship Id="rId56" Type="http://schemas.openxmlformats.org/officeDocument/2006/relationships/hyperlink" Target="https://en.wikipedia.org/wiki/Isotopic_labeling" TargetMode="External"/><Relationship Id="rId64" Type="http://schemas.openxmlformats.org/officeDocument/2006/relationships/hyperlink" Target="https://en.wikipedia.org/wiki/Staining_(biology)" TargetMode="External"/><Relationship Id="rId69" Type="http://schemas.openxmlformats.org/officeDocument/2006/relationships/hyperlink" Target="https://en.wikipedia.org/wiki/Doxorubicin" TargetMode="External"/><Relationship Id="rId77" Type="http://schemas.openxmlformats.org/officeDocument/2006/relationships/hyperlink" Target="https://en.wikipedia.org/wiki/X-ray" TargetMode="External"/><Relationship Id="rId100" Type="http://schemas.openxmlformats.org/officeDocument/2006/relationships/hyperlink" Target="https://en.wikipedia.org/wiki/Units_of_measurement" TargetMode="External"/><Relationship Id="rId105" Type="http://schemas.openxmlformats.org/officeDocument/2006/relationships/hyperlink" Target="https://en.wikipedia.org/wiki/Ancient_Greek" TargetMode="External"/><Relationship Id="rId113" Type="http://schemas.openxmlformats.org/officeDocument/2006/relationships/theme" Target="theme/theme1.xml"/><Relationship Id="rId8" Type="http://schemas.openxmlformats.org/officeDocument/2006/relationships/hyperlink" Target="https://en.wikipedia.org/wiki/Affix" TargetMode="External"/><Relationship Id="rId51" Type="http://schemas.openxmlformats.org/officeDocument/2006/relationships/hyperlink" Target="https://en.wikipedia.org/wiki/Nucleotide" TargetMode="External"/><Relationship Id="rId72" Type="http://schemas.openxmlformats.org/officeDocument/2006/relationships/hyperlink" Target="https://en.wikipedia.org/wiki/Electromagnetic_radiation" TargetMode="External"/><Relationship Id="rId80" Type="http://schemas.openxmlformats.org/officeDocument/2006/relationships/hyperlink" Target="https://en.wikipedia.org/wiki/Mercury-vapor_lamp" TargetMode="External"/><Relationship Id="rId85" Type="http://schemas.openxmlformats.org/officeDocument/2006/relationships/hyperlink" Target="https://en.wikipedia.org/wiki/Chemical_reaction" TargetMode="External"/><Relationship Id="rId93" Type="http://schemas.openxmlformats.org/officeDocument/2006/relationships/hyperlink" Target="https://en.wikipedia.org/wiki/1_E-7_m" TargetMode="External"/><Relationship Id="rId98" Type="http://schemas.openxmlformats.org/officeDocument/2006/relationships/hyperlink" Target="https://en.wikipedia.org/wiki/SI" TargetMode="External"/><Relationship Id="rId3" Type="http://schemas.openxmlformats.org/officeDocument/2006/relationships/webSettings" Target="webSettings.xml"/><Relationship Id="rId12" Type="http://schemas.openxmlformats.org/officeDocument/2006/relationships/hyperlink" Target="https://www.bing.com/images/search?q=amino+group&amp;view=detailv2&amp;&amp;id=98FDEE196D173C4F2623F4CD8DC58B0C0AC02FE3&amp;selectedIndex=1&amp;ccid=uT7K7UZr&amp;simid=608010251773872172&amp;thid=OIP.Mb93ecaed466b7d4c788b8e6fe1964212H0" TargetMode="External"/><Relationship Id="rId17" Type="http://schemas.openxmlformats.org/officeDocument/2006/relationships/image" Target="media/image5.jpeg"/><Relationship Id="rId25" Type="http://schemas.openxmlformats.org/officeDocument/2006/relationships/image" Target="media/image7.jpeg"/><Relationship Id="rId33" Type="http://schemas.openxmlformats.org/officeDocument/2006/relationships/image" Target="media/image14.jpeg"/><Relationship Id="rId38" Type="http://schemas.openxmlformats.org/officeDocument/2006/relationships/hyperlink" Target="https://en.wikipedia.org/wiki/Phosphoryl_chloride" TargetMode="External"/><Relationship Id="rId46" Type="http://schemas.openxmlformats.org/officeDocument/2006/relationships/hyperlink" Target="https://en.wikipedia.org/wiki/Chemical_compound" TargetMode="External"/><Relationship Id="rId59" Type="http://schemas.openxmlformats.org/officeDocument/2006/relationships/hyperlink" Target="https://en.wikipedia.org/wiki/File:DNA_intercalation2.jpg" TargetMode="External"/><Relationship Id="rId67" Type="http://schemas.openxmlformats.org/officeDocument/2006/relationships/hyperlink" Target="https://en.wikipedia.org/wiki/Proflavine" TargetMode="External"/><Relationship Id="rId103" Type="http://schemas.openxmlformats.org/officeDocument/2006/relationships/hyperlink" Target="https://en.wikipedia.org/wiki/Metre" TargetMode="External"/><Relationship Id="rId108" Type="http://schemas.openxmlformats.org/officeDocument/2006/relationships/hyperlink" Target="https://en.wikipedia.org/wiki/%C3%85ngstr%C3%B6m" TargetMode="External"/><Relationship Id="rId20" Type="http://schemas.openxmlformats.org/officeDocument/2006/relationships/hyperlink" Target="https://en.wikipedia.org/wiki/Functional_group" TargetMode="External"/><Relationship Id="rId41" Type="http://schemas.openxmlformats.org/officeDocument/2006/relationships/image" Target="media/image17.png"/><Relationship Id="rId54" Type="http://schemas.openxmlformats.org/officeDocument/2006/relationships/hyperlink" Target="https://en.wikipedia.org/wiki/Radioisotope" TargetMode="External"/><Relationship Id="rId62" Type="http://schemas.openxmlformats.org/officeDocument/2006/relationships/hyperlink" Target="https://en.wikipedia.org/wiki/Intercalation_(biochemistry)" TargetMode="External"/><Relationship Id="rId70" Type="http://schemas.openxmlformats.org/officeDocument/2006/relationships/hyperlink" Target="https://en.wikipedia.org/wiki/Thalidomide" TargetMode="External"/><Relationship Id="rId75" Type="http://schemas.openxmlformats.org/officeDocument/2006/relationships/hyperlink" Target="https://en.wikipedia.org/wiki/THz" TargetMode="External"/><Relationship Id="rId83" Type="http://schemas.openxmlformats.org/officeDocument/2006/relationships/hyperlink" Target="https://en.wikipedia.org/wiki/Photon_energy" TargetMode="External"/><Relationship Id="rId88" Type="http://schemas.openxmlformats.org/officeDocument/2006/relationships/hyperlink" Target="https://en.wikipedia.org/wiki/Visual_perception" TargetMode="External"/><Relationship Id="rId91" Type="http://schemas.openxmlformats.org/officeDocument/2006/relationships/hyperlink" Target="https://en.wikipedia.org/wiki/Wavelength" TargetMode="External"/><Relationship Id="rId96" Type="http://schemas.openxmlformats.org/officeDocument/2006/relationships/hyperlink" Target="https://en.wikipedia.org/wiki/American_and_British_English_spelling_differences" TargetMode="External"/><Relationship Id="rId111" Type="http://schemas.openxmlformats.org/officeDocument/2006/relationships/image" Target="media/image22.png"/><Relationship Id="rId1" Type="http://schemas.openxmlformats.org/officeDocument/2006/relationships/styles" Target="styles.xml"/><Relationship Id="rId6" Type="http://schemas.openxmlformats.org/officeDocument/2006/relationships/hyperlink" Target="http://chemistry.about.com/od/chemistryglossary/a/reactiondef.htm" TargetMode="External"/><Relationship Id="rId15" Type="http://schemas.openxmlformats.org/officeDocument/2006/relationships/hyperlink" Target="https://www.bing.com/images/search?q=carboxyl&amp;view=detailv2&amp;&amp;id=E6313BD9973867311854020578A3BE64AA0A1DF1&amp;selectedIndex=3&amp;ccid=ssPDq28H&amp;simid=608044366712540713&amp;thid=OIP.Mb2c3c3ab6f07b94cd6b35e9be9ed79d1H0" TargetMode="External"/><Relationship Id="rId23" Type="http://schemas.openxmlformats.org/officeDocument/2006/relationships/hyperlink" Target="https://en.wikipedia.org/wiki/Hydrogen" TargetMode="External"/><Relationship Id="rId28" Type="http://schemas.openxmlformats.org/officeDocument/2006/relationships/image" Target="media/image10.png"/><Relationship Id="rId36" Type="http://schemas.openxmlformats.org/officeDocument/2006/relationships/hyperlink" Target="https://www.bing.com/images/search?q=acyl+group&amp;view=detailv2&amp;&amp;id=8505137D6E360BCEBC5F81305FC6419D99641326&amp;selectedIndex=14&amp;ccid=7zItHmB7&amp;simid=608046325207993987&amp;thid=OIP.Mef322d1e607b1b9ea117cabc7dfbb0daH0" TargetMode="External"/><Relationship Id="rId49" Type="http://schemas.openxmlformats.org/officeDocument/2006/relationships/hyperlink" Target="https://en.wikipedia.org/wiki/Organelle" TargetMode="External"/><Relationship Id="rId57" Type="http://schemas.openxmlformats.org/officeDocument/2006/relationships/image" Target="media/image18.gif"/><Relationship Id="rId106" Type="http://schemas.openxmlformats.org/officeDocument/2006/relationships/hyperlink" Target="https://en.wikipedia.org/wiki/Scientific_notation" TargetMode="External"/><Relationship Id="rId10" Type="http://schemas.openxmlformats.org/officeDocument/2006/relationships/hyperlink" Target="https://en.wikipedia.org/wiki/Functional_group" TargetMode="External"/><Relationship Id="rId31" Type="http://schemas.openxmlformats.org/officeDocument/2006/relationships/image" Target="media/image13.gif"/><Relationship Id="rId44" Type="http://schemas.openxmlformats.org/officeDocument/2006/relationships/hyperlink" Target="https://en.wikipedia.org/wiki/Substrate_(chemistry)" TargetMode="External"/><Relationship Id="rId52" Type="http://schemas.openxmlformats.org/officeDocument/2006/relationships/hyperlink" Target="http://www.diffen.com/difference/Acid_vs_Base" TargetMode="External"/><Relationship Id="rId60" Type="http://schemas.openxmlformats.org/officeDocument/2006/relationships/image" Target="media/image19.jpeg"/><Relationship Id="rId65" Type="http://schemas.openxmlformats.org/officeDocument/2006/relationships/hyperlink" Target="https://en.wikipedia.org/wiki/Berberine" TargetMode="External"/><Relationship Id="rId73" Type="http://schemas.openxmlformats.org/officeDocument/2006/relationships/hyperlink" Target="https://en.wikipedia.org/wiki/Wavelength" TargetMode="External"/><Relationship Id="rId78" Type="http://schemas.openxmlformats.org/officeDocument/2006/relationships/hyperlink" Target="https://en.wikipedia.org/wiki/Sunlight" TargetMode="External"/><Relationship Id="rId81" Type="http://schemas.openxmlformats.org/officeDocument/2006/relationships/hyperlink" Target="https://en.wikipedia.org/wiki/Tanning_lamp" TargetMode="External"/><Relationship Id="rId86" Type="http://schemas.openxmlformats.org/officeDocument/2006/relationships/hyperlink" Target="https://en.wikipedia.org/wiki/Fluorescence" TargetMode="External"/><Relationship Id="rId94" Type="http://schemas.openxmlformats.org/officeDocument/2006/relationships/hyperlink" Target="https://en.wikipedia.org/wiki/Visible_spectrum" TargetMode="External"/><Relationship Id="rId99" Type="http://schemas.openxmlformats.org/officeDocument/2006/relationships/hyperlink" Target="https://en.wikipedia.org/wiki/American_and_British_English_spelling_differences" TargetMode="External"/><Relationship Id="rId101" Type="http://schemas.openxmlformats.org/officeDocument/2006/relationships/hyperlink" Target="https://en.wikipedia.org/wiki/Length" TargetMode="External"/><Relationship Id="rId4" Type="http://schemas.openxmlformats.org/officeDocument/2006/relationships/hyperlink" Target="http://chemistry.about.com/od/chemistryglossary/a/atomdefinition.htm" TargetMode="External"/><Relationship Id="rId9" Type="http://schemas.openxmlformats.org/officeDocument/2006/relationships/hyperlink" Target="https://en.wikipedia.org/wiki/Infix" TargetMode="External"/><Relationship Id="rId13" Type="http://schemas.openxmlformats.org/officeDocument/2006/relationships/image" Target="media/image2.jpeg"/><Relationship Id="rId18" Type="http://schemas.openxmlformats.org/officeDocument/2006/relationships/hyperlink" Target="https://www.bing.com/images/search?q=amide+group&amp;view=detailv2&amp;&amp;id=0BBA75176B01C79E6A1B10EBCE4B0F9022BF0043&amp;selectedIndex=0&amp;ccid=R%2b5DfgG0&amp;simid=607993084792277436&amp;thid=OIP.M47ee437e01b4316ea86c662b22af50f1H0" TargetMode="External"/><Relationship Id="rId39" Type="http://schemas.openxmlformats.org/officeDocument/2006/relationships/hyperlink" Target="https://en.wikipedia.org/wiki/Adenosine_triphosphate" TargetMode="External"/><Relationship Id="rId109" Type="http://schemas.openxmlformats.org/officeDocument/2006/relationships/image" Target="media/image20.jpeg"/><Relationship Id="rId34" Type="http://schemas.openxmlformats.org/officeDocument/2006/relationships/hyperlink" Target="https://www.bing.com/images/search?q=nucleophilic+acyl+substitution&amp;view=detailv2&amp;&amp;id=2633B5EF74F56E85CD73307EC69D19CC96DF744C&amp;selectedIndex=3&amp;ccid=IHsEqnAc&amp;simid=607996838601427744&amp;thid=OIP.M207b04aa701cb12cf34b661f64ec3e4fo0" TargetMode="External"/><Relationship Id="rId50" Type="http://schemas.openxmlformats.org/officeDocument/2006/relationships/hyperlink" Target="https://en.wikipedia.org/wiki/Lipid_membrane" TargetMode="External"/><Relationship Id="rId55" Type="http://schemas.openxmlformats.org/officeDocument/2006/relationships/hyperlink" Target="https://en.wikipedia.org/wiki/Radioactive_decay" TargetMode="External"/><Relationship Id="rId76" Type="http://schemas.openxmlformats.org/officeDocument/2006/relationships/hyperlink" Target="https://en.wikipedia.org/wiki/Visible_light" TargetMode="External"/><Relationship Id="rId97" Type="http://schemas.openxmlformats.org/officeDocument/2006/relationships/hyperlink" Target="https://en.wikipedia.org/wiki/International_Bureau_of_Weights_and_Measures" TargetMode="External"/><Relationship Id="rId104" Type="http://schemas.openxmlformats.org/officeDocument/2006/relationships/hyperlink" Target="https://en.wikipedia.org/wiki/SI_prefix" TargetMode="External"/><Relationship Id="rId7" Type="http://schemas.openxmlformats.org/officeDocument/2006/relationships/hyperlink" Target="https://en.wikipedia.org/wiki/Prefix_(linguistics)" TargetMode="External"/><Relationship Id="rId71" Type="http://schemas.openxmlformats.org/officeDocument/2006/relationships/hyperlink" Target="https://en.wikipedia.org/wiki/Chemotherapy" TargetMode="External"/><Relationship Id="rId92" Type="http://schemas.openxmlformats.org/officeDocument/2006/relationships/hyperlink" Target="https://en.wikipedia.org/wiki/L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1329</TotalTime>
  <Pages>13</Pages>
  <Words>5122</Words>
  <Characters>29199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ledding</dc:creator>
  <cp:keywords/>
  <dc:description/>
  <cp:lastModifiedBy>melanie ledding</cp:lastModifiedBy>
  <cp:revision>21</cp:revision>
  <dcterms:created xsi:type="dcterms:W3CDTF">2016-09-18T23:25:00Z</dcterms:created>
  <dcterms:modified xsi:type="dcterms:W3CDTF">2016-10-14T04:46:00Z</dcterms:modified>
</cp:coreProperties>
</file>