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808E1" w14:textId="77777777" w:rsidR="006B2354" w:rsidRDefault="00E305A6">
      <w:pPr>
        <w:rPr>
          <w:lang w:val="en-CA"/>
        </w:rPr>
      </w:pPr>
      <w:r>
        <w:rPr>
          <w:lang w:val="en-CA"/>
        </w:rPr>
        <w:t>LAWS 4307A</w:t>
      </w:r>
    </w:p>
    <w:p w14:paraId="44D98CC2" w14:textId="77777777" w:rsidR="00E305A6" w:rsidRDefault="00E305A6">
      <w:pPr>
        <w:rPr>
          <w:lang w:val="en-CA"/>
        </w:rPr>
      </w:pPr>
    </w:p>
    <w:p w14:paraId="68F9D354" w14:textId="64704A54" w:rsidR="00E305A6" w:rsidRDefault="00C112ED">
      <w:pPr>
        <w:rPr>
          <w:lang w:val="en-CA"/>
        </w:rPr>
      </w:pPr>
      <w:r>
        <w:rPr>
          <w:lang w:val="en-CA"/>
        </w:rPr>
        <w:t>The search for the truth</w:t>
      </w:r>
    </w:p>
    <w:p w14:paraId="3AC2F651" w14:textId="77777777" w:rsidR="00C112ED" w:rsidRDefault="00C112ED">
      <w:pPr>
        <w:rPr>
          <w:lang w:val="en-CA"/>
        </w:rPr>
      </w:pPr>
    </w:p>
    <w:p w14:paraId="42E06E9A" w14:textId="1359561B" w:rsidR="00C112ED" w:rsidRDefault="00C112ED">
      <w:pPr>
        <w:rPr>
          <w:lang w:val="en-CA"/>
        </w:rPr>
      </w:pPr>
      <w:r>
        <w:rPr>
          <w:lang w:val="en-CA"/>
        </w:rPr>
        <w:t>Did you know?</w:t>
      </w:r>
    </w:p>
    <w:p w14:paraId="36FFEDFA" w14:textId="7740EBF7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Mere-exposure technique</w:t>
      </w:r>
    </w:p>
    <w:p w14:paraId="3F994D8D" w14:textId="4E3F5165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Researchers have demonstrated that mere-exposure effect can induce compliance</w:t>
      </w:r>
    </w:p>
    <w:p w14:paraId="10A96974" w14:textId="393FF7B1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Prevalent within some investigative techniques (such as Mr. Big) because targets often interact on a frequent basis with undercover operatives</w:t>
      </w:r>
    </w:p>
    <w:p w14:paraId="6E2269C1" w14:textId="444B5BBC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Impact of social elements</w:t>
      </w:r>
    </w:p>
    <w:p w14:paraId="660E0E66" w14:textId="37A6A0D5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Orchestrated Persona</w:t>
      </w:r>
    </w:p>
    <w:p w14:paraId="1A0B1EBB" w14:textId="36E9173D" w:rsidR="00C112ED" w:rsidRDefault="00C112ED" w:rsidP="00C11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Power of relationships</w:t>
      </w:r>
    </w:p>
    <w:p w14:paraId="0E74EE5D" w14:textId="77777777" w:rsidR="00C112ED" w:rsidRDefault="00C112ED" w:rsidP="00C112ED">
      <w:pPr>
        <w:rPr>
          <w:lang w:val="en-CA"/>
        </w:rPr>
      </w:pPr>
    </w:p>
    <w:p w14:paraId="75BBAB9E" w14:textId="4322B226" w:rsidR="00C112ED" w:rsidRDefault="00705C75" w:rsidP="00C112ED">
      <w:pPr>
        <w:rPr>
          <w:lang w:val="en-CA"/>
        </w:rPr>
      </w:pPr>
      <w:r>
        <w:rPr>
          <w:lang w:val="en-CA"/>
        </w:rPr>
        <w:t>Social Proof</w:t>
      </w:r>
    </w:p>
    <w:p w14:paraId="3242AE3A" w14:textId="1D44B388" w:rsidR="00705C75" w:rsidRDefault="00705C75" w:rsidP="00705C7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Notion that individuals who are uncertain of how to behave in a given situation, will examine behaviour of similar others and act accordingly</w:t>
      </w:r>
    </w:p>
    <w:p w14:paraId="6FA81E21" w14:textId="746C7299" w:rsidR="00705C75" w:rsidRDefault="00705C75" w:rsidP="00E3020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Social proof on influencing behaviour</w:t>
      </w:r>
    </w:p>
    <w:p w14:paraId="7F755B61" w14:textId="77777777" w:rsidR="00E3020F" w:rsidRDefault="00E3020F" w:rsidP="00E3020F">
      <w:pPr>
        <w:rPr>
          <w:lang w:val="en-CA"/>
        </w:rPr>
      </w:pPr>
    </w:p>
    <w:p w14:paraId="1FF40C91" w14:textId="4C591535" w:rsidR="00E3020F" w:rsidRDefault="00E3020F" w:rsidP="00E3020F">
      <w:pPr>
        <w:rPr>
          <w:lang w:val="en-CA"/>
        </w:rPr>
      </w:pPr>
      <w:r>
        <w:rPr>
          <w:lang w:val="en-CA"/>
        </w:rPr>
        <w:t>Social Influence Topics</w:t>
      </w:r>
    </w:p>
    <w:p w14:paraId="7092D743" w14:textId="22F97B49" w:rsidR="00E3020F" w:rsidRDefault="00E3020F" w:rsidP="00E302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Authority as social influence tactic</w:t>
      </w:r>
    </w:p>
    <w:p w14:paraId="3580A2FC" w14:textId="6101E2EB" w:rsidR="00E3020F" w:rsidRDefault="00E3020F" w:rsidP="00E302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Reward power</w:t>
      </w:r>
    </w:p>
    <w:p w14:paraId="57FB5BE9" w14:textId="206B3314" w:rsidR="00E3020F" w:rsidRDefault="00E3020F" w:rsidP="00E302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Bases of power are inexorably linked to one another and other social influence tactics like reciprocity</w:t>
      </w:r>
    </w:p>
    <w:p w14:paraId="5AF6EF0B" w14:textId="77777777" w:rsidR="00D57FEC" w:rsidRDefault="00D57FEC" w:rsidP="00D57FEC">
      <w:pPr>
        <w:rPr>
          <w:lang w:val="en-CA"/>
        </w:rPr>
      </w:pPr>
    </w:p>
    <w:p w14:paraId="34BCEF14" w14:textId="7FF0182F" w:rsidR="00D57FEC" w:rsidRDefault="00D57FEC" w:rsidP="00D57FEC">
      <w:pPr>
        <w:rPr>
          <w:lang w:val="en-CA"/>
        </w:rPr>
      </w:pPr>
      <w:r>
        <w:rPr>
          <w:lang w:val="en-CA"/>
        </w:rPr>
        <w:t>The search for the truth</w:t>
      </w:r>
    </w:p>
    <w:p w14:paraId="07BDD23C" w14:textId="4B63CC2C" w:rsidR="00D57FEC" w:rsidRDefault="00D57FEC" w:rsidP="00D57F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Social influence tactics and search for truth</w:t>
      </w:r>
    </w:p>
    <w:p w14:paraId="5F333ACE" w14:textId="4789FCA8" w:rsidR="00D57FEC" w:rsidRDefault="00D57FEC" w:rsidP="00D57F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Police investigations, as a matter of public policy, have 2 often competing social and political exigencies: rights of accused and society’s interest in effective investigation and resolution of crimes</w:t>
      </w:r>
    </w:p>
    <w:p w14:paraId="5B36272E" w14:textId="77777777" w:rsidR="00D57FEC" w:rsidRDefault="00D57FEC" w:rsidP="00D57FEC">
      <w:pPr>
        <w:rPr>
          <w:lang w:val="en-CA"/>
        </w:rPr>
      </w:pPr>
    </w:p>
    <w:p w14:paraId="01F9CE68" w14:textId="5263848C" w:rsidR="00D57FEC" w:rsidRDefault="00D57FEC" w:rsidP="00D57FEC">
      <w:pPr>
        <w:rPr>
          <w:lang w:val="en-CA"/>
        </w:rPr>
      </w:pPr>
      <w:r>
        <w:rPr>
          <w:lang w:val="en-CA"/>
        </w:rPr>
        <w:t>What do the Courts say?</w:t>
      </w:r>
    </w:p>
    <w:p w14:paraId="6770185D" w14:textId="008416B6" w:rsidR="00D57FEC" w:rsidRDefault="00D57FEC" w:rsidP="00D57FE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While SCC recognized importance of police interrogation in investigation of crime, it’s correlatively concerned about reliability of confessions – R v Singh</w:t>
      </w:r>
    </w:p>
    <w:p w14:paraId="00CAD618" w14:textId="2FE38335" w:rsidR="00D57FEC" w:rsidRDefault="00D57FEC" w:rsidP="00D57FE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Emphasis has been on Courts to strike balance between suspects’ interests in avoiding self-incrimination and state’s needs to obtain confession evidence to effectively deter, prosecute and punish crime</w:t>
      </w:r>
    </w:p>
    <w:p w14:paraId="020C7B19" w14:textId="77777777" w:rsidR="006505AA" w:rsidRDefault="006505AA" w:rsidP="006505AA">
      <w:pPr>
        <w:rPr>
          <w:lang w:val="en-CA"/>
        </w:rPr>
      </w:pPr>
    </w:p>
    <w:p w14:paraId="1B19F173" w14:textId="2736B332" w:rsidR="006505AA" w:rsidRDefault="006505AA" w:rsidP="006505AA">
      <w:pPr>
        <w:rPr>
          <w:lang w:val="en-CA"/>
        </w:rPr>
      </w:pPr>
      <w:r>
        <w:rPr>
          <w:lang w:val="en-CA"/>
        </w:rPr>
        <w:t>What rights are protected?</w:t>
      </w:r>
    </w:p>
    <w:p w14:paraId="4D50937B" w14:textId="380BB010" w:rsidR="006505AA" w:rsidRDefault="006505AA" w:rsidP="006505A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Charter Rights and Common Law Protections</w:t>
      </w:r>
    </w:p>
    <w:p w14:paraId="617747D5" w14:textId="250FEC60" w:rsidR="006505AA" w:rsidRDefault="006505AA" w:rsidP="006505A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Persons have right to presumed innocent and right to silence under Charter</w:t>
      </w:r>
    </w:p>
    <w:p w14:paraId="336E2F0E" w14:textId="6CD1203D" w:rsidR="006505AA" w:rsidRDefault="006505AA" w:rsidP="006505A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Statements made to persons in authority (state) must be made voluntarily</w:t>
      </w:r>
    </w:p>
    <w:p w14:paraId="6EEBF2DE" w14:textId="6CAC9F6E" w:rsidR="006505AA" w:rsidRDefault="006505AA" w:rsidP="006505A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Animated by:</w:t>
      </w:r>
    </w:p>
    <w:p w14:paraId="2DCEAC16" w14:textId="3AF7A1C3" w:rsidR="006505AA" w:rsidRDefault="006505AA" w:rsidP="006505A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Constitutional principle against self-incrimination</w:t>
      </w:r>
    </w:p>
    <w:p w14:paraId="356D3E31" w14:textId="40611727" w:rsidR="006505AA" w:rsidRDefault="006505AA" w:rsidP="006505A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lastRenderedPageBreak/>
        <w:t>Confessions Rule – both elements of fundamental justice under s.7 of Charter</w:t>
      </w:r>
    </w:p>
    <w:p w14:paraId="067E8FD8" w14:textId="77777777" w:rsidR="006505AA" w:rsidRDefault="006505AA" w:rsidP="006505AA">
      <w:pPr>
        <w:rPr>
          <w:lang w:val="en-CA"/>
        </w:rPr>
      </w:pPr>
    </w:p>
    <w:p w14:paraId="07C34928" w14:textId="49D55FDD" w:rsidR="006505AA" w:rsidRDefault="00371059" w:rsidP="006505AA">
      <w:pPr>
        <w:rPr>
          <w:lang w:val="en-CA"/>
        </w:rPr>
      </w:pPr>
      <w:r>
        <w:rPr>
          <w:lang w:val="en-CA"/>
        </w:rPr>
        <w:t>Charter rights</w:t>
      </w:r>
    </w:p>
    <w:p w14:paraId="3AFE537B" w14:textId="44494340" w:rsidR="00371059" w:rsidRDefault="00371059" w:rsidP="0037105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S. 7 – right to life, liberty and security</w:t>
      </w:r>
    </w:p>
    <w:p w14:paraId="3EAE9084" w14:textId="7DD5E788" w:rsidR="00371059" w:rsidRDefault="00371059" w:rsidP="0037105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S. 10 (b) – right to counsel</w:t>
      </w:r>
    </w:p>
    <w:p w14:paraId="1FE2713D" w14:textId="732EA9BA" w:rsidR="00371059" w:rsidRDefault="00371059" w:rsidP="0037105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S. 11 (c) – non-compellability of accused at trial</w:t>
      </w:r>
    </w:p>
    <w:p w14:paraId="56F7FCCB" w14:textId="1890C3CF" w:rsidR="00371059" w:rsidRDefault="00371059" w:rsidP="0037105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S. 24 (2) – exclusion of unconstitutionally obtained evidence</w:t>
      </w:r>
    </w:p>
    <w:p w14:paraId="255B7284" w14:textId="77777777" w:rsidR="005748EB" w:rsidRDefault="005748EB" w:rsidP="005748EB">
      <w:pPr>
        <w:rPr>
          <w:lang w:val="en-CA"/>
        </w:rPr>
      </w:pPr>
    </w:p>
    <w:p w14:paraId="758A0F34" w14:textId="6CDA6BAD" w:rsidR="005748EB" w:rsidRDefault="005748EB" w:rsidP="005748EB">
      <w:pPr>
        <w:rPr>
          <w:lang w:val="en-CA"/>
        </w:rPr>
      </w:pPr>
      <w:r>
        <w:rPr>
          <w:lang w:val="en-CA"/>
        </w:rPr>
        <w:t>Common Law Protections</w:t>
      </w:r>
    </w:p>
    <w:p w14:paraId="4C762E48" w14:textId="5B5F6208" w:rsidR="005748EB" w:rsidRDefault="005748EB" w:rsidP="005748E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Confessions Rule</w:t>
      </w:r>
    </w:p>
    <w:p w14:paraId="52171A78" w14:textId="0F47628E" w:rsidR="005748EB" w:rsidRDefault="005748EB" w:rsidP="005748E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Requires that Crown prove that an accused’s statements to persons in authority are voluntary before it may be admitted in evidence</w:t>
      </w:r>
    </w:p>
    <w:p w14:paraId="4D45F150" w14:textId="66A2618B" w:rsidR="005748EB" w:rsidRDefault="005748EB" w:rsidP="005748E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Closely connected with principle against self-incrimination and recognized as a principle of fundamental justice under s. 7</w:t>
      </w:r>
    </w:p>
    <w:p w14:paraId="73DFAAA5" w14:textId="77777777" w:rsidR="005748EB" w:rsidRDefault="005748EB" w:rsidP="005748EB">
      <w:pPr>
        <w:rPr>
          <w:lang w:val="en-CA"/>
        </w:rPr>
      </w:pPr>
    </w:p>
    <w:p w14:paraId="0A9A6170" w14:textId="7ED0EB46" w:rsidR="005748EB" w:rsidRDefault="005748EB" w:rsidP="005748EB">
      <w:pPr>
        <w:rPr>
          <w:lang w:val="en-CA"/>
        </w:rPr>
      </w:pPr>
      <w:r>
        <w:rPr>
          <w:lang w:val="en-CA"/>
        </w:rPr>
        <w:t>How do they protect?</w:t>
      </w:r>
    </w:p>
    <w:p w14:paraId="5F98AA7A" w14:textId="5D16E90F" w:rsidR="005748EB" w:rsidRDefault="005748EB" w:rsidP="005748E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S. 7 – limits ability of police to use covert operations to obtain statements from people in their custody and can prohibit illegally-compelled statements in proceedings against person who made them</w:t>
      </w:r>
    </w:p>
    <w:p w14:paraId="4847C617" w14:textId="79A77E4C" w:rsidR="009039DE" w:rsidRDefault="009039DE" w:rsidP="005748E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S. 10(a) – obliges police to tell people they’ve been detained and reasons for their detention</w:t>
      </w:r>
    </w:p>
    <w:p w14:paraId="2183D2F1" w14:textId="08090124" w:rsidR="009039DE" w:rsidRDefault="009039DE" w:rsidP="009039D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S. 10(b) – requires police to tell detainees that they have a right to talk to a lawyer – gives detainees who wish to exercise that right a reasonable opportunity to do so before questioning</w:t>
      </w:r>
    </w:p>
    <w:p w14:paraId="0B8271DB" w14:textId="6591F3AC" w:rsidR="00F106F5" w:rsidRDefault="00F106F5" w:rsidP="009039D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S. 24 (1), (2) – remedial provision pertaining to trial fairness and exclusion of evidence obtained in a manner which violated their Charter rights</w:t>
      </w:r>
    </w:p>
    <w:p w14:paraId="725B0CDD" w14:textId="77777777" w:rsidR="00CD4F06" w:rsidRDefault="00CD4F06" w:rsidP="00CD4F06">
      <w:pPr>
        <w:rPr>
          <w:lang w:val="en-CA"/>
        </w:rPr>
      </w:pPr>
    </w:p>
    <w:p w14:paraId="4D155568" w14:textId="5D3D17E4" w:rsidR="00CD4F06" w:rsidRDefault="00CD4F06" w:rsidP="00CD4F06">
      <w:pPr>
        <w:rPr>
          <w:lang w:val="en-CA"/>
        </w:rPr>
      </w:pPr>
      <w:r>
        <w:rPr>
          <w:lang w:val="en-CA"/>
        </w:rPr>
        <w:t>Charter Breeches and s. 24(2)</w:t>
      </w:r>
    </w:p>
    <w:p w14:paraId="467A4F32" w14:textId="3B42C1B0" w:rsidR="00CD4F06" w:rsidRDefault="00CD4F06" w:rsidP="00CD4F0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SCC established a legal test to determine whether admission of evidence obtained through a Charter breach would bring administration of justice into disrepute</w:t>
      </w:r>
    </w:p>
    <w:p w14:paraId="4ED0CC84" w14:textId="1B1CF294" w:rsidR="00CD4F06" w:rsidRDefault="00CD4F06" w:rsidP="00CD4F0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Prevalent test used by SCC to determine whether evidence obtained by a Charter breach should be excluded under s. 24(2) was defined in Grant</w:t>
      </w:r>
    </w:p>
    <w:p w14:paraId="0B0D5FB2" w14:textId="7D465512" w:rsidR="00CD4F06" w:rsidRDefault="00CD4F06" w:rsidP="00CD4F0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2 rules for exclusion:</w:t>
      </w:r>
    </w:p>
    <w:p w14:paraId="5BB9AD9D" w14:textId="647DDE5D" w:rsidR="00CD4F06" w:rsidRDefault="00CD4F06" w:rsidP="00CD4F06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Evidence was obtained in a manner that infringed or denied any of rights of freedoms guaranteed by Charter</w:t>
      </w:r>
    </w:p>
    <w:p w14:paraId="061B6853" w14:textId="1C5A8BD4" w:rsidR="00CD4F06" w:rsidRDefault="00CD4F06" w:rsidP="00CD4F06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Admitting evidence would bring administration of justice into disrepute</w:t>
      </w:r>
    </w:p>
    <w:p w14:paraId="6A349A24" w14:textId="77777777" w:rsidR="00A471C9" w:rsidRDefault="00A471C9" w:rsidP="00A471C9">
      <w:pPr>
        <w:rPr>
          <w:lang w:val="en-CA"/>
        </w:rPr>
      </w:pPr>
    </w:p>
    <w:p w14:paraId="5AC986B8" w14:textId="0622B96D" w:rsidR="00A471C9" w:rsidRDefault="00A471C9" w:rsidP="00A471C9">
      <w:pPr>
        <w:rPr>
          <w:lang w:val="en-CA"/>
        </w:rPr>
      </w:pPr>
      <w:r>
        <w:rPr>
          <w:lang w:val="en-CA"/>
        </w:rPr>
        <w:t>R v Grant (2009) 2 SCR 353</w:t>
      </w:r>
    </w:p>
    <w:p w14:paraId="00422F71" w14:textId="77777777" w:rsidR="00A471C9" w:rsidRDefault="00A471C9" w:rsidP="00A471C9">
      <w:pPr>
        <w:rPr>
          <w:lang w:val="en-CA"/>
        </w:rPr>
      </w:pPr>
    </w:p>
    <w:p w14:paraId="57316457" w14:textId="54823A32" w:rsidR="00982EE2" w:rsidRDefault="00982EE2" w:rsidP="00A471C9">
      <w:pPr>
        <w:rPr>
          <w:lang w:val="en-CA"/>
        </w:rPr>
      </w:pPr>
      <w:r>
        <w:rPr>
          <w:lang w:val="en-CA"/>
        </w:rPr>
        <w:t>What rights are protected?</w:t>
      </w:r>
    </w:p>
    <w:p w14:paraId="1CE33C05" w14:textId="77777777" w:rsidR="00982EE2" w:rsidRDefault="00982EE2" w:rsidP="00982EE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Principle legal components regulating police questioning are common law confessions rule and ss. 10 (1), 10 (b) and 7 of Charter</w:t>
      </w:r>
    </w:p>
    <w:p w14:paraId="7007CD2E" w14:textId="0C56BE40" w:rsidR="00982EE2" w:rsidRDefault="00982EE2" w:rsidP="00982EE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Confessions rule places checks and balances on police interrogation practives</w:t>
      </w:r>
    </w:p>
    <w:p w14:paraId="7657409D" w14:textId="003F04CA" w:rsidR="00982EE2" w:rsidRDefault="00982EE2" w:rsidP="00982EE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SCC has been hesitant</w:t>
      </w:r>
      <w:r w:rsidR="00635FB6">
        <w:rPr>
          <w:lang w:val="en-CA"/>
        </w:rPr>
        <w:t xml:space="preserve"> to give constitutional status to common law evidentiary rule by recognizing them as principles of fundamental justice</w:t>
      </w:r>
    </w:p>
    <w:p w14:paraId="0FA3373F" w14:textId="77777777" w:rsidR="00D526D6" w:rsidRDefault="00D526D6" w:rsidP="00D526D6">
      <w:pPr>
        <w:rPr>
          <w:lang w:val="en-CA"/>
        </w:rPr>
      </w:pPr>
    </w:p>
    <w:p w14:paraId="2BADDEDB" w14:textId="6BB88153" w:rsidR="00D526D6" w:rsidRDefault="00D526D6" w:rsidP="00D526D6">
      <w:pPr>
        <w:rPr>
          <w:lang w:val="en-CA"/>
        </w:rPr>
      </w:pPr>
      <w:r>
        <w:rPr>
          <w:lang w:val="en-CA"/>
        </w:rPr>
        <w:t>Why not a Charter right?</w:t>
      </w:r>
    </w:p>
    <w:p w14:paraId="3EA56FA2" w14:textId="5B915C53" w:rsidR="00D526D6" w:rsidRDefault="00D526D6" w:rsidP="00D526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Because it continues to have relevance and any attempts to Charter-ize may erode its protections (Trotter)</w:t>
      </w:r>
    </w:p>
    <w:p w14:paraId="6D6DF8CD" w14:textId="31EE8FE7" w:rsidR="00A046E1" w:rsidRDefault="00A046E1" w:rsidP="00D526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Confessions rule as a pre-Charter fundamental principle has grandfathered it into s. </w:t>
      </w:r>
      <w:r w:rsidR="00DC41A1">
        <w:rPr>
          <w:lang w:val="en-CA"/>
        </w:rPr>
        <w:t>7 principles of fundamental justice which SCC relies upon</w:t>
      </w:r>
    </w:p>
    <w:p w14:paraId="71A06924" w14:textId="28135448" w:rsidR="00DC41A1" w:rsidRDefault="00DC41A1" w:rsidP="00D526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Reasoned that a violation of historical confessions rule always warrants exclusion of evidence, whereas a violation of related Charter right justifies exclusion of evidence only where its admission would bring administration of justice into disrepute</w:t>
      </w:r>
    </w:p>
    <w:p w14:paraId="08950CF3" w14:textId="77777777" w:rsidR="00DC41A1" w:rsidRDefault="00DC41A1" w:rsidP="00DC41A1">
      <w:pPr>
        <w:rPr>
          <w:lang w:val="en-CA"/>
        </w:rPr>
      </w:pPr>
    </w:p>
    <w:p w14:paraId="218DA0B0" w14:textId="0FC33508" w:rsidR="00DC41A1" w:rsidRDefault="00DC41A1" w:rsidP="00DC41A1">
      <w:pPr>
        <w:rPr>
          <w:lang w:val="en-CA"/>
        </w:rPr>
      </w:pPr>
      <w:r>
        <w:rPr>
          <w:lang w:val="en-CA"/>
        </w:rPr>
        <w:t>How does the Confessions Rule differ from a Charter right?</w:t>
      </w:r>
    </w:p>
    <w:p w14:paraId="515A4984" w14:textId="719A2031" w:rsidR="00DC41A1" w:rsidRDefault="009A0CFC" w:rsidP="00DC41A1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Burden and standard of proof demand different things:</w:t>
      </w:r>
    </w:p>
    <w:p w14:paraId="62765B51" w14:textId="7E74C511" w:rsidR="009A0CFC" w:rsidRDefault="009A0CFC" w:rsidP="009A0C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Confessions rule: burden resides with prosecution to demonstrate beyond a reasonable doubt that a statement made to person in authority was made voluntarily – exclusion if violated</w:t>
      </w:r>
    </w:p>
    <w:p w14:paraId="47A7765E" w14:textId="258DCFA4" w:rsidR="009A0CFC" w:rsidRDefault="009A0CFC" w:rsidP="009A0C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Charter: show that on balance of probabilities, a defendant’s constitutional rights were violated – exclusion if admission would bring administration of justice into disrepute</w:t>
      </w:r>
    </w:p>
    <w:p w14:paraId="22C974AD" w14:textId="77777777" w:rsidR="009A0CFC" w:rsidRDefault="009A0CFC" w:rsidP="009A0CFC">
      <w:pPr>
        <w:rPr>
          <w:lang w:val="en-CA"/>
        </w:rPr>
      </w:pPr>
    </w:p>
    <w:p w14:paraId="4290BB6A" w14:textId="5D1E303E" w:rsidR="009A0CFC" w:rsidRDefault="009A0CFC" w:rsidP="009A0CFC">
      <w:pPr>
        <w:rPr>
          <w:lang w:val="en-CA"/>
        </w:rPr>
      </w:pPr>
      <w:r>
        <w:rPr>
          <w:lang w:val="en-CA"/>
        </w:rPr>
        <w:t>The Principle of Fundamental Justice</w:t>
      </w:r>
    </w:p>
    <w:p w14:paraId="4572B889" w14:textId="4F7D58B2" w:rsidR="009A0CFC" w:rsidRDefault="009A0CFC" w:rsidP="009A0C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Appears in s. 7 of Charter</w:t>
      </w:r>
    </w:p>
    <w:p w14:paraId="0E759261" w14:textId="73F27350" w:rsidR="009A0CFC" w:rsidRDefault="009A0CFC" w:rsidP="009A0C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Core values within justice system that must prevail over these rights for greater good of society</w:t>
      </w:r>
    </w:p>
    <w:p w14:paraId="16C08D1E" w14:textId="570BD689" w:rsidR="009A0CFC" w:rsidRDefault="009A0CFC" w:rsidP="009A0C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In Grant case, SCC held that it’s a social science – a system trying to balance rights of individuals with rights of collectivity</w:t>
      </w:r>
    </w:p>
    <w:p w14:paraId="72958837" w14:textId="77777777" w:rsidR="00690B69" w:rsidRDefault="00690B69" w:rsidP="00690B69">
      <w:pPr>
        <w:rPr>
          <w:lang w:val="en-CA"/>
        </w:rPr>
      </w:pPr>
    </w:p>
    <w:p w14:paraId="5C22CFA2" w14:textId="758E5ED7" w:rsidR="00690B69" w:rsidRDefault="00690B69" w:rsidP="00690B69">
      <w:pPr>
        <w:rPr>
          <w:lang w:val="en-CA"/>
        </w:rPr>
      </w:pPr>
      <w:r>
        <w:rPr>
          <w:lang w:val="en-CA"/>
        </w:rPr>
        <w:t>Why is it important?</w:t>
      </w:r>
    </w:p>
    <w:p w14:paraId="3E8453C4" w14:textId="64131F7B" w:rsidR="00690B69" w:rsidRDefault="00690B69" w:rsidP="00690B6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Procedural and substantive principles of fundamental justice</w:t>
      </w:r>
    </w:p>
    <w:p w14:paraId="254F08D8" w14:textId="60DE5472" w:rsidR="00690B69" w:rsidRDefault="00690B69" w:rsidP="00690B6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S. 7 allows SCC to be conservative or liberal in its interpretation of Charter – discretion</w:t>
      </w:r>
    </w:p>
    <w:p w14:paraId="4BBB05E7" w14:textId="45B96E23" w:rsidR="00690B69" w:rsidRDefault="00690B69" w:rsidP="00690B6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S. 7 encompasses both procedural and substantive principles of fundamental justice</w:t>
      </w:r>
    </w:p>
    <w:p w14:paraId="4C5A77F9" w14:textId="585700A5" w:rsidR="00690B69" w:rsidRDefault="00690B69" w:rsidP="00690B6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Contextual analysis must always be tied to principles of fundamental justice</w:t>
      </w:r>
    </w:p>
    <w:p w14:paraId="75C31705" w14:textId="1CC08E17" w:rsidR="00690B69" w:rsidRDefault="00690B69" w:rsidP="00690B6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Creation of frameworks and tests meant to limit ambit of s. 7 principles of fundamental justice (JM Evans)</w:t>
      </w:r>
    </w:p>
    <w:p w14:paraId="23BFC846" w14:textId="77777777" w:rsidR="00943A42" w:rsidRDefault="00943A42" w:rsidP="00943A42">
      <w:pPr>
        <w:rPr>
          <w:lang w:val="en-CA"/>
        </w:rPr>
      </w:pPr>
    </w:p>
    <w:p w14:paraId="48546325" w14:textId="201D07D5" w:rsidR="00943A42" w:rsidRDefault="00943A42" w:rsidP="00943A42">
      <w:pPr>
        <w:rPr>
          <w:lang w:val="en-CA"/>
        </w:rPr>
      </w:pPr>
      <w:r>
        <w:rPr>
          <w:lang w:val="en-CA"/>
        </w:rPr>
        <w:t>Fundamental Justice and Police Questioning</w:t>
      </w:r>
    </w:p>
    <w:p w14:paraId="686C5C47" w14:textId="74E4ED8B" w:rsidR="00943A42" w:rsidRDefault="00943A42" w:rsidP="00943A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Common law influenced and shaped content of principles of fundamental justice</w:t>
      </w:r>
    </w:p>
    <w:p w14:paraId="315DC1EA" w14:textId="19CEBBB5" w:rsidR="00943A42" w:rsidRDefault="00943A42" w:rsidP="00943A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 context of police questioning, Charter arguments often raised in s. 7 violation and contraventions of principles of fundamental justice</w:t>
      </w:r>
    </w:p>
    <w:p w14:paraId="0D79EEE7" w14:textId="4CD7253B" w:rsidR="00943A42" w:rsidRDefault="00943A42" w:rsidP="00943A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Limits ability of police to use covert operations to:</w:t>
      </w:r>
    </w:p>
    <w:p w14:paraId="2B03D38A" w14:textId="717B7D97" w:rsidR="00943A42" w:rsidRDefault="00943A42" w:rsidP="00943A4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Obtain statements from people within custody</w:t>
      </w:r>
    </w:p>
    <w:p w14:paraId="74BC28F0" w14:textId="3C6CCF95" w:rsidR="00943A42" w:rsidRDefault="00943A42" w:rsidP="00943A4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Prohibits state (in some circumstances) from using illegally-compelled </w:t>
      </w:r>
      <w:r w:rsidR="0066588C">
        <w:rPr>
          <w:lang w:val="en-CA"/>
        </w:rPr>
        <w:t>statements in proceedings against person who made them</w:t>
      </w:r>
    </w:p>
    <w:p w14:paraId="5AA3EEAB" w14:textId="77777777" w:rsidR="002B50FE" w:rsidRDefault="002B50FE" w:rsidP="002B50FE">
      <w:pPr>
        <w:rPr>
          <w:lang w:val="en-CA"/>
        </w:rPr>
      </w:pPr>
    </w:p>
    <w:p w14:paraId="66990F86" w14:textId="18E75A46" w:rsidR="002B50FE" w:rsidRPr="002B50FE" w:rsidRDefault="002B50FE" w:rsidP="002B50FE">
      <w:r>
        <w:rPr>
          <w:lang w:val="en-CA"/>
        </w:rPr>
        <w:t>Con</w:t>
      </w:r>
      <w:r w:rsidRPr="002B50FE">
        <w:t>fessions Rule and Fundamental Justice</w:t>
      </w:r>
    </w:p>
    <w:p w14:paraId="6D376DE2" w14:textId="77777777" w:rsidR="002B50FE" w:rsidRDefault="002B50FE" w:rsidP="002B50FE">
      <w:pPr>
        <w:pStyle w:val="ListParagraph"/>
        <w:numPr>
          <w:ilvl w:val="0"/>
          <w:numId w:val="16"/>
        </w:numPr>
      </w:pPr>
      <w:r w:rsidRPr="002B50FE">
        <w:t>R. v. Oickle - Outlined factors to determine wheth</w:t>
      </w:r>
      <w:r>
        <w:t>er a confession is voluntary</w:t>
      </w:r>
    </w:p>
    <w:p w14:paraId="10164D4C" w14:textId="2F472F71" w:rsidR="002B50FE" w:rsidRDefault="002B50FE" w:rsidP="002B50FE">
      <w:pPr>
        <w:pStyle w:val="ListParagraph"/>
        <w:numPr>
          <w:ilvl w:val="0"/>
          <w:numId w:val="16"/>
        </w:numPr>
      </w:pPr>
      <w:r w:rsidRPr="002B50FE">
        <w:t xml:space="preserve">Though the Charter remains in force for confessions made while in custody, the common law rule still </w:t>
      </w:r>
      <w:r>
        <w:t>applies in all circumstances</w:t>
      </w:r>
    </w:p>
    <w:p w14:paraId="2D501A4C" w14:textId="77777777" w:rsidR="002B50FE" w:rsidRDefault="002B50FE" w:rsidP="002B50FE">
      <w:pPr>
        <w:pStyle w:val="ListParagraph"/>
        <w:numPr>
          <w:ilvl w:val="0"/>
          <w:numId w:val="16"/>
        </w:numPr>
      </w:pPr>
      <w:r w:rsidRPr="002B50FE">
        <w:t>Court reinforced that the confessions rule is as a “common law” rule rather than a Charter right and treated it as a principle of fundamental jus</w:t>
      </w:r>
      <w:r>
        <w:t>tice protected by s. 7</w:t>
      </w:r>
    </w:p>
    <w:p w14:paraId="5A3EB7E7" w14:textId="750DA9D3" w:rsidR="002B50FE" w:rsidRPr="002B50FE" w:rsidRDefault="002B50FE" w:rsidP="002B50FE">
      <w:pPr>
        <w:pStyle w:val="ListParagraph"/>
        <w:numPr>
          <w:ilvl w:val="0"/>
          <w:numId w:val="16"/>
        </w:numPr>
      </w:pPr>
      <w:r>
        <w:t xml:space="preserve">Why? </w:t>
      </w:r>
      <w:r w:rsidRPr="002B50FE">
        <w:t xml:space="preserve"> Because Parliament cannot make an involuntary statement admissible for any purpose without violating s. 7 of the Charter</w:t>
      </w:r>
    </w:p>
    <w:p w14:paraId="18F56318" w14:textId="77777777" w:rsidR="002B50FE" w:rsidRDefault="002B50FE" w:rsidP="002B50FE">
      <w:pPr>
        <w:rPr>
          <w:lang w:val="en-CA"/>
        </w:rPr>
      </w:pPr>
    </w:p>
    <w:p w14:paraId="58F3E182" w14:textId="36F11020" w:rsidR="002B50FE" w:rsidRDefault="002B50FE" w:rsidP="002B50FE">
      <w:pPr>
        <w:rPr>
          <w:lang w:val="en-CA"/>
        </w:rPr>
      </w:pPr>
      <w:r>
        <w:rPr>
          <w:lang w:val="en-CA"/>
        </w:rPr>
        <w:t xml:space="preserve">Principle against </w:t>
      </w:r>
      <w:r w:rsidR="00825B86">
        <w:rPr>
          <w:lang w:val="en-CA"/>
        </w:rPr>
        <w:t>self-incrimination and s. 7</w:t>
      </w:r>
    </w:p>
    <w:p w14:paraId="7ADACCD5" w14:textId="68DFBA0F" w:rsidR="00825B86" w:rsidRDefault="00825B86" w:rsidP="00825B86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Accused not required to respond to an allegation of wrongdoing made by state</w:t>
      </w:r>
    </w:p>
    <w:p w14:paraId="7D2B4AB9" w14:textId="77777777" w:rsidR="00825B86" w:rsidRDefault="00825B86" w:rsidP="00825B86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825B86">
        <w:rPr>
          <w:lang w:val="en-CA"/>
        </w:rPr>
        <w:t>Overarching principle within our</w:t>
      </w:r>
      <w:r w:rsidRPr="00825B86">
        <w:t xml:space="preserve"> CJS, from which a number of specific common law and Charter rules emanate</w:t>
      </w:r>
    </w:p>
    <w:p w14:paraId="2B56E9E1" w14:textId="2A238E39" w:rsidR="00825B86" w:rsidRPr="00825B86" w:rsidRDefault="00825B86" w:rsidP="00825B86">
      <w:pPr>
        <w:pStyle w:val="ListParagraph"/>
        <w:numPr>
          <w:ilvl w:val="0"/>
          <w:numId w:val="17"/>
        </w:numPr>
      </w:pPr>
      <w:r w:rsidRPr="00825B86">
        <w:t>Two key purposes: 1. Protection against unreliable confessions 2. A</w:t>
      </w:r>
      <w:r>
        <w:t>buses of power by the state, but doesn’t</w:t>
      </w:r>
      <w:r w:rsidRPr="00825B86">
        <w:t xml:space="preserve"> provide absolute protection against all uses of information </w:t>
      </w:r>
    </w:p>
    <w:p w14:paraId="3B992E47" w14:textId="0290B81C" w:rsidR="00825B86" w:rsidRPr="00825B86" w:rsidRDefault="00825B86" w:rsidP="00825B86">
      <w:pPr>
        <w:pStyle w:val="ListParagraph"/>
        <w:numPr>
          <w:ilvl w:val="0"/>
          <w:numId w:val="17"/>
        </w:numPr>
      </w:pPr>
      <w:r w:rsidRPr="00825B86">
        <w:t>Residual protections provided by the principle against self</w:t>
      </w:r>
      <w:r w:rsidR="003A04CE">
        <w:t>-</w:t>
      </w:r>
      <w:r w:rsidRPr="00825B86">
        <w:t>incrimination as contained in s. 7 are specific, and contextually sensitive</w:t>
      </w:r>
    </w:p>
    <w:p w14:paraId="4BE34520" w14:textId="20446B9A" w:rsidR="00825B86" w:rsidRDefault="00825B86" w:rsidP="00825B86">
      <w:pPr>
        <w:rPr>
          <w:lang w:val="en-CA"/>
        </w:rPr>
      </w:pPr>
    </w:p>
    <w:p w14:paraId="04F3ADB1" w14:textId="287BFE7E" w:rsidR="003A04CE" w:rsidRDefault="003A04CE" w:rsidP="00825B86">
      <w:pPr>
        <w:rPr>
          <w:lang w:val="en-CA"/>
        </w:rPr>
      </w:pPr>
      <w:r>
        <w:rPr>
          <w:lang w:val="en-CA"/>
        </w:rPr>
        <w:t>So what about principle against self-incrimination and s.7?</w:t>
      </w:r>
    </w:p>
    <w:p w14:paraId="3191DE9A" w14:textId="77777777" w:rsidR="003A04CE" w:rsidRPr="003A04CE" w:rsidRDefault="003A04CE" w:rsidP="003A04CE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3A04CE">
        <w:rPr>
          <w:rFonts w:ascii="Calibri" w:eastAsia="Times New Roman" w:hAnsi="Calibri" w:cs="Times New Roman"/>
        </w:rPr>
        <w:t>Traditionally, limited to the rules of evidence as expressed in sections 13 and 11(c) of the Charter, within the context of formal proceedings</w:t>
      </w:r>
    </w:p>
    <w:p w14:paraId="135B1687" w14:textId="59A2BD78" w:rsidR="003A04CE" w:rsidRDefault="003A04CE" w:rsidP="003A04CE">
      <w:pPr>
        <w:pStyle w:val="ListParagraph"/>
        <w:numPr>
          <w:ilvl w:val="0"/>
          <w:numId w:val="19"/>
        </w:numPr>
        <w:rPr>
          <w:rFonts w:ascii="Calibri" w:eastAsia="Times New Roman" w:hAnsi="Calibri" w:cs="Times New Roman"/>
        </w:rPr>
      </w:pPr>
      <w:r w:rsidRPr="003A04CE">
        <w:rPr>
          <w:rFonts w:ascii="Calibri" w:eastAsia="Times New Roman" w:hAnsi="Calibri" w:cs="Times New Roman"/>
        </w:rPr>
        <w:t>Departure allowed f</w:t>
      </w:r>
      <w:r>
        <w:rPr>
          <w:rFonts w:ascii="Calibri" w:eastAsia="Times New Roman" w:hAnsi="Calibri" w:cs="Times New Roman"/>
        </w:rPr>
        <w:t>or a broader conception of self-i</w:t>
      </w:r>
      <w:r w:rsidRPr="003A04CE">
        <w:rPr>
          <w:rFonts w:ascii="Calibri" w:eastAsia="Times New Roman" w:hAnsi="Calibri" w:cs="Times New Roman"/>
        </w:rPr>
        <w:t>ncrimination law, offering protection from compulsion in any context “where the state might try to extract incriminating evidence</w:t>
      </w:r>
    </w:p>
    <w:p w14:paraId="59243D06" w14:textId="77777777" w:rsidR="00910E43" w:rsidRDefault="00910E43" w:rsidP="00910E43">
      <w:pPr>
        <w:rPr>
          <w:rFonts w:ascii="Calibri" w:eastAsia="Times New Roman" w:hAnsi="Calibri" w:cs="Times New Roman"/>
        </w:rPr>
      </w:pPr>
    </w:p>
    <w:p w14:paraId="50FF6853" w14:textId="74D6AB73" w:rsidR="00910E43" w:rsidRDefault="00910E43" w:rsidP="00910E43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R v Herbert</w:t>
      </w:r>
    </w:p>
    <w:p w14:paraId="64345E97" w14:textId="77777777" w:rsidR="00910E43" w:rsidRDefault="00910E43" w:rsidP="00910E43">
      <w:pPr>
        <w:pStyle w:val="ListParagraph"/>
        <w:numPr>
          <w:ilvl w:val="0"/>
          <w:numId w:val="20"/>
        </w:numPr>
      </w:pPr>
      <w:r w:rsidRPr="00910E43">
        <w:t>Seminal case that defined scope and nature of the right to remain silent more broadly and recognized it as a principle of fundamen</w:t>
      </w:r>
      <w:r>
        <w:t>tal justice protected under s.7</w:t>
      </w:r>
    </w:p>
    <w:p w14:paraId="42C04325" w14:textId="77777777" w:rsidR="00910E43" w:rsidRDefault="00910E43" w:rsidP="00910E43">
      <w:pPr>
        <w:pStyle w:val="ListParagraph"/>
        <w:numPr>
          <w:ilvl w:val="0"/>
          <w:numId w:val="20"/>
        </w:numPr>
      </w:pPr>
      <w:r w:rsidRPr="00910E43">
        <w:t>In 1987 Hebert was arrested for armed robbery, informed of his r</w:t>
      </w:r>
      <w:r>
        <w:t>ights and taken into custody</w:t>
      </w:r>
    </w:p>
    <w:p w14:paraId="40D3B6D9" w14:textId="77777777" w:rsidR="00910E43" w:rsidRDefault="00910E43" w:rsidP="00910E43">
      <w:pPr>
        <w:pStyle w:val="ListParagraph"/>
        <w:numPr>
          <w:ilvl w:val="0"/>
          <w:numId w:val="20"/>
        </w:numPr>
      </w:pPr>
      <w:r w:rsidRPr="00910E43">
        <w:t xml:space="preserve">Upon consulting a lawyer, Herbert informed police he would not make any statements ¡ Herbert was placed in a cell with an undercover agent posing as a fellow </w:t>
      </w:r>
      <w:r>
        <w:t>cell mate</w:t>
      </w:r>
    </w:p>
    <w:p w14:paraId="5FE76070" w14:textId="64DCB57B" w:rsidR="00910E43" w:rsidRDefault="00910E43" w:rsidP="00910E43">
      <w:pPr>
        <w:pStyle w:val="ListParagraph"/>
        <w:numPr>
          <w:ilvl w:val="0"/>
          <w:numId w:val="20"/>
        </w:numPr>
      </w:pPr>
      <w:r w:rsidRPr="00910E43">
        <w:t>The undercover agent chatted with Hebert and managed to elicit several incrimi</w:t>
      </w:r>
      <w:r w:rsidR="003A4B02">
        <w:t>nating statements from Herbert</w:t>
      </w:r>
    </w:p>
    <w:p w14:paraId="76F9B68A" w14:textId="77777777" w:rsidR="003A4B02" w:rsidRDefault="003A4B02" w:rsidP="003A4B02"/>
    <w:p w14:paraId="479B6FC8" w14:textId="1F8C8E2C" w:rsidR="003A4B02" w:rsidRDefault="003A4B02" w:rsidP="003A4B02">
      <w:r>
        <w:t>Reasoning</w:t>
      </w:r>
    </w:p>
    <w:p w14:paraId="311C238C" w14:textId="522DA449" w:rsidR="003A4B02" w:rsidRDefault="003A4B02" w:rsidP="003A4B02">
      <w:pPr>
        <w:pStyle w:val="ListParagraph"/>
        <w:numPr>
          <w:ilvl w:val="0"/>
          <w:numId w:val="21"/>
        </w:numPr>
      </w:pPr>
      <w:r>
        <w:t>On appeal, SCC found that right to silence was a principle of fundamental justice and as such was protected under s. 7</w:t>
      </w:r>
    </w:p>
    <w:p w14:paraId="40E9534E" w14:textId="577FC47F" w:rsidR="003A4B02" w:rsidRDefault="003A4B02" w:rsidP="003A4B02">
      <w:pPr>
        <w:pStyle w:val="ListParagraph"/>
        <w:numPr>
          <w:ilvl w:val="0"/>
          <w:numId w:val="21"/>
        </w:numPr>
      </w:pPr>
      <w:r>
        <w:t>Reasoning: once in police custody, an accused’s right can’t be undermined through acts of police trickery</w:t>
      </w:r>
    </w:p>
    <w:p w14:paraId="0E546A54" w14:textId="728C9B61" w:rsidR="003A4B02" w:rsidRDefault="003A4B02" w:rsidP="003A4B02">
      <w:pPr>
        <w:pStyle w:val="ListParagraph"/>
        <w:numPr>
          <w:ilvl w:val="0"/>
          <w:numId w:val="21"/>
        </w:numPr>
      </w:pPr>
      <w:r>
        <w:t>Herbert had been deprived of ability to make a conscious, meaningful choice whether to talk to police</w:t>
      </w:r>
    </w:p>
    <w:p w14:paraId="523FBEEE" w14:textId="1CA2D6A0" w:rsidR="003A4B02" w:rsidRPr="00910E43" w:rsidRDefault="003A4B02" w:rsidP="003A4B02">
      <w:pPr>
        <w:pStyle w:val="ListParagraph"/>
        <w:numPr>
          <w:ilvl w:val="0"/>
          <w:numId w:val="21"/>
        </w:numPr>
      </w:pPr>
      <w:r>
        <w:t>SCC allowed appeal and Herbert’s acquittal restored</w:t>
      </w:r>
    </w:p>
    <w:p w14:paraId="71521403" w14:textId="77777777" w:rsidR="00910E43" w:rsidRDefault="00910E43" w:rsidP="00910E43"/>
    <w:p w14:paraId="75989053" w14:textId="1E2016B1" w:rsidR="00002B0B" w:rsidRDefault="00002B0B" w:rsidP="00910E43">
      <w:r>
        <w:t>R v Herbert</w:t>
      </w:r>
    </w:p>
    <w:p w14:paraId="78E5ACB8" w14:textId="201D6374" w:rsidR="00002B0B" w:rsidRDefault="00002B0B" w:rsidP="00002B0B">
      <w:pPr>
        <w:pStyle w:val="ListParagraph"/>
        <w:numPr>
          <w:ilvl w:val="0"/>
          <w:numId w:val="22"/>
        </w:numPr>
      </w:pPr>
      <w:r>
        <w:t>Police prevented detainee from a meaningful choice about whether to speak to them</w:t>
      </w:r>
    </w:p>
    <w:p w14:paraId="6B831DDC" w14:textId="2FB1580D" w:rsidR="00002B0B" w:rsidRDefault="00002B0B" w:rsidP="00002B0B">
      <w:pPr>
        <w:pStyle w:val="ListParagraph"/>
        <w:numPr>
          <w:ilvl w:val="0"/>
          <w:numId w:val="22"/>
        </w:numPr>
      </w:pPr>
      <w:r>
        <w:t>Accused can’t be required to give evidence against himself</w:t>
      </w:r>
    </w:p>
    <w:p w14:paraId="2DDDC3E8" w14:textId="15BCBF02" w:rsidR="00002B0B" w:rsidRDefault="00002B0B" w:rsidP="00002B0B">
      <w:pPr>
        <w:pStyle w:val="ListParagraph"/>
        <w:numPr>
          <w:ilvl w:val="0"/>
          <w:numId w:val="22"/>
        </w:numPr>
      </w:pPr>
      <w:r>
        <w:t>Requires that police respect choice of an accused person who doesn’t wish to speak to them</w:t>
      </w:r>
    </w:p>
    <w:p w14:paraId="05EDFAD7" w14:textId="282DDB2C" w:rsidR="00002B0B" w:rsidRDefault="00002B0B" w:rsidP="00002B0B">
      <w:pPr>
        <w:pStyle w:val="ListParagraph"/>
        <w:numPr>
          <w:ilvl w:val="0"/>
          <w:numId w:val="22"/>
        </w:numPr>
      </w:pPr>
      <w:r>
        <w:t>Defendant’s right to silence had been overborne by a police trick that violated s. 7 of Charter because he had been deprived of ability to make a conscious choice whether to talk to police</w:t>
      </w:r>
    </w:p>
    <w:p w14:paraId="42C2045A" w14:textId="023DDEBC" w:rsidR="00002B0B" w:rsidRDefault="00002B0B" w:rsidP="00002B0B">
      <w:pPr>
        <w:pStyle w:val="ListParagraph"/>
        <w:numPr>
          <w:ilvl w:val="0"/>
          <w:numId w:val="22"/>
        </w:numPr>
      </w:pPr>
      <w:r>
        <w:t>Court considered it unfair to give a suspect a right to silence, and then trick him out of it</w:t>
      </w:r>
    </w:p>
    <w:p w14:paraId="2C77BE59" w14:textId="77777777" w:rsidR="004E6EBA" w:rsidRDefault="004E6EBA" w:rsidP="004E6EBA"/>
    <w:p w14:paraId="6B903D3C" w14:textId="26976453" w:rsidR="004E6EBA" w:rsidRDefault="004E6EBA" w:rsidP="004E6EBA">
      <w:r>
        <w:t>Why Herbert is important</w:t>
      </w:r>
    </w:p>
    <w:p w14:paraId="178A1013" w14:textId="2EA07C01" w:rsidR="004E6EBA" w:rsidRDefault="004E6EBA" w:rsidP="004E6EBA">
      <w:pPr>
        <w:pStyle w:val="ListParagraph"/>
        <w:numPr>
          <w:ilvl w:val="0"/>
          <w:numId w:val="23"/>
        </w:numPr>
      </w:pPr>
      <w:r>
        <w:t>Recognized that right to silence was a principle of fundamental justice; statements of accused may not be achieved through police trickery and silence may not be used to make any inference of guilt</w:t>
      </w:r>
    </w:p>
    <w:p w14:paraId="49431C46" w14:textId="73926FA7" w:rsidR="004E6EBA" w:rsidRDefault="004E6EBA" w:rsidP="004E6EBA">
      <w:pPr>
        <w:pStyle w:val="ListParagraph"/>
        <w:numPr>
          <w:ilvl w:val="0"/>
          <w:numId w:val="23"/>
        </w:numPr>
      </w:pPr>
      <w:r>
        <w:t>A clear enhancement of pre-existing common law right against self-incrimination</w:t>
      </w:r>
    </w:p>
    <w:p w14:paraId="1E6A84E5" w14:textId="5D3ED4F1" w:rsidR="004E6EBA" w:rsidRDefault="004E6EBA" w:rsidP="004E6EBA">
      <w:pPr>
        <w:pStyle w:val="ListParagraph"/>
        <w:numPr>
          <w:ilvl w:val="0"/>
          <w:numId w:val="23"/>
        </w:numPr>
      </w:pPr>
      <w:r>
        <w:t>Rule against self-incrimination in Charter imposes a new obligation on police to respect a suspect’s decision to remain silent and refrain from deceptive tactics</w:t>
      </w:r>
    </w:p>
    <w:p w14:paraId="505B6502" w14:textId="07E0608D" w:rsidR="004E6EBA" w:rsidRDefault="004E6EBA" w:rsidP="004E6EBA">
      <w:pPr>
        <w:pStyle w:val="ListParagraph"/>
        <w:numPr>
          <w:ilvl w:val="0"/>
          <w:numId w:val="23"/>
        </w:numPr>
      </w:pPr>
      <w:r>
        <w:t>SCC held that an undercover state agent may not actively elicit a statement from a detained suspect</w:t>
      </w:r>
    </w:p>
    <w:p w14:paraId="4E7C0BE0" w14:textId="45E4C256" w:rsidR="004E6EBA" w:rsidRDefault="004E6EBA" w:rsidP="004E6EBA">
      <w:pPr>
        <w:pStyle w:val="ListParagraph"/>
        <w:numPr>
          <w:ilvl w:val="0"/>
          <w:numId w:val="23"/>
        </w:numPr>
      </w:pPr>
      <w:r>
        <w:t>But created a loophole</w:t>
      </w:r>
    </w:p>
    <w:p w14:paraId="326EAD95" w14:textId="77777777" w:rsidR="009A22FB" w:rsidRDefault="009A22FB" w:rsidP="009A22FB"/>
    <w:p w14:paraId="5C021FA2" w14:textId="6A6449CC" w:rsidR="009A22FB" w:rsidRDefault="009A22FB" w:rsidP="009A22FB">
      <w:r>
        <w:t>Real or Quasi Constitutional Rights</w:t>
      </w:r>
    </w:p>
    <w:p w14:paraId="588466B0" w14:textId="2B6F9AD9" w:rsidR="009A22FB" w:rsidRDefault="009A22FB" w:rsidP="009A22FB">
      <w:pPr>
        <w:pStyle w:val="ListParagraph"/>
        <w:numPr>
          <w:ilvl w:val="0"/>
          <w:numId w:val="24"/>
        </w:numPr>
      </w:pPr>
      <w:r>
        <w:t>Herbert is but on example where Courts have derived a constitutionally protected right from common law – Herbert – right to silence</w:t>
      </w:r>
    </w:p>
    <w:p w14:paraId="1BAF3421" w14:textId="1B7D4CF2" w:rsidR="009A22FB" w:rsidRDefault="009A22FB" w:rsidP="009A22FB">
      <w:pPr>
        <w:pStyle w:val="ListParagraph"/>
        <w:numPr>
          <w:ilvl w:val="0"/>
          <w:numId w:val="24"/>
        </w:numPr>
      </w:pPr>
      <w:r>
        <w:t>Principles of fundamental justice referenced</w:t>
      </w:r>
    </w:p>
    <w:p w14:paraId="73944DE5" w14:textId="77777777" w:rsidR="009A22FB" w:rsidRDefault="009A22FB" w:rsidP="009A22FB"/>
    <w:p w14:paraId="6B222444" w14:textId="0E1EF812" w:rsidR="009A22FB" w:rsidRDefault="009A22FB" w:rsidP="009A22FB">
      <w:r>
        <w:t>Procedural Protections and Police Questioning</w:t>
      </w:r>
    </w:p>
    <w:p w14:paraId="17D62A3C" w14:textId="28DE22C6" w:rsidR="009A22FB" w:rsidRDefault="009A22FB" w:rsidP="009A22FB">
      <w:pPr>
        <w:pStyle w:val="ListParagraph"/>
        <w:numPr>
          <w:ilvl w:val="0"/>
          <w:numId w:val="25"/>
        </w:numPr>
      </w:pPr>
      <w:r>
        <w:t>There are circumstances and conditions that render Common Law and Charter protections inapplicable in context of police questioning</w:t>
      </w:r>
    </w:p>
    <w:p w14:paraId="50A6C4F1" w14:textId="137C5620" w:rsidR="009A22FB" w:rsidRDefault="009A22FB" w:rsidP="009A22FB">
      <w:pPr>
        <w:pStyle w:val="ListParagraph"/>
        <w:numPr>
          <w:ilvl w:val="0"/>
          <w:numId w:val="25"/>
        </w:numPr>
      </w:pPr>
      <w:r>
        <w:t>Law falls short of protecting criminally accused outside physical detention – i.e. non-custodial settings</w:t>
      </w:r>
    </w:p>
    <w:p w14:paraId="3C6160FE" w14:textId="77777777" w:rsidR="00341315" w:rsidRDefault="00341315" w:rsidP="00341315"/>
    <w:p w14:paraId="3E1F451C" w14:textId="4FA74C36" w:rsidR="00341315" w:rsidRDefault="00341315" w:rsidP="00341315">
      <w:r>
        <w:t>Legal loophole</w:t>
      </w:r>
    </w:p>
    <w:p w14:paraId="50AB1DE9" w14:textId="1612D3E2" w:rsidR="00341315" w:rsidRDefault="00341315" w:rsidP="00341315">
      <w:pPr>
        <w:pStyle w:val="ListParagraph"/>
        <w:numPr>
          <w:ilvl w:val="0"/>
          <w:numId w:val="26"/>
        </w:numPr>
      </w:pPr>
      <w:r>
        <w:t>Conservative approach to confessions rule</w:t>
      </w:r>
    </w:p>
    <w:p w14:paraId="6205DD97" w14:textId="0C41F605" w:rsidR="00341315" w:rsidRDefault="00341315" w:rsidP="00341315">
      <w:pPr>
        <w:pStyle w:val="ListParagraph"/>
        <w:numPr>
          <w:ilvl w:val="0"/>
          <w:numId w:val="26"/>
        </w:numPr>
      </w:pPr>
      <w:r>
        <w:t>Limited protections to statements made to persons in authority</w:t>
      </w:r>
    </w:p>
    <w:p w14:paraId="6B573966" w14:textId="495B4897" w:rsidR="00341315" w:rsidRDefault="00341315" w:rsidP="00341315">
      <w:pPr>
        <w:pStyle w:val="ListParagraph"/>
        <w:numPr>
          <w:ilvl w:val="0"/>
          <w:numId w:val="26"/>
        </w:numPr>
      </w:pPr>
      <w:r>
        <w:t>If accused were to divulge information to an informer or undercover agent of their own free will, then statements could be used against them (SCC)</w:t>
      </w:r>
    </w:p>
    <w:p w14:paraId="5987C9F3" w14:textId="262BB94E" w:rsidR="00341315" w:rsidRDefault="00341315" w:rsidP="00341315">
      <w:pPr>
        <w:pStyle w:val="ListParagraph"/>
        <w:numPr>
          <w:ilvl w:val="0"/>
          <w:numId w:val="26"/>
        </w:numPr>
      </w:pPr>
      <w:r>
        <w:t>Doesn’t apply to an accused outside detention</w:t>
      </w:r>
    </w:p>
    <w:p w14:paraId="12A02EAF" w14:textId="294E43A5" w:rsidR="00341315" w:rsidRPr="00910E43" w:rsidRDefault="00341315" w:rsidP="00341315">
      <w:pPr>
        <w:pStyle w:val="ListParagraph"/>
        <w:numPr>
          <w:ilvl w:val="0"/>
          <w:numId w:val="26"/>
        </w:numPr>
      </w:pPr>
      <w:r>
        <w:t>Effectively eliminates confessions rule as a possible avenue to exclude admissions arising from non-custodial police interrogation – i.e. undercover operations, such as Mr. Big</w:t>
      </w:r>
      <w:bookmarkStart w:id="0" w:name="_GoBack"/>
      <w:bookmarkEnd w:id="0"/>
    </w:p>
    <w:sectPr w:rsidR="00341315" w:rsidRPr="00910E43" w:rsidSect="002015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A6DEF"/>
    <w:multiLevelType w:val="hybridMultilevel"/>
    <w:tmpl w:val="5C1E7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F6A4B"/>
    <w:multiLevelType w:val="hybridMultilevel"/>
    <w:tmpl w:val="1C346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14AE0"/>
    <w:multiLevelType w:val="hybridMultilevel"/>
    <w:tmpl w:val="5FBC2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177BA"/>
    <w:multiLevelType w:val="hybridMultilevel"/>
    <w:tmpl w:val="CDD63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60FBA"/>
    <w:multiLevelType w:val="hybridMultilevel"/>
    <w:tmpl w:val="E64E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05C65"/>
    <w:multiLevelType w:val="hybridMultilevel"/>
    <w:tmpl w:val="C9B23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B2D3C"/>
    <w:multiLevelType w:val="hybridMultilevel"/>
    <w:tmpl w:val="113A4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1682E"/>
    <w:multiLevelType w:val="hybridMultilevel"/>
    <w:tmpl w:val="18888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46432E"/>
    <w:multiLevelType w:val="hybridMultilevel"/>
    <w:tmpl w:val="149AC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F3E13"/>
    <w:multiLevelType w:val="hybridMultilevel"/>
    <w:tmpl w:val="196CB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6F7974"/>
    <w:multiLevelType w:val="hybridMultilevel"/>
    <w:tmpl w:val="308E1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185330"/>
    <w:multiLevelType w:val="hybridMultilevel"/>
    <w:tmpl w:val="5DC27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213ABA"/>
    <w:multiLevelType w:val="hybridMultilevel"/>
    <w:tmpl w:val="62386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E0135"/>
    <w:multiLevelType w:val="hybridMultilevel"/>
    <w:tmpl w:val="E7D2F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B8741F"/>
    <w:multiLevelType w:val="hybridMultilevel"/>
    <w:tmpl w:val="A030D5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1E9C"/>
    <w:multiLevelType w:val="hybridMultilevel"/>
    <w:tmpl w:val="0A0E2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D50A69"/>
    <w:multiLevelType w:val="hybridMultilevel"/>
    <w:tmpl w:val="D458E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E02334"/>
    <w:multiLevelType w:val="hybridMultilevel"/>
    <w:tmpl w:val="8AA8C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120E21"/>
    <w:multiLevelType w:val="hybridMultilevel"/>
    <w:tmpl w:val="5C409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1E3690"/>
    <w:multiLevelType w:val="hybridMultilevel"/>
    <w:tmpl w:val="D136B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031835"/>
    <w:multiLevelType w:val="hybridMultilevel"/>
    <w:tmpl w:val="141E3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24D3B"/>
    <w:multiLevelType w:val="hybridMultilevel"/>
    <w:tmpl w:val="1C3A2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83E56"/>
    <w:multiLevelType w:val="hybridMultilevel"/>
    <w:tmpl w:val="6DEA0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364EF1"/>
    <w:multiLevelType w:val="hybridMultilevel"/>
    <w:tmpl w:val="6CDCC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D83A54"/>
    <w:multiLevelType w:val="hybridMultilevel"/>
    <w:tmpl w:val="AA9CC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842DCE"/>
    <w:multiLevelType w:val="hybridMultilevel"/>
    <w:tmpl w:val="D0D65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"/>
  </w:num>
  <w:num w:numId="4">
    <w:abstractNumId w:val="4"/>
  </w:num>
  <w:num w:numId="5">
    <w:abstractNumId w:val="17"/>
  </w:num>
  <w:num w:numId="6">
    <w:abstractNumId w:val="25"/>
  </w:num>
  <w:num w:numId="7">
    <w:abstractNumId w:val="6"/>
  </w:num>
  <w:num w:numId="8">
    <w:abstractNumId w:val="2"/>
  </w:num>
  <w:num w:numId="9">
    <w:abstractNumId w:val="0"/>
  </w:num>
  <w:num w:numId="10">
    <w:abstractNumId w:val="14"/>
  </w:num>
  <w:num w:numId="11">
    <w:abstractNumId w:val="9"/>
  </w:num>
  <w:num w:numId="12">
    <w:abstractNumId w:val="8"/>
  </w:num>
  <w:num w:numId="13">
    <w:abstractNumId w:val="16"/>
  </w:num>
  <w:num w:numId="14">
    <w:abstractNumId w:val="24"/>
  </w:num>
  <w:num w:numId="15">
    <w:abstractNumId w:val="3"/>
  </w:num>
  <w:num w:numId="16">
    <w:abstractNumId w:val="12"/>
  </w:num>
  <w:num w:numId="17">
    <w:abstractNumId w:val="20"/>
  </w:num>
  <w:num w:numId="18">
    <w:abstractNumId w:val="13"/>
  </w:num>
  <w:num w:numId="19">
    <w:abstractNumId w:val="7"/>
  </w:num>
  <w:num w:numId="20">
    <w:abstractNumId w:val="15"/>
  </w:num>
  <w:num w:numId="21">
    <w:abstractNumId w:val="23"/>
  </w:num>
  <w:num w:numId="22">
    <w:abstractNumId w:val="18"/>
  </w:num>
  <w:num w:numId="23">
    <w:abstractNumId w:val="5"/>
  </w:num>
  <w:num w:numId="24">
    <w:abstractNumId w:val="10"/>
  </w:num>
  <w:num w:numId="25">
    <w:abstractNumId w:val="1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5A6"/>
    <w:rsid w:val="00002B0B"/>
    <w:rsid w:val="00143E4C"/>
    <w:rsid w:val="00164B0E"/>
    <w:rsid w:val="00201585"/>
    <w:rsid w:val="002B50FE"/>
    <w:rsid w:val="00341315"/>
    <w:rsid w:val="00371059"/>
    <w:rsid w:val="003A04CE"/>
    <w:rsid w:val="003A4B02"/>
    <w:rsid w:val="004E6EBA"/>
    <w:rsid w:val="005748EB"/>
    <w:rsid w:val="00635FB6"/>
    <w:rsid w:val="006505AA"/>
    <w:rsid w:val="0066588C"/>
    <w:rsid w:val="00690B69"/>
    <w:rsid w:val="006B2354"/>
    <w:rsid w:val="00705C75"/>
    <w:rsid w:val="00825B86"/>
    <w:rsid w:val="009039DE"/>
    <w:rsid w:val="00910E43"/>
    <w:rsid w:val="00943A42"/>
    <w:rsid w:val="00982EE2"/>
    <w:rsid w:val="009A0CFC"/>
    <w:rsid w:val="009A22FB"/>
    <w:rsid w:val="00A046E1"/>
    <w:rsid w:val="00A471C9"/>
    <w:rsid w:val="00C019C4"/>
    <w:rsid w:val="00C112ED"/>
    <w:rsid w:val="00CD4F06"/>
    <w:rsid w:val="00D526D6"/>
    <w:rsid w:val="00D57FEC"/>
    <w:rsid w:val="00DC41A1"/>
    <w:rsid w:val="00E3020F"/>
    <w:rsid w:val="00E305A6"/>
    <w:rsid w:val="00F106F5"/>
    <w:rsid w:val="00F7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D51B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5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1753</Words>
  <Characters>8822</Characters>
  <Application>Microsoft Macintosh Word</Application>
  <DocSecurity>0</DocSecurity>
  <Lines>111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Ayaan Nadeem</dc:creator>
  <cp:keywords/>
  <dc:description/>
  <cp:lastModifiedBy>Ayaan Nadeem</cp:lastModifiedBy>
  <cp:revision>14</cp:revision>
  <dcterms:created xsi:type="dcterms:W3CDTF">2017-09-25T04:09:00Z</dcterms:created>
  <dcterms:modified xsi:type="dcterms:W3CDTF">2017-10-04T23:08:00Z</dcterms:modified>
</cp:coreProperties>
</file>