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3446" w:rsidRDefault="00B42D72" w:rsidP="00B42D72">
      <w:pPr>
        <w:jc w:val="center"/>
        <w:rPr>
          <w:u w:val="single"/>
        </w:rPr>
      </w:pPr>
      <w:r>
        <w:rPr>
          <w:u w:val="single"/>
        </w:rPr>
        <w:t>LAWS 2202</w:t>
      </w:r>
    </w:p>
    <w:p w:rsidR="00B42D72" w:rsidRDefault="00B42D72" w:rsidP="00B42D72">
      <w:pPr>
        <w:jc w:val="center"/>
        <w:rPr>
          <w:u w:val="single"/>
        </w:rPr>
      </w:pPr>
      <w:r>
        <w:rPr>
          <w:u w:val="single"/>
        </w:rPr>
        <w:t>Week 11</w:t>
      </w:r>
    </w:p>
    <w:p w:rsidR="00B42D72" w:rsidRDefault="00B42D72" w:rsidP="00B42D72">
      <w:r>
        <w:t>The Charter of Rights and Freedoms</w:t>
      </w:r>
    </w:p>
    <w:p w:rsidR="00B42D72" w:rsidRDefault="00B42D72" w:rsidP="00B42D72">
      <w:pPr>
        <w:pStyle w:val="ListParagraph"/>
        <w:numPr>
          <w:ilvl w:val="0"/>
          <w:numId w:val="1"/>
        </w:numPr>
      </w:pPr>
      <w:r>
        <w:t>There is an application clause, where it only applies to Federal and Provincial law</w:t>
      </w:r>
    </w:p>
    <w:p w:rsidR="00B42D72" w:rsidRDefault="00B42D72" w:rsidP="00B42D72">
      <w:pPr>
        <w:pStyle w:val="ListParagraph"/>
        <w:numPr>
          <w:ilvl w:val="0"/>
          <w:numId w:val="1"/>
        </w:numPr>
      </w:pPr>
      <w:r>
        <w:t>The Charter protects us from the state</w:t>
      </w:r>
    </w:p>
    <w:p w:rsidR="00B42D72" w:rsidRDefault="00B42D72" w:rsidP="00B42D72">
      <w:pPr>
        <w:pStyle w:val="ListParagraph"/>
        <w:numPr>
          <w:ilvl w:val="0"/>
          <w:numId w:val="1"/>
        </w:numPr>
      </w:pPr>
      <w:r>
        <w:t>Private law is more concerned with relationships between persons, which is typically why the Charter does not apply to private law</w:t>
      </w:r>
    </w:p>
    <w:p w:rsidR="00B42D72" w:rsidRDefault="00B42D72" w:rsidP="00B42D72">
      <w:r>
        <w:t xml:space="preserve">Constitutional Values and Private Law </w:t>
      </w:r>
    </w:p>
    <w:p w:rsidR="00B42D72" w:rsidRDefault="00B42D72" w:rsidP="00B42D72">
      <w:pPr>
        <w:pStyle w:val="ListParagraph"/>
        <w:numPr>
          <w:ilvl w:val="0"/>
          <w:numId w:val="2"/>
        </w:numPr>
      </w:pPr>
      <w:r>
        <w:t xml:space="preserve">Based on article “Constitutional Values and Private Law in Canada” </w:t>
      </w:r>
    </w:p>
    <w:p w:rsidR="00B42D72" w:rsidRDefault="00B42D72" w:rsidP="00B42D72">
      <w:pPr>
        <w:pStyle w:val="ListParagraph"/>
        <w:numPr>
          <w:ilvl w:val="0"/>
          <w:numId w:val="2"/>
        </w:numPr>
      </w:pPr>
      <w:r>
        <w:t>Private law and public reason – three conceptual stages or moments</w:t>
      </w:r>
    </w:p>
    <w:p w:rsidR="00B42D72" w:rsidRDefault="00B42D72" w:rsidP="00B42D72">
      <w:pPr>
        <w:pStyle w:val="ListParagraph"/>
        <w:numPr>
          <w:ilvl w:val="1"/>
          <w:numId w:val="2"/>
        </w:numPr>
      </w:pPr>
      <w:r>
        <w:t xml:space="preserve">Conception of the person </w:t>
      </w:r>
    </w:p>
    <w:p w:rsidR="00B42D72" w:rsidRDefault="00B42D72" w:rsidP="00B42D72">
      <w:pPr>
        <w:pStyle w:val="ListParagraph"/>
        <w:numPr>
          <w:ilvl w:val="2"/>
          <w:numId w:val="2"/>
        </w:numPr>
      </w:pPr>
      <w:r>
        <w:t xml:space="preserve">Self-determining agent characterized by purposeful action, imbued with dignity and generally free of limiting constraints on intentionality </w:t>
      </w:r>
    </w:p>
    <w:p w:rsidR="00B42D72" w:rsidRDefault="00B42D72" w:rsidP="00B42D72">
      <w:pPr>
        <w:pStyle w:val="ListParagraph"/>
        <w:numPr>
          <w:ilvl w:val="2"/>
          <w:numId w:val="2"/>
        </w:numPr>
      </w:pPr>
      <w:r>
        <w:t>Does not account for accidental or irrational action</w:t>
      </w:r>
    </w:p>
    <w:p w:rsidR="00150DBE" w:rsidRDefault="00150DBE" w:rsidP="00150DBE">
      <w:pPr>
        <w:pStyle w:val="ListParagraph"/>
        <w:numPr>
          <w:ilvl w:val="1"/>
          <w:numId w:val="2"/>
        </w:numPr>
      </w:pPr>
      <w:r>
        <w:t xml:space="preserve">Ensemble of judicial categories </w:t>
      </w:r>
    </w:p>
    <w:p w:rsidR="00150DBE" w:rsidRDefault="00150DBE" w:rsidP="00150DBE">
      <w:pPr>
        <w:pStyle w:val="ListParagraph"/>
        <w:numPr>
          <w:ilvl w:val="2"/>
          <w:numId w:val="2"/>
        </w:numPr>
      </w:pPr>
      <w:r>
        <w:t>Expressions of rights and duties, sets of relationships in terms of non-interference with the rights of others</w:t>
      </w:r>
    </w:p>
    <w:p w:rsidR="00150DBE" w:rsidRDefault="00150DBE" w:rsidP="00150DBE">
      <w:pPr>
        <w:pStyle w:val="ListParagraph"/>
        <w:numPr>
          <w:ilvl w:val="2"/>
          <w:numId w:val="2"/>
        </w:numPr>
      </w:pPr>
      <w:r>
        <w:t xml:space="preserve">Non-interference is a major concept in private law </w:t>
      </w:r>
    </w:p>
    <w:p w:rsidR="00150DBE" w:rsidRDefault="00150DBE" w:rsidP="00150DBE">
      <w:pPr>
        <w:pStyle w:val="ListParagraph"/>
        <w:numPr>
          <w:ilvl w:val="1"/>
          <w:numId w:val="2"/>
        </w:numPr>
      </w:pPr>
      <w:r>
        <w:t>Operational/interpretive institutions</w:t>
      </w:r>
    </w:p>
    <w:p w:rsidR="00150DBE" w:rsidRDefault="00150DBE" w:rsidP="00150DBE">
      <w:pPr>
        <w:pStyle w:val="ListParagraph"/>
        <w:numPr>
          <w:ilvl w:val="2"/>
          <w:numId w:val="2"/>
        </w:numPr>
      </w:pPr>
      <w:r>
        <w:t>System of private law not only enforces rights, but interprets principles and determines the meaning of the various acknowledged rights in individual contexts</w:t>
      </w:r>
    </w:p>
    <w:p w:rsidR="00150DBE" w:rsidRDefault="00150DBE" w:rsidP="00150DBE">
      <w:pPr>
        <w:pStyle w:val="ListParagraph"/>
        <w:numPr>
          <w:ilvl w:val="2"/>
          <w:numId w:val="2"/>
        </w:numPr>
      </w:pPr>
      <w:r>
        <w:t xml:space="preserve">Judges must interpret and reinterpret private law, deciding how private law may change. </w:t>
      </w:r>
    </w:p>
    <w:p w:rsidR="00150DBE" w:rsidRDefault="00150DBE" w:rsidP="00150DBE">
      <w:pPr>
        <w:pStyle w:val="ListParagraph"/>
        <w:numPr>
          <w:ilvl w:val="0"/>
          <w:numId w:val="2"/>
        </w:numPr>
      </w:pPr>
      <w:r>
        <w:t xml:space="preserve">We can view the court as an institution of public reason </w:t>
      </w:r>
    </w:p>
    <w:p w:rsidR="002E6A00" w:rsidRDefault="002E6A00" w:rsidP="00150DBE">
      <w:pPr>
        <w:pStyle w:val="ListParagraph"/>
        <w:numPr>
          <w:ilvl w:val="0"/>
          <w:numId w:val="2"/>
        </w:numPr>
      </w:pPr>
      <w:r>
        <w:t>“The constitution thus serves a double function. On the one hand, it sets out the limits to which the idea of human dignity constrains government action. On the other hand, it provides a catalogue of values that can guide courts in the elaboration of the principles and standards that govern the private law relationships.”</w:t>
      </w:r>
    </w:p>
    <w:p w:rsidR="002E6A00" w:rsidRDefault="002E6A00" w:rsidP="002E6A00">
      <w:pPr>
        <w:pStyle w:val="ListParagraph"/>
        <w:numPr>
          <w:ilvl w:val="0"/>
          <w:numId w:val="2"/>
        </w:numPr>
      </w:pPr>
      <w:r>
        <w:t xml:space="preserve">Transactional equality </w:t>
      </w:r>
    </w:p>
    <w:p w:rsidR="00793107" w:rsidRDefault="00793107" w:rsidP="00793107">
      <w:pPr>
        <w:pStyle w:val="ListParagraph"/>
        <w:numPr>
          <w:ilvl w:val="0"/>
          <w:numId w:val="2"/>
        </w:numPr>
      </w:pPr>
      <w:r>
        <w:t xml:space="preserve">Private Law Obligations understood in terms of entitlements and relationships. </w:t>
      </w:r>
    </w:p>
    <w:p w:rsidR="00793107" w:rsidRDefault="00793107" w:rsidP="002E6A00">
      <w:pPr>
        <w:pStyle w:val="ListParagraph"/>
        <w:numPr>
          <w:ilvl w:val="0"/>
          <w:numId w:val="2"/>
        </w:numPr>
      </w:pPr>
      <w:r>
        <w:t xml:space="preserve"> The entitlement element is a way of framing the rights, freedoms, powers that private persons can invoke.</w:t>
      </w:r>
    </w:p>
    <w:p w:rsidR="00793107" w:rsidRDefault="00793107" w:rsidP="002E6A00">
      <w:pPr>
        <w:pStyle w:val="ListParagraph"/>
        <w:numPr>
          <w:ilvl w:val="0"/>
          <w:numId w:val="2"/>
        </w:numPr>
      </w:pPr>
      <w:r>
        <w:t xml:space="preserve"> The relationship element is a way of capturing the autonomous but interrelated nature of private persons, as well as the laws role of adjudicating between the plaintiff’s right and the correlative duty not to interfere with those rights.</w:t>
      </w:r>
    </w:p>
    <w:p w:rsidR="00793107" w:rsidRDefault="00793107" w:rsidP="002E6A00">
      <w:pPr>
        <w:pStyle w:val="ListParagraph"/>
        <w:numPr>
          <w:ilvl w:val="0"/>
          <w:numId w:val="2"/>
        </w:numPr>
      </w:pPr>
      <w:r>
        <w:t xml:space="preserve"> </w:t>
      </w:r>
      <w:proofErr w:type="spellStart"/>
      <w:r>
        <w:t>Weinrib</w:t>
      </w:r>
      <w:proofErr w:type="spellEnd"/>
      <w:r>
        <w:t xml:space="preserve"> and </w:t>
      </w:r>
      <w:proofErr w:type="spellStart"/>
      <w:r>
        <w:t>Weinrib</w:t>
      </w:r>
      <w:proofErr w:type="spellEnd"/>
      <w:r>
        <w:t xml:space="preserve"> suggest that, in viewing private law this way, one can find a role for the Charter in both dimensions. </w:t>
      </w:r>
    </w:p>
    <w:p w:rsidR="002E6A00" w:rsidRDefault="00793107" w:rsidP="00793107">
      <w:pPr>
        <w:pStyle w:val="ListParagraph"/>
        <w:numPr>
          <w:ilvl w:val="1"/>
          <w:numId w:val="2"/>
        </w:numPr>
      </w:pPr>
      <w:r>
        <w:t xml:space="preserve">Examples include expanding public policy considerations to explicitly align with the Charter, defining new areas of private law, and clarifying the application of complex </w:t>
      </w:r>
      <w:r>
        <w:lastRenderedPageBreak/>
        <w:t>doctrines by supplementing them with constitutional principles (for example – gender equality)</w:t>
      </w:r>
    </w:p>
    <w:p w:rsidR="006473B5" w:rsidRDefault="006473B5" w:rsidP="006473B5">
      <w:r>
        <w:t xml:space="preserve">Seneca College v </w:t>
      </w:r>
      <w:proofErr w:type="spellStart"/>
      <w:r>
        <w:t>Bhadauria</w:t>
      </w:r>
      <w:proofErr w:type="spellEnd"/>
      <w:r>
        <w:t xml:space="preserve"> </w:t>
      </w:r>
    </w:p>
    <w:p w:rsidR="006473B5" w:rsidRDefault="00CE3446" w:rsidP="006473B5">
      <w:pPr>
        <w:pStyle w:val="ListParagraph"/>
        <w:numPr>
          <w:ilvl w:val="0"/>
          <w:numId w:val="3"/>
        </w:numPr>
      </w:pPr>
      <w:r>
        <w:t>Does the court have a just cause of action?</w:t>
      </w:r>
    </w:p>
    <w:p w:rsidR="00CE3446" w:rsidRDefault="00CE3446" w:rsidP="006473B5">
      <w:pPr>
        <w:pStyle w:val="ListParagraph"/>
        <w:numPr>
          <w:ilvl w:val="0"/>
          <w:numId w:val="3"/>
        </w:numPr>
      </w:pPr>
      <w:r>
        <w:t xml:space="preserve">Can they found a tort on a breach of the Human Rights Code? </w:t>
      </w:r>
    </w:p>
    <w:p w:rsidR="00CE3446" w:rsidRDefault="00CE3446" w:rsidP="006473B5">
      <w:pPr>
        <w:pStyle w:val="ListParagraph"/>
        <w:numPr>
          <w:ilvl w:val="0"/>
          <w:numId w:val="3"/>
        </w:numPr>
      </w:pPr>
      <w:r>
        <w:t>The Court argues no</w:t>
      </w:r>
    </w:p>
    <w:p w:rsidR="00CE3446" w:rsidRDefault="00CE3446" w:rsidP="00CE3446">
      <w:pPr>
        <w:pStyle w:val="ListParagraph"/>
        <w:numPr>
          <w:ilvl w:val="1"/>
          <w:numId w:val="3"/>
        </w:numPr>
      </w:pPr>
      <w:r>
        <w:t>“The view taken by the Ontario Court of Appeal is a bold one and may be commended as an attempt to advance the common law. In my opinion, however, this is foreclosed by the legislative initiative which overtook the existing common law in Ontario and established a different regime which does not exclude the courts, but rather makes them part of the enforcement machinery under the Code.”</w:t>
      </w:r>
    </w:p>
    <w:p w:rsidR="00CE3446" w:rsidRDefault="00CE3446" w:rsidP="00CE3446">
      <w:pPr>
        <w:pStyle w:val="ListParagraph"/>
        <w:numPr>
          <w:ilvl w:val="1"/>
          <w:numId w:val="3"/>
        </w:numPr>
      </w:pPr>
      <w:r>
        <w:t xml:space="preserve">The Supreme Court will not put in place a tort when there is already a legislative initiative in place that could properly deal with the issue </w:t>
      </w:r>
    </w:p>
    <w:p w:rsidR="00CE3446" w:rsidRPr="00B42D72" w:rsidRDefault="00CE3446" w:rsidP="00C918E2">
      <w:pPr>
        <w:pStyle w:val="ListParagraph"/>
        <w:ind w:left="1440"/>
      </w:pPr>
      <w:bookmarkStart w:id="0" w:name="_GoBack"/>
      <w:bookmarkEnd w:id="0"/>
    </w:p>
    <w:sectPr w:rsidR="00CE3446" w:rsidRPr="00B42D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E15000"/>
    <w:multiLevelType w:val="hybridMultilevel"/>
    <w:tmpl w:val="A66ADC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EE541B2"/>
    <w:multiLevelType w:val="hybridMultilevel"/>
    <w:tmpl w:val="27228BC6"/>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 w15:restartNumberingAfterBreak="0">
    <w:nsid w:val="6116469E"/>
    <w:multiLevelType w:val="hybridMultilevel"/>
    <w:tmpl w:val="99FCD6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D72"/>
    <w:rsid w:val="00150DBE"/>
    <w:rsid w:val="002E6A00"/>
    <w:rsid w:val="006473B5"/>
    <w:rsid w:val="00793107"/>
    <w:rsid w:val="0085750C"/>
    <w:rsid w:val="00B24716"/>
    <w:rsid w:val="00B35B8A"/>
    <w:rsid w:val="00B42D72"/>
    <w:rsid w:val="00C918E2"/>
    <w:rsid w:val="00CE3446"/>
    <w:rsid w:val="00EF7C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15FBAB-AF5E-4CB9-B41C-E3C7E3565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D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924</TotalTime>
  <Pages>1</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Dolegowski</dc:creator>
  <cp:keywords/>
  <dc:description/>
  <cp:lastModifiedBy>Jeff Dolegowski</cp:lastModifiedBy>
  <cp:revision>4</cp:revision>
  <dcterms:created xsi:type="dcterms:W3CDTF">2015-11-27T14:10:00Z</dcterms:created>
  <dcterms:modified xsi:type="dcterms:W3CDTF">2015-11-28T08:08:00Z</dcterms:modified>
</cp:coreProperties>
</file>