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ody>
    <w:p w:rsidR="00000000" w:rsidDel="00000000" w:rsidP="00000000" w:rsidRDefault="00000000" w:rsidRPr="00000000">
      <w:pPr>
        <w:pBdr/>
        <w:contextualSpacing w:val="0"/>
        <w:rPr>
          <w:b w:val="1"/>
        </w:rPr>
      </w:pPr>
      <w:r w:rsidDel="00000000" w:rsidR="00000000" w:rsidRPr="00000000">
        <w:rPr>
          <w:b w:val="1"/>
          <w:rtl w:val="0"/>
        </w:rPr>
        <w:t xml:space="preserve">Chapter 2</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S.32</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Section 32 applies to government or public institutions, or as the proper language “govnt entity”. </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A university is not subject to the Charter, but may attract Charter attention. </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Govnt aren’t responsible for creating laws and statutes for governing private practices, but they still have to maintain or constitutional responsibilities</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On  2 grounds, can one can subject to the Charter</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It may be in nature that it is supported by the govnt (hospitals) and the failure to provide sign language interpretation</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Or the activities of the private practice may be found to attract the Charter (universities and providing </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The Charter may also apply to commercial corporation. It may also apply to delegated legislation, regulations, municipal by-laws. Hogg says that it is not exhaustive. Hogg notes that as mentioned before just because something is statute based does not always make its way to the Charter. </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Section 33 of the Canadian Charter of Rights and Freedoms is part of the Constitution of Canada. It is commonly known as the notwithstanding clause (or la clause dérogatoire in French), or as the override power, and it allows Parliament or provincial legislatures to override certain portions of the Charter. S.2- s15.</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Has 5 years until it is earlier specified</w:t>
      </w:r>
    </w:p>
    <w:p w:rsidR="00000000" w:rsidDel="00000000" w:rsidP="00000000" w:rsidRDefault="00000000" w:rsidRPr="00000000">
      <w:pPr>
        <w:numPr>
          <w:ilvl w:val="0"/>
          <w:numId w:val="19"/>
        </w:numPr>
        <w:pBdr/>
        <w:ind w:left="720" w:hanging="360"/>
        <w:contextualSpacing w:val="1"/>
        <w:rPr/>
      </w:pPr>
      <w:r w:rsidDel="00000000" w:rsidR="00000000" w:rsidRPr="00000000">
        <w:rPr>
          <w:rtl w:val="0"/>
        </w:rPr>
        <w:t xml:space="preserve">Parliament and the legislature are able to  override more than one provision.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Chapter 3</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numPr>
          <w:ilvl w:val="0"/>
          <w:numId w:val="25"/>
        </w:numPr>
        <w:pBdr/>
        <w:ind w:left="720" w:hanging="360"/>
        <w:contextualSpacing w:val="1"/>
        <w:rPr>
          <w:b w:val="1"/>
        </w:rPr>
      </w:pPr>
      <w:r w:rsidDel="00000000" w:rsidR="00000000" w:rsidRPr="00000000">
        <w:rPr>
          <w:b w:val="1"/>
          <w:rtl w:val="0"/>
        </w:rPr>
        <w:t xml:space="preserve">Andrews v Law Society of British Columbia</w:t>
      </w:r>
    </w:p>
    <w:p w:rsidR="00000000" w:rsidDel="00000000" w:rsidP="00000000" w:rsidRDefault="00000000" w:rsidRPr="00000000">
      <w:pPr>
        <w:numPr>
          <w:ilvl w:val="0"/>
          <w:numId w:val="25"/>
        </w:numPr>
        <w:pBdr/>
        <w:ind w:left="720" w:hanging="360"/>
        <w:contextualSpacing w:val="1"/>
        <w:rPr>
          <w:color w:val="9900ff"/>
        </w:rPr>
      </w:pPr>
      <w:r w:rsidDel="00000000" w:rsidR="00000000" w:rsidRPr="00000000">
        <w:rPr>
          <w:color w:val="9900ff"/>
          <w:rtl w:val="0"/>
        </w:rPr>
        <w:t xml:space="preserve"> Does the Canadian citizenship requirement infringe s.15(1)</w:t>
      </w:r>
    </w:p>
    <w:p w:rsidR="00000000" w:rsidDel="00000000" w:rsidP="00000000" w:rsidRDefault="00000000" w:rsidRPr="00000000">
      <w:pPr>
        <w:numPr>
          <w:ilvl w:val="0"/>
          <w:numId w:val="25"/>
        </w:numPr>
        <w:pBdr/>
        <w:ind w:left="720" w:hanging="360"/>
        <w:contextualSpacing w:val="1"/>
        <w:rPr>
          <w:color w:val="9900ff"/>
        </w:rPr>
      </w:pPr>
      <w:r w:rsidDel="00000000" w:rsidR="00000000" w:rsidRPr="00000000">
        <w:rPr>
          <w:color w:val="9900ff"/>
          <w:rtl w:val="0"/>
        </w:rPr>
        <w:t xml:space="preserve">If it does, is it justified by s.1 of the CCRF</w:t>
      </w:r>
      <w:r w:rsidDel="00000000" w:rsidR="00000000" w:rsidRPr="00000000">
        <w:rPr>
          <w:rtl w:val="0"/>
        </w:rPr>
      </w:r>
    </w:p>
    <w:p w:rsidR="00000000" w:rsidDel="00000000" w:rsidP="00000000" w:rsidRDefault="00000000" w:rsidRPr="00000000">
      <w:pPr>
        <w:numPr>
          <w:ilvl w:val="0"/>
          <w:numId w:val="25"/>
        </w:numPr>
        <w:pBdr/>
        <w:ind w:left="720" w:hanging="360"/>
        <w:contextualSpacing w:val="1"/>
        <w:rPr/>
      </w:pPr>
      <w:r w:rsidDel="00000000" w:rsidR="00000000" w:rsidRPr="00000000">
        <w:rPr>
          <w:color w:val="ff0000"/>
          <w:rtl w:val="0"/>
        </w:rPr>
        <w:t xml:space="preserve">Dissent</w:t>
      </w:r>
      <w:r w:rsidDel="00000000" w:rsidR="00000000" w:rsidRPr="00000000">
        <w:rPr>
          <w:rtl w:val="0"/>
        </w:rPr>
        <w:t xml:space="preserve">: Taylor J defines s.15 based on irrelevant personal characteristics and enumerated grounds which are not exhaustive. However, he says that it does not infringe s.15, because the notion of citizen entails that you are part of the country and a non-citizen is nothing more than just an attachment. He goes on to say that in the legal profession, they are to administer justice and protect people so it does not infringe s15.</w:t>
      </w:r>
    </w:p>
    <w:p w:rsidR="00000000" w:rsidDel="00000000" w:rsidP="00000000" w:rsidRDefault="00000000" w:rsidRPr="00000000">
      <w:pPr>
        <w:numPr>
          <w:ilvl w:val="0"/>
          <w:numId w:val="25"/>
        </w:numPr>
        <w:pBdr/>
        <w:ind w:left="720" w:hanging="360"/>
        <w:contextualSpacing w:val="1"/>
        <w:rPr>
          <w:color w:val="93c47d"/>
        </w:rPr>
      </w:pPr>
      <w:r w:rsidDel="00000000" w:rsidR="00000000" w:rsidRPr="00000000">
        <w:rPr>
          <w:color w:val="93c47d"/>
          <w:rtl w:val="0"/>
        </w:rPr>
        <w:t xml:space="preserve">Unanimous court of appeal: </w:t>
      </w:r>
      <w:r w:rsidDel="00000000" w:rsidR="00000000" w:rsidRPr="00000000">
        <w:rPr>
          <w:rtl w:val="0"/>
        </w:rPr>
        <w:t xml:space="preserve">McLachlin used the similarly situated test. Those who are similar should be treated similarly, and those who are different should be treated differently. </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One view is that whenever there is a discrimination it is to  immediately turn to s.1 of the charter</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However, she adopted the second view, so that s.15 can act independently of s.1</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Says that it could not have been a guarantee s.15 claim every time. It would trivialize fundamental freedoms and deprive the words “without discrimination”. Obvious cases like restrictions on drunken driving would be subject to automatic review under s.1.</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To answer the first question, it must be an objective test (Oakes)</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Says that s.1 would apply during enemy aliens and war during peace.</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Says that the respondent has met all the requirements and infringes s.15</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Section 15 says that everyone is equal under and before the law. It is not a guaranteed equality, it does not make individuals and group equal in society nor does it enforce people an obligation equal treatment to others</w:t>
      </w:r>
    </w:p>
    <w:p w:rsidR="00000000" w:rsidDel="00000000" w:rsidP="00000000" w:rsidRDefault="00000000" w:rsidRPr="00000000">
      <w:pPr>
        <w:pBdr/>
        <w:contextualSpacing w:val="0"/>
        <w:rPr>
          <w:b w:val="1"/>
        </w:rPr>
      </w:pPr>
      <w:r w:rsidDel="00000000" w:rsidR="00000000" w:rsidRPr="00000000">
        <w:rPr>
          <w:b w:val="1"/>
          <w:rtl w:val="0"/>
        </w:rPr>
        <w:t xml:space="preserve">Equality </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 </w:t>
      </w:r>
      <w:r w:rsidDel="00000000" w:rsidR="00000000" w:rsidRPr="00000000">
        <w:rPr>
          <w:b w:val="1"/>
          <w:rtl w:val="0"/>
        </w:rPr>
        <w:t xml:space="preserve">Equality</w:t>
      </w:r>
      <w:r w:rsidDel="00000000" w:rsidR="00000000" w:rsidRPr="00000000">
        <w:rPr>
          <w:rtl w:val="0"/>
        </w:rPr>
        <w:t xml:space="preserve"> which is a comparative concept. It does not entail that everyone is treated equally. It was a wise man that said the greatest inequality is the equal treatment of unequals.</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For example R. v. Big M Drug Mart Ltd supp,where s(2) was infringed. The equality necessary does not require equal treatment, consequently, it may actually be differentiation in treatment. </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Recognizing that there will always be a infinite number of personal differences, the law should not bind all because of irrelevant personal characteristics. </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McLachlin is wrong,</w:t>
      </w:r>
      <w:r w:rsidDel="00000000" w:rsidR="00000000" w:rsidRPr="00000000">
        <w:rPr>
          <w:color w:val="9900ff"/>
          <w:rtl w:val="0"/>
        </w:rPr>
        <w:t xml:space="preserve"> because then it would justify the genocide of Jews. Just because everyone is being treated equally, does not mean that they should be treated equally ‘in the same way’ to justify equality’</w:t>
      </w:r>
    </w:p>
    <w:p w:rsidR="00000000" w:rsidDel="00000000" w:rsidP="00000000" w:rsidRDefault="00000000" w:rsidRPr="00000000">
      <w:pPr>
        <w:numPr>
          <w:ilvl w:val="0"/>
          <w:numId w:val="25"/>
        </w:numPr>
        <w:pBdr/>
        <w:ind w:left="720" w:hanging="360"/>
        <w:contextualSpacing w:val="1"/>
        <w:rPr/>
      </w:pPr>
      <w:r w:rsidDel="00000000" w:rsidR="00000000" w:rsidRPr="00000000">
        <w:rPr>
          <w:color w:val="9900ff"/>
          <w:rtl w:val="0"/>
        </w:rPr>
        <w:t xml:space="preserve">The similarly situated test is also too vague. There is no mechanism or scope to consider the distinction</w:t>
      </w:r>
      <w:r w:rsidDel="00000000" w:rsidR="00000000" w:rsidRPr="00000000">
        <w:rPr>
          <w:rtl w:val="0"/>
        </w:rPr>
        <w:t xml:space="preserve"> </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For true equality to be understood in modern society is to accommodate for those differences in individuals and groups in society. </w:t>
      </w:r>
    </w:p>
    <w:p w:rsidR="00000000" w:rsidDel="00000000" w:rsidP="00000000" w:rsidRDefault="00000000" w:rsidRPr="00000000">
      <w:pPr>
        <w:numPr>
          <w:ilvl w:val="0"/>
          <w:numId w:val="25"/>
        </w:numPr>
        <w:pBdr/>
        <w:ind w:left="720" w:hanging="360"/>
        <w:contextualSpacing w:val="1"/>
        <w:rPr/>
      </w:pPr>
      <w:r w:rsidDel="00000000" w:rsidR="00000000" w:rsidRPr="00000000">
        <w:rPr>
          <w:rtl w:val="0"/>
        </w:rPr>
        <w:t xml:space="preserve">*It is clear that the concept of equality is recognize people as human beings with </w:t>
      </w:r>
      <w:r w:rsidDel="00000000" w:rsidR="00000000" w:rsidRPr="00000000">
        <w:rPr>
          <w:b w:val="1"/>
          <w:u w:val="single"/>
          <w:rtl w:val="0"/>
        </w:rPr>
        <w:t xml:space="preserve">respect and consideration</w:t>
      </w:r>
      <w:r w:rsidDel="00000000" w:rsidR="00000000" w:rsidRPr="00000000">
        <w:rPr>
          <w:rtl w:val="0"/>
        </w:rPr>
        <w:t xml:space="preserv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Discrimination</w:t>
      </w:r>
    </w:p>
    <w:p w:rsidR="00000000" w:rsidDel="00000000" w:rsidP="00000000" w:rsidRDefault="00000000" w:rsidRPr="00000000">
      <w:pPr>
        <w:numPr>
          <w:ilvl w:val="0"/>
          <w:numId w:val="8"/>
        </w:numPr>
        <w:pBdr/>
        <w:ind w:left="720" w:hanging="360"/>
        <w:contextualSpacing w:val="1"/>
        <w:rPr/>
      </w:pPr>
      <w:r w:rsidDel="00000000" w:rsidR="00000000" w:rsidRPr="00000000">
        <w:rPr>
          <w:rtl w:val="0"/>
        </w:rPr>
        <w:t xml:space="preserve">What is discrimination?</w:t>
      </w:r>
    </w:p>
    <w:p w:rsidR="00000000" w:rsidDel="00000000" w:rsidP="00000000" w:rsidRDefault="00000000" w:rsidRPr="00000000">
      <w:pPr>
        <w:numPr>
          <w:ilvl w:val="0"/>
          <w:numId w:val="8"/>
        </w:numPr>
        <w:pBdr/>
        <w:ind w:left="720" w:hanging="360"/>
        <w:contextualSpacing w:val="1"/>
        <w:rPr/>
      </w:pPr>
      <w:r w:rsidDel="00000000" w:rsidR="00000000" w:rsidRPr="00000000">
        <w:rPr>
          <w:rtl w:val="0"/>
        </w:rPr>
        <w:t xml:space="preserve">In Abella’s report, discrimination is defined as attitudes or practices (whether by design or impact) limit an individual or group’s right to opportunities because of attributed rather than actual characteristics. </w:t>
      </w:r>
    </w:p>
    <w:p w:rsidR="00000000" w:rsidDel="00000000" w:rsidP="00000000" w:rsidRDefault="00000000" w:rsidRPr="00000000">
      <w:pPr>
        <w:numPr>
          <w:ilvl w:val="0"/>
          <w:numId w:val="8"/>
        </w:numPr>
        <w:pBdr/>
        <w:ind w:left="720" w:hanging="360"/>
        <w:contextualSpacing w:val="1"/>
        <w:rPr/>
      </w:pPr>
      <w:r w:rsidDel="00000000" w:rsidR="00000000" w:rsidRPr="00000000">
        <w:rPr>
          <w:rtl w:val="0"/>
        </w:rPr>
        <w:t xml:space="preserve">It is not whether it is by purpose, or effect, if it is affecting certain individuals or groups in a negative way then it is discriminatory. </w:t>
      </w:r>
    </w:p>
    <w:p w:rsidR="00000000" w:rsidDel="00000000" w:rsidP="00000000" w:rsidRDefault="00000000" w:rsidRPr="00000000">
      <w:pPr>
        <w:numPr>
          <w:ilvl w:val="0"/>
          <w:numId w:val="8"/>
        </w:numPr>
        <w:pBdr/>
        <w:ind w:left="720" w:hanging="360"/>
        <w:contextualSpacing w:val="1"/>
        <w:rPr/>
      </w:pPr>
      <w:r w:rsidDel="00000000" w:rsidR="00000000" w:rsidRPr="00000000">
        <w:rPr>
          <w:rtl w:val="0"/>
        </w:rPr>
        <w:t xml:space="preserve">While discrimination could possibly supersede some parts of the Human Rights Acts, discrimination in the Charter takes a further step (s. 1), where the onus will be on the state.  </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Three Main Approaches to s15.</w:t>
      </w:r>
    </w:p>
    <w:p w:rsidR="00000000" w:rsidDel="00000000" w:rsidP="00000000" w:rsidRDefault="00000000" w:rsidRPr="00000000">
      <w:pPr>
        <w:numPr>
          <w:ilvl w:val="0"/>
          <w:numId w:val="35"/>
        </w:numPr>
        <w:pBdr/>
        <w:ind w:left="720" w:hanging="360"/>
        <w:contextualSpacing w:val="1"/>
        <w:rPr/>
      </w:pPr>
      <w:r w:rsidDel="00000000" w:rsidR="00000000" w:rsidRPr="00000000">
        <w:rPr>
          <w:rtl w:val="0"/>
        </w:rPr>
        <w:t xml:space="preserve">The first one which was advanced by </w:t>
      </w:r>
      <w:r w:rsidDel="00000000" w:rsidR="00000000" w:rsidRPr="00000000">
        <w:rPr>
          <w:color w:val="9900ff"/>
          <w:rtl w:val="0"/>
        </w:rPr>
        <w:t xml:space="preserve">Peter Hogg</w:t>
      </w:r>
      <w:r w:rsidDel="00000000" w:rsidR="00000000" w:rsidRPr="00000000">
        <w:rPr>
          <w:rtl w:val="0"/>
        </w:rPr>
        <w:t xml:space="preserve">. Every s15 claim would go under s. 15(1), followed by the provisions under s.1. </w:t>
      </w:r>
    </w:p>
    <w:p w:rsidR="00000000" w:rsidDel="00000000" w:rsidP="00000000" w:rsidRDefault="00000000" w:rsidRPr="00000000">
      <w:pPr>
        <w:numPr>
          <w:ilvl w:val="0"/>
          <w:numId w:val="35"/>
        </w:numPr>
        <w:pBdr/>
        <w:ind w:left="720" w:hanging="360"/>
        <w:contextualSpacing w:val="1"/>
        <w:rPr/>
      </w:pPr>
      <w:r w:rsidDel="00000000" w:rsidR="00000000" w:rsidRPr="00000000">
        <w:rPr>
          <w:rtl w:val="0"/>
        </w:rPr>
        <w:t xml:space="preserve">The second which was enunciated by </w:t>
      </w:r>
      <w:r w:rsidDel="00000000" w:rsidR="00000000" w:rsidRPr="00000000">
        <w:rPr>
          <w:color w:val="00ff00"/>
          <w:rtl w:val="0"/>
        </w:rPr>
        <w:t xml:space="preserve">Beverley McLachlin. </w:t>
      </w:r>
      <w:r w:rsidDel="00000000" w:rsidR="00000000" w:rsidRPr="00000000">
        <w:rPr>
          <w:rtl w:val="0"/>
        </w:rPr>
        <w:t xml:space="preserve">This approach weighs into account the reasonableness and fairness of the impugned legislation under s.15(1). Basically whether a fair minded person who weighs the reasons in relation to legislature and would deem whether it is unreasonable or unfair. </w:t>
      </w:r>
    </w:p>
    <w:p w:rsidR="00000000" w:rsidDel="00000000" w:rsidP="00000000" w:rsidRDefault="00000000" w:rsidRPr="00000000">
      <w:pPr>
        <w:numPr>
          <w:ilvl w:val="0"/>
          <w:numId w:val="35"/>
        </w:numPr>
        <w:pBdr/>
        <w:ind w:left="720" w:hanging="360"/>
        <w:contextualSpacing w:val="1"/>
        <w:rPr/>
      </w:pPr>
      <w:r w:rsidDel="00000000" w:rsidR="00000000" w:rsidRPr="00000000">
        <w:rPr>
          <w:rtl w:val="0"/>
        </w:rPr>
        <w:t xml:space="preserve">The third approach is also referred </w:t>
      </w:r>
      <w:r w:rsidDel="00000000" w:rsidR="00000000" w:rsidRPr="00000000">
        <w:rPr>
          <w:color w:val="ff9900"/>
          <w:rtl w:val="0"/>
        </w:rPr>
        <w:t xml:space="preserve">“enumerated or analogous grounds”</w:t>
      </w:r>
      <w:r w:rsidDel="00000000" w:rsidR="00000000" w:rsidRPr="00000000">
        <w:rPr>
          <w:rtl w:val="0"/>
        </w:rPr>
        <w:t xml:space="preserve"> approach, which essentially adopts the idea that discrimination is on the enumerated grounds. Section 15(1) is designed to prevent discrimination based on these analogous grounds. </w:t>
      </w:r>
    </w:p>
    <w:p w:rsidR="00000000" w:rsidDel="00000000" w:rsidP="00000000" w:rsidRDefault="00000000" w:rsidRPr="00000000">
      <w:pPr>
        <w:numPr>
          <w:ilvl w:val="0"/>
          <w:numId w:val="35"/>
        </w:numPr>
        <w:pBdr/>
        <w:ind w:left="720" w:hanging="360"/>
        <w:contextualSpacing w:val="1"/>
        <w:rPr/>
      </w:pPr>
      <w:r w:rsidDel="00000000" w:rsidR="00000000" w:rsidRPr="00000000">
        <w:rPr>
          <w:rtl w:val="0"/>
        </w:rPr>
        <w:t xml:space="preserve">Thus, the words “without discrimination” requires more than just a distinction. It is also acts as a  qualifier built in s15 itself to identify the disadvantage</w:t>
      </w:r>
    </w:p>
    <w:p w:rsidR="00000000" w:rsidDel="00000000" w:rsidP="00000000" w:rsidRDefault="00000000" w:rsidRPr="00000000">
      <w:pPr>
        <w:numPr>
          <w:ilvl w:val="0"/>
          <w:numId w:val="35"/>
        </w:numPr>
        <w:pBdr/>
        <w:ind w:left="720" w:hanging="360"/>
        <w:contextualSpacing w:val="1"/>
        <w:rPr/>
      </w:pPr>
      <w:r w:rsidDel="00000000" w:rsidR="00000000" w:rsidRPr="00000000">
        <w:rPr>
          <w:rtl w:val="0"/>
        </w:rPr>
        <w:t xml:space="preserve">A rule which an entire class of persons because of citizenship status not taking into account of educational and professional qualification would infringe s.15 equality rights. </w:t>
      </w:r>
    </w:p>
    <w:p w:rsidR="00000000" w:rsidDel="00000000" w:rsidP="00000000" w:rsidRDefault="00000000" w:rsidRPr="00000000">
      <w:pPr>
        <w:numPr>
          <w:ilvl w:val="0"/>
          <w:numId w:val="35"/>
        </w:numPr>
        <w:pBdr/>
        <w:ind w:left="720" w:hanging="360"/>
        <w:contextualSpacing w:val="1"/>
        <w:rPr/>
      </w:pPr>
      <w:r w:rsidDel="00000000" w:rsidR="00000000" w:rsidRPr="00000000">
        <w:rPr>
          <w:color w:val="9900ff"/>
          <w:rtl w:val="0"/>
        </w:rPr>
        <w:t xml:space="preserve">The Lens</w:t>
      </w:r>
    </w:p>
    <w:p w:rsidR="00000000" w:rsidDel="00000000" w:rsidP="00000000" w:rsidRDefault="00000000" w:rsidRPr="00000000">
      <w:pPr>
        <w:numPr>
          <w:ilvl w:val="0"/>
          <w:numId w:val="35"/>
        </w:numPr>
        <w:pBdr/>
        <w:ind w:left="720" w:hanging="360"/>
        <w:contextualSpacing w:val="1"/>
        <w:rPr/>
      </w:pPr>
      <w:r w:rsidDel="00000000" w:rsidR="00000000" w:rsidRPr="00000000">
        <w:rPr>
          <w:shd w:fill="93c47d" w:val="clear"/>
          <w:rtl w:val="0"/>
        </w:rPr>
        <w:t xml:space="preserve">(1) the perpetuation of prejudice or disadvantage to members of a group on the basis of personal characteristics identified in the enumerated and analogous grounds; and (2) stereotyping on the basis of these grounds that results in a decision that does not correspond to a claimant’s or group’s actual circumstances and characteristics.   The Lens X</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Chapter 3</w:t>
      </w:r>
    </w:p>
    <w:p w:rsidR="00000000" w:rsidDel="00000000" w:rsidP="00000000" w:rsidRDefault="00000000" w:rsidRPr="00000000">
      <w:pPr>
        <w:numPr>
          <w:ilvl w:val="0"/>
          <w:numId w:val="9"/>
        </w:numPr>
        <w:pBdr/>
        <w:ind w:left="720" w:hanging="360"/>
        <w:contextualSpacing w:val="1"/>
        <w:rPr>
          <w:b w:val="1"/>
        </w:rPr>
      </w:pPr>
      <w:r w:rsidDel="00000000" w:rsidR="00000000" w:rsidRPr="00000000">
        <w:rPr>
          <w:b w:val="1"/>
          <w:rtl w:val="0"/>
        </w:rPr>
        <w:t xml:space="preserve">Law v Canada (Minister of Employment and Immigration) CPP, death of spouse</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The issue is whether the provisions infringe s.15(1) of the Canadian Charter of Rights and Freedoms on the ground that they discriminate against persons under the age of 45 on the basis of age, and if, so whether infringement is justified under s.1. </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In Andrews, Judge McInytre says that attempting a fixed and limited formula will not work. A more flexible and nuanced approach is better because it permits the evolution and adaption of society and find new ways to accommodate those differences. </w:t>
      </w:r>
    </w:p>
    <w:p w:rsidR="00000000" w:rsidDel="00000000" w:rsidP="00000000" w:rsidRDefault="00000000" w:rsidRPr="00000000">
      <w:pPr>
        <w:numPr>
          <w:ilvl w:val="0"/>
          <w:numId w:val="9"/>
        </w:numPr>
        <w:pBdr/>
        <w:ind w:left="720" w:hanging="360"/>
        <w:contextualSpacing w:val="1"/>
        <w:rPr/>
      </w:pPr>
      <w:r w:rsidDel="00000000" w:rsidR="00000000" w:rsidRPr="00000000">
        <w:rPr>
          <w:rtl w:val="0"/>
        </w:rPr>
        <w:t xml:space="preserve">Law married Jason in 1980. Mr.Law died in 1991 at the age of 50, while the appellant was 30 years old. They owned a business. When Mr. Law died, the business failed. She applied for the CPP since her husband has contributed so much to it.</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General Approach</w:t>
      </w:r>
    </w:p>
    <w:p w:rsidR="00000000" w:rsidDel="00000000" w:rsidP="00000000" w:rsidRDefault="00000000" w:rsidRPr="00000000">
      <w:pPr>
        <w:numPr>
          <w:ilvl w:val="0"/>
          <w:numId w:val="34"/>
        </w:numPr>
        <w:pBdr/>
        <w:ind w:left="720" w:hanging="360"/>
        <w:contextualSpacing w:val="1"/>
        <w:rPr/>
      </w:pPr>
      <w:r w:rsidDel="00000000" w:rsidR="00000000" w:rsidRPr="00000000">
        <w:rPr>
          <w:rtl w:val="0"/>
        </w:rPr>
        <w:t xml:space="preserve">Whether a law imposes differential treatment between the claimant and others, in purpose of effect.</w:t>
      </w:r>
    </w:p>
    <w:p w:rsidR="00000000" w:rsidDel="00000000" w:rsidP="00000000" w:rsidRDefault="00000000" w:rsidRPr="00000000">
      <w:pPr>
        <w:numPr>
          <w:ilvl w:val="0"/>
          <w:numId w:val="34"/>
        </w:numPr>
        <w:pBdr/>
        <w:ind w:left="720" w:hanging="360"/>
        <w:contextualSpacing w:val="1"/>
        <w:rPr/>
      </w:pPr>
      <w:r w:rsidDel="00000000" w:rsidR="00000000" w:rsidRPr="00000000">
        <w:rPr>
          <w:rtl w:val="0"/>
        </w:rPr>
        <w:t xml:space="preserve">Whether one or more enumerated or analogous grounds of discrimination are the basis for the differential treatment</w:t>
      </w:r>
    </w:p>
    <w:p w:rsidR="00000000" w:rsidDel="00000000" w:rsidP="00000000" w:rsidRDefault="00000000" w:rsidRPr="00000000">
      <w:pPr>
        <w:numPr>
          <w:ilvl w:val="0"/>
          <w:numId w:val="34"/>
        </w:numPr>
        <w:pBdr/>
        <w:ind w:left="720" w:hanging="360"/>
        <w:contextualSpacing w:val="1"/>
        <w:rPr/>
      </w:pPr>
      <w:r w:rsidDel="00000000" w:rsidR="00000000" w:rsidRPr="00000000">
        <w:rPr>
          <w:rtl w:val="0"/>
        </w:rPr>
        <w:t xml:space="preserve">Whether the law in question has a purpose or effect that is discriminatory within the meaning of the equality guarantee</w:t>
      </w:r>
    </w:p>
    <w:p w:rsidR="00000000" w:rsidDel="00000000" w:rsidP="00000000" w:rsidRDefault="00000000" w:rsidRPr="00000000">
      <w:pPr>
        <w:numPr>
          <w:ilvl w:val="0"/>
          <w:numId w:val="10"/>
        </w:numPr>
        <w:pBdr/>
        <w:ind w:left="720" w:hanging="360"/>
        <w:contextualSpacing w:val="1"/>
        <w:rPr/>
      </w:pPr>
      <w:r w:rsidDel="00000000" w:rsidR="00000000" w:rsidRPr="00000000">
        <w:rPr>
          <w:rtl w:val="0"/>
        </w:rPr>
        <w:t xml:space="preserve">The first issue is concerned with the question of whether the law causes differential treatment. The second and third issues are concerned with whether the differential treatment constitutes discrimination in the substantive sense intended by s.15(1).</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Purpose</w:t>
      </w:r>
    </w:p>
    <w:p w:rsidR="00000000" w:rsidDel="00000000" w:rsidP="00000000" w:rsidRDefault="00000000" w:rsidRPr="00000000">
      <w:pPr>
        <w:numPr>
          <w:ilvl w:val="0"/>
          <w:numId w:val="11"/>
        </w:numPr>
        <w:pBdr/>
        <w:ind w:left="720" w:hanging="360"/>
        <w:contextualSpacing w:val="1"/>
        <w:rPr/>
      </w:pPr>
      <w:r w:rsidDel="00000000" w:rsidR="00000000" w:rsidRPr="00000000">
        <w:rPr>
          <w:rtl w:val="0"/>
        </w:rPr>
        <w:t xml:space="preserve">In general terms, the purpose of s.15 is to prevent the violation of </w:t>
      </w:r>
      <w:r w:rsidDel="00000000" w:rsidR="00000000" w:rsidRPr="00000000">
        <w:rPr>
          <w:color w:val="ff00ff"/>
          <w:u w:val="single"/>
          <w:rtl w:val="0"/>
        </w:rPr>
        <w:t xml:space="preserve">human dignity </w:t>
      </w:r>
      <w:r w:rsidDel="00000000" w:rsidR="00000000" w:rsidRPr="00000000">
        <w:rPr>
          <w:rtl w:val="0"/>
        </w:rPr>
        <w:t xml:space="preserve">through the imposition of disadvantage, stereotyping or social prejudice in which all persons are respected and taken into consideration.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Comparative Approach </w:t>
      </w:r>
    </w:p>
    <w:p w:rsidR="00000000" w:rsidDel="00000000" w:rsidP="00000000" w:rsidRDefault="00000000" w:rsidRPr="00000000">
      <w:pPr>
        <w:numPr>
          <w:ilvl w:val="0"/>
          <w:numId w:val="4"/>
        </w:numPr>
        <w:pBdr/>
        <w:ind w:left="720" w:hanging="360"/>
        <w:contextualSpacing w:val="1"/>
        <w:rPr/>
      </w:pPr>
      <w:r w:rsidDel="00000000" w:rsidR="00000000" w:rsidRPr="00000000">
        <w:rPr>
          <w:rtl w:val="0"/>
        </w:rPr>
        <w:t xml:space="preserve">The equality guarantee is a comparative concept, which requires the court to make one or more comparators</w:t>
      </w:r>
    </w:p>
    <w:p w:rsidR="00000000" w:rsidDel="00000000" w:rsidP="00000000" w:rsidRDefault="00000000" w:rsidRPr="00000000">
      <w:pPr>
        <w:numPr>
          <w:ilvl w:val="0"/>
          <w:numId w:val="4"/>
        </w:numPr>
        <w:pBdr/>
        <w:ind w:left="720" w:hanging="360"/>
        <w:contextualSpacing w:val="1"/>
        <w:rPr/>
      </w:pPr>
      <w:r w:rsidDel="00000000" w:rsidR="00000000" w:rsidRPr="00000000">
        <w:rPr>
          <w:rtl w:val="0"/>
        </w:rPr>
        <w:t xml:space="preserve">The claimant generally chooses the person or group to whom he/she is compared to. </w:t>
      </w:r>
    </w:p>
    <w:p w:rsidR="00000000" w:rsidDel="00000000" w:rsidP="00000000" w:rsidRDefault="00000000" w:rsidRPr="00000000">
      <w:pPr>
        <w:numPr>
          <w:ilvl w:val="0"/>
          <w:numId w:val="4"/>
        </w:numPr>
        <w:pBdr/>
        <w:ind w:left="720" w:hanging="360"/>
        <w:contextualSpacing w:val="1"/>
        <w:rPr/>
      </w:pPr>
      <w:r w:rsidDel="00000000" w:rsidR="00000000" w:rsidRPr="00000000">
        <w:rPr>
          <w:rtl w:val="0"/>
        </w:rPr>
        <w:t xml:space="preserve">If there is insufficient evidence for the relevant comparator group, the court may refine the comparison while examining the legislation and the full appreciation of the context.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u w:val="single"/>
          <w:rtl w:val="0"/>
        </w:rPr>
        <w:t xml:space="preserve">Context</w:t>
      </w:r>
    </w:p>
    <w:p w:rsidR="00000000" w:rsidDel="00000000" w:rsidP="00000000" w:rsidRDefault="00000000" w:rsidRPr="00000000">
      <w:pPr>
        <w:numPr>
          <w:ilvl w:val="0"/>
          <w:numId w:val="22"/>
        </w:numPr>
        <w:pBdr/>
        <w:ind w:left="720" w:hanging="360"/>
        <w:contextualSpacing w:val="1"/>
        <w:rPr/>
      </w:pPr>
      <w:r w:rsidDel="00000000" w:rsidR="00000000" w:rsidRPr="00000000">
        <w:rPr>
          <w:rtl w:val="0"/>
        </w:rPr>
        <w:t xml:space="preserve">The contextual factors must be in the perspective in the claimaint’s point of view whether the legislation demeans the claimaint’s human dignity. The focus is both subjective and objective.  The idea is that of a reasonable person who is similar to the claimant takes into the circumstances of the claim. </w:t>
      </w:r>
    </w:p>
    <w:p w:rsidR="00000000" w:rsidDel="00000000" w:rsidP="00000000" w:rsidRDefault="00000000" w:rsidRPr="00000000">
      <w:pPr>
        <w:numPr>
          <w:ilvl w:val="0"/>
          <w:numId w:val="22"/>
        </w:numPr>
        <w:pBdr/>
        <w:ind w:left="720" w:hanging="360"/>
        <w:contextualSpacing w:val="1"/>
        <w:rPr/>
      </w:pPr>
      <w:r w:rsidDel="00000000" w:rsidR="00000000" w:rsidRPr="00000000">
        <w:rPr>
          <w:color w:val="00ff00"/>
          <w:rtl w:val="0"/>
        </w:rPr>
        <w:t xml:space="preserve">a) </w:t>
      </w:r>
      <w:r w:rsidDel="00000000" w:rsidR="00000000" w:rsidRPr="00000000">
        <w:rPr>
          <w:rtl w:val="0"/>
        </w:rPr>
        <w:t xml:space="preserve">Pre-existing disadvantage, stereotyping, prejudice, or vulnerability experienced by the individual or group at issue. Although the claimant’s association is not historically disadvantaged per se, the fact that there is a differential treatment shows that s.15 is infringed</w:t>
      </w:r>
    </w:p>
    <w:p w:rsidR="00000000" w:rsidDel="00000000" w:rsidP="00000000" w:rsidRDefault="00000000" w:rsidRPr="00000000">
      <w:pPr>
        <w:numPr>
          <w:ilvl w:val="0"/>
          <w:numId w:val="22"/>
        </w:numPr>
        <w:pBdr/>
        <w:ind w:left="720" w:hanging="360"/>
        <w:contextualSpacing w:val="1"/>
        <w:rPr/>
      </w:pPr>
      <w:r w:rsidDel="00000000" w:rsidR="00000000" w:rsidRPr="00000000">
        <w:rPr>
          <w:rtl w:val="0"/>
        </w:rPr>
        <w:t xml:space="preserve">A clear distinction is drawn between claimants over and under age 35, and also between claimants that are over age 45 and those between the ages of 35 and 45.</w:t>
      </w:r>
    </w:p>
    <w:p w:rsidR="00000000" w:rsidDel="00000000" w:rsidP="00000000" w:rsidRDefault="00000000" w:rsidRPr="00000000">
      <w:pPr>
        <w:numPr>
          <w:ilvl w:val="0"/>
          <w:numId w:val="22"/>
        </w:numPr>
        <w:pBdr/>
        <w:ind w:left="720" w:hanging="360"/>
        <w:contextualSpacing w:val="1"/>
        <w:rPr/>
      </w:pPr>
      <w:r w:rsidDel="00000000" w:rsidR="00000000" w:rsidRPr="00000000">
        <w:rPr>
          <w:color w:val="00ffff"/>
          <w:rtl w:val="0"/>
        </w:rPr>
        <w:t xml:space="preserve">b) </w:t>
      </w:r>
      <w:r w:rsidDel="00000000" w:rsidR="00000000" w:rsidRPr="00000000">
        <w:rPr>
          <w:rtl w:val="0"/>
        </w:rPr>
        <w:t xml:space="preserve">The correspondence, or lack thereof, between the ground or grounds on which the claim is based and the actual need, capacity, or circumstances of the claimant or others. </w:t>
      </w:r>
    </w:p>
    <w:p w:rsidR="00000000" w:rsidDel="00000000" w:rsidP="00000000" w:rsidRDefault="00000000" w:rsidRPr="00000000">
      <w:pPr>
        <w:numPr>
          <w:ilvl w:val="0"/>
          <w:numId w:val="22"/>
        </w:numPr>
        <w:pBdr/>
        <w:ind w:left="720" w:hanging="360"/>
        <w:contextualSpacing w:val="1"/>
        <w:rPr/>
      </w:pPr>
      <w:r w:rsidDel="00000000" w:rsidR="00000000" w:rsidRPr="00000000">
        <w:rPr>
          <w:rtl w:val="0"/>
        </w:rPr>
        <w:t xml:space="preserve">The appellant makes the claim based on age. However, the legislation does not rely only on age. It is an interplay of factors such as age, disability and with dependent children.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22"/>
        </w:numPr>
        <w:pBdr/>
        <w:ind w:left="720" w:hanging="360"/>
        <w:contextualSpacing w:val="1"/>
        <w:rPr>
          <w:color w:val="ff0000"/>
        </w:rPr>
      </w:pPr>
      <w:r w:rsidDel="00000000" w:rsidR="00000000" w:rsidRPr="00000000">
        <w:rPr>
          <w:color w:val="ff0000"/>
          <w:rtl w:val="0"/>
        </w:rPr>
        <w:t xml:space="preserve">c) </w:t>
      </w:r>
      <w:r w:rsidDel="00000000" w:rsidR="00000000" w:rsidRPr="00000000">
        <w:rPr>
          <w:rtl w:val="0"/>
        </w:rPr>
        <w:t xml:space="preserve">The ameliorative purpose or effects of the impugned law upon a more disadvantaged person or group in society…. This factor is more relevant where the s.15 claim is brought by a more advantaged member of society.</w:t>
      </w:r>
    </w:p>
    <w:p w:rsidR="00000000" w:rsidDel="00000000" w:rsidP="00000000" w:rsidRDefault="00000000" w:rsidRPr="00000000">
      <w:pPr>
        <w:numPr>
          <w:ilvl w:val="0"/>
          <w:numId w:val="22"/>
        </w:numPr>
        <w:pBdr/>
        <w:ind w:left="720" w:hanging="360"/>
        <w:contextualSpacing w:val="1"/>
        <w:rPr/>
      </w:pPr>
      <w:r w:rsidDel="00000000" w:rsidR="00000000" w:rsidRPr="00000000">
        <w:rPr>
          <w:rtl w:val="0"/>
        </w:rPr>
        <w:t xml:space="preserve">Says that there is no correlation between the survivor’s age and the death of the spouse</w:t>
      </w:r>
    </w:p>
    <w:p w:rsidR="00000000" w:rsidDel="00000000" w:rsidP="00000000" w:rsidRDefault="00000000" w:rsidRPr="00000000">
      <w:pPr>
        <w:numPr>
          <w:ilvl w:val="0"/>
          <w:numId w:val="22"/>
        </w:numPr>
        <w:pBdr/>
        <w:ind w:left="720" w:hanging="360"/>
        <w:contextualSpacing w:val="1"/>
        <w:rPr/>
      </w:pPr>
      <w:r w:rsidDel="00000000" w:rsidR="00000000" w:rsidRPr="00000000">
        <w:rPr>
          <w:rtl w:val="0"/>
        </w:rPr>
        <w:t xml:space="preserve">Says there is an assumption that young people can easily find a job, or in other words there is no evidence to support that</w:t>
      </w:r>
    </w:p>
    <w:p w:rsidR="00000000" w:rsidDel="00000000" w:rsidP="00000000" w:rsidRDefault="00000000" w:rsidRPr="00000000">
      <w:pPr>
        <w:numPr>
          <w:ilvl w:val="0"/>
          <w:numId w:val="22"/>
        </w:numPr>
        <w:pBdr/>
        <w:ind w:left="720" w:hanging="360"/>
        <w:contextualSpacing w:val="1"/>
        <w:rPr/>
      </w:pPr>
      <w:r w:rsidDel="00000000" w:rsidR="00000000" w:rsidRPr="00000000">
        <w:rPr>
          <w:rtl w:val="0"/>
        </w:rPr>
        <w:t xml:space="preserve">Says that the legislation is treating older people more “worthy” than younger adults.</w:t>
      </w:r>
    </w:p>
    <w:p w:rsidR="00000000" w:rsidDel="00000000" w:rsidP="00000000" w:rsidRDefault="00000000" w:rsidRPr="00000000">
      <w:pPr>
        <w:numPr>
          <w:ilvl w:val="0"/>
          <w:numId w:val="22"/>
        </w:numPr>
        <w:pBdr/>
        <w:ind w:left="720" w:hanging="360"/>
        <w:contextualSpacing w:val="1"/>
        <w:rPr>
          <w:shd w:fill="ff9900" w:val="clear"/>
        </w:rPr>
      </w:pPr>
      <w:r w:rsidDel="00000000" w:rsidR="00000000" w:rsidRPr="00000000">
        <w:rPr>
          <w:shd w:fill="ff9900" w:val="clear"/>
          <w:rtl w:val="0"/>
        </w:rPr>
        <w:t xml:space="preserve">The purpose of the CPP is for people who find it difficult to find employment.</w:t>
      </w:r>
    </w:p>
    <w:p w:rsidR="00000000" w:rsidDel="00000000" w:rsidP="00000000" w:rsidRDefault="00000000" w:rsidRPr="00000000">
      <w:pPr>
        <w:numPr>
          <w:ilvl w:val="0"/>
          <w:numId w:val="22"/>
        </w:numPr>
        <w:pBdr/>
        <w:ind w:left="720" w:hanging="360"/>
        <w:contextualSpacing w:val="1"/>
        <w:rPr>
          <w:shd w:fill="ff9900" w:val="clear"/>
        </w:rPr>
      </w:pPr>
      <w:r w:rsidDel="00000000" w:rsidR="00000000" w:rsidRPr="00000000">
        <w:rPr>
          <w:shd w:fill="ff9900" w:val="clear"/>
          <w:rtl w:val="0"/>
        </w:rPr>
        <w:t xml:space="preserve">It is easy for widowed women to find employment especially for early twenties and late. Further, they usually re-marry</w:t>
      </w:r>
    </w:p>
    <w:p w:rsidR="00000000" w:rsidDel="00000000" w:rsidP="00000000" w:rsidRDefault="00000000" w:rsidRPr="00000000">
      <w:pPr>
        <w:numPr>
          <w:ilvl w:val="0"/>
          <w:numId w:val="22"/>
        </w:numPr>
        <w:pBdr/>
        <w:ind w:left="720" w:hanging="360"/>
        <w:contextualSpacing w:val="1"/>
        <w:rPr>
          <w:shd w:fill="ff9900" w:val="clear"/>
        </w:rPr>
      </w:pPr>
      <w:r w:rsidDel="00000000" w:rsidR="00000000" w:rsidRPr="00000000">
        <w:rPr>
          <w:shd w:fill="ff9900" w:val="clear"/>
          <w:rtl w:val="0"/>
        </w:rPr>
        <w:t xml:space="preserve">Says that there are hundreds of cases and statistical evidence that can prove those assumptions wrong</w:t>
      </w:r>
    </w:p>
    <w:p w:rsidR="00000000" w:rsidDel="00000000" w:rsidP="00000000" w:rsidRDefault="00000000" w:rsidRPr="00000000">
      <w:pPr>
        <w:numPr>
          <w:ilvl w:val="0"/>
          <w:numId w:val="22"/>
        </w:numPr>
        <w:pBdr/>
        <w:ind w:left="720" w:hanging="360"/>
        <w:contextualSpacing w:val="1"/>
        <w:rPr>
          <w:shd w:fill="ff9900" w:val="clear"/>
        </w:rPr>
      </w:pPr>
      <w:r w:rsidDel="00000000" w:rsidR="00000000" w:rsidRPr="00000000">
        <w:rPr>
          <w:shd w:fill="ff9900" w:val="clear"/>
          <w:rtl w:val="0"/>
        </w:rPr>
        <w:t xml:space="preserve">Says that the purpose of CPP is to accommodate not the imeediate financial needs of surviving spoues, but their long-term financial needs of older widows ********</w:t>
      </w:r>
    </w:p>
    <w:p w:rsidR="00000000" w:rsidDel="00000000" w:rsidP="00000000" w:rsidRDefault="00000000" w:rsidRPr="00000000">
      <w:pPr>
        <w:numPr>
          <w:ilvl w:val="0"/>
          <w:numId w:val="22"/>
        </w:numPr>
        <w:pBdr/>
        <w:ind w:left="720" w:hanging="360"/>
        <w:contextualSpacing w:val="1"/>
        <w:rPr>
          <w:shd w:fill="ff9900" w:val="clear"/>
        </w:rPr>
      </w:pPr>
      <w:r w:rsidDel="00000000" w:rsidR="00000000" w:rsidRPr="00000000">
        <w:rPr>
          <w:shd w:fill="ff9900" w:val="clear"/>
          <w:rtl w:val="0"/>
        </w:rPr>
        <w:t xml:space="preserve">Says that the assumptions are also wrong, because old people do not have the benefit of being young or to be recently trained in modern skills. Young people are inherently better able to initiate and maintain long-term labour force participation.</w:t>
      </w:r>
    </w:p>
    <w:p w:rsidR="00000000" w:rsidDel="00000000" w:rsidP="00000000" w:rsidRDefault="00000000" w:rsidRPr="00000000">
      <w:pPr>
        <w:numPr>
          <w:ilvl w:val="0"/>
          <w:numId w:val="22"/>
        </w:numPr>
        <w:pBdr/>
        <w:ind w:left="720" w:hanging="360"/>
        <w:contextualSpacing w:val="1"/>
        <w:rPr>
          <w:shd w:fill="ff9900" w:val="clear"/>
        </w:rPr>
      </w:pPr>
      <w:r w:rsidDel="00000000" w:rsidR="00000000" w:rsidRPr="00000000">
        <w:rPr>
          <w:shd w:fill="ff9900" w:val="clear"/>
          <w:rtl w:val="0"/>
        </w:rPr>
        <w:t xml:space="preserve">Says that it most importantly is not discriminatory, if it serves the ameliorative purpose of helping those in need (those with children and or disabled)*******</w:t>
      </w:r>
    </w:p>
    <w:p w:rsidR="00000000" w:rsidDel="00000000" w:rsidP="00000000" w:rsidRDefault="00000000" w:rsidRPr="00000000">
      <w:pPr>
        <w:numPr>
          <w:ilvl w:val="0"/>
          <w:numId w:val="22"/>
        </w:numPr>
        <w:pBdr/>
        <w:ind w:left="720" w:hanging="360"/>
        <w:contextualSpacing w:val="1"/>
        <w:rPr>
          <w:shd w:fill="ff9900" w:val="clear"/>
        </w:rPr>
      </w:pPr>
      <w:r w:rsidDel="00000000" w:rsidR="00000000" w:rsidRPr="00000000">
        <w:rPr>
          <w:shd w:fill="ff9900" w:val="clear"/>
          <w:rtl w:val="0"/>
        </w:rPr>
        <w:t xml:space="preserve">Stresses the idea that the leg’n is not saying she is not less worthy, but that it will be delayed until she reaches retirement age********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22"/>
        </w:numPr>
        <w:pBdr/>
        <w:ind w:left="720" w:hanging="360"/>
        <w:contextualSpacing w:val="1"/>
        <w:rPr>
          <w:color w:val="9900ff"/>
        </w:rPr>
      </w:pPr>
      <w:r w:rsidDel="00000000" w:rsidR="00000000" w:rsidRPr="00000000">
        <w:rPr>
          <w:color w:val="9900ff"/>
          <w:rtl w:val="0"/>
        </w:rPr>
        <w:t xml:space="preserve">d) </w:t>
      </w:r>
      <w:r w:rsidDel="00000000" w:rsidR="00000000" w:rsidRPr="00000000">
        <w:rPr>
          <w:rtl w:val="0"/>
        </w:rPr>
        <w:t xml:space="preserve">The nature and scope of the interest affected by the impugned law. The more severe and localized the consequences of the legislation for the affected group, the more likely it will be discriminatory for the purposes of s.15. </w:t>
      </w:r>
    </w:p>
    <w:p w:rsidR="00000000" w:rsidDel="00000000" w:rsidP="00000000" w:rsidRDefault="00000000" w:rsidRPr="00000000">
      <w:pPr>
        <w:numPr>
          <w:ilvl w:val="0"/>
          <w:numId w:val="22"/>
        </w:numPr>
        <w:pBdr/>
        <w:ind w:left="720" w:hanging="360"/>
        <w:contextualSpacing w:val="1"/>
        <w:rPr/>
      </w:pPr>
      <w:r w:rsidDel="00000000" w:rsidR="00000000" w:rsidRPr="00000000">
        <w:rPr>
          <w:rtl w:val="0"/>
        </w:rPr>
        <w:t xml:space="preserve">When analyzing the case at bar looking at the social,political and legal context of the case there is no discrimination.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R.v. Kapp</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Non- aboriginal Commercial fishes held that s.15 was violated, granting members to Aboriginals to fish. </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In Andrews, McIntyre J. viewed discriminatory impact through the lens of two concepts</w:t>
      </w:r>
    </w:p>
    <w:p w:rsidR="00000000" w:rsidDel="00000000" w:rsidP="00000000" w:rsidRDefault="00000000" w:rsidRPr="00000000">
      <w:pPr>
        <w:numPr>
          <w:ilvl w:val="0"/>
          <w:numId w:val="5"/>
        </w:numPr>
        <w:pBdr/>
        <w:ind w:left="720" w:hanging="360"/>
        <w:contextualSpacing w:val="1"/>
        <w:rPr>
          <w:highlight w:val="green"/>
        </w:rPr>
      </w:pPr>
      <w:r w:rsidDel="00000000" w:rsidR="00000000" w:rsidRPr="00000000">
        <w:rPr>
          <w:highlight w:val="green"/>
          <w:rtl w:val="0"/>
        </w:rPr>
        <w:t xml:space="preserve">(1) the perpetuation of prejudice or disadvantage to members of a group on the basis of personal characteristics identified in the enumerated and analogous grounds; and (2) stereotyping on the basis of these grounds that results in a decision that does not correspond to a claimant’s or group’s actual circumstances and characteristics.</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A decade later it used the test in Law: pre existing disadvantage, degree of correspondence between the differential treatment and the claimant groups reality, whether the law or program has an ameliorative purpose or effect, and the nature of the interest affected. </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Human dignity was the legal test, but even with the four contextual factors it is difficult to apply****</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It puts a burden on the claimants, eschewing the philosophical enhancement it was intended to be. ****</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Law has also somewhat resurfaced parts of </w:t>
      </w:r>
      <w:r w:rsidDel="00000000" w:rsidR="00000000" w:rsidRPr="00000000">
        <w:rPr>
          <w:i w:val="1"/>
          <w:rtl w:val="0"/>
        </w:rPr>
        <w:t xml:space="preserve">Andrews </w:t>
      </w:r>
      <w:r w:rsidDel="00000000" w:rsidR="00000000" w:rsidRPr="00000000">
        <w:rPr>
          <w:rtl w:val="0"/>
        </w:rPr>
        <w:t xml:space="preserve">on the comparator analysis in treating likes alike.  *****</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Pre-existing disadvantage and the nature of the interest affected( 1 and 4) go to perpetuation of disadvantage and prejudice, while the second factors deals with stereotyping. The ameliorative purpose of a law or program (the third factor in law) goes to whether the purpose is remedial within the meaning of s.15(2).</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When reading in this way, the Law test does not impose a distinctive test for discrimination, rather affirms the approach to substantive equality under s.15 set out in Andrews.</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The factors cited in Law should not be read literally as if they were legislative dispositions, but as a way of focusing on the goal of s.15  identified in Andrews- combatting discrimination, defined in terms of perpetuating disadvantage and stereotyping. *****</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Under s.15(1), the focus is on preventing governments from making distinctions based on the enumerated or analogous ground that: </w:t>
      </w:r>
      <w:r w:rsidDel="00000000" w:rsidR="00000000" w:rsidRPr="00000000">
        <w:rPr>
          <w:u w:val="single"/>
          <w:rtl w:val="0"/>
        </w:rPr>
        <w:t xml:space="preserve">have the effect of perpetuating group disadvantage and prejudice; or impose disadvantage on the basis of stereotyping. ***</w:t>
      </w:r>
    </w:p>
    <w:p w:rsidR="00000000" w:rsidDel="00000000" w:rsidP="00000000" w:rsidRDefault="00000000" w:rsidRPr="00000000">
      <w:pPr>
        <w:numPr>
          <w:ilvl w:val="0"/>
          <w:numId w:val="5"/>
        </w:numPr>
        <w:pBdr/>
        <w:ind w:left="720" w:hanging="360"/>
        <w:contextualSpacing w:val="1"/>
        <w:rPr/>
      </w:pPr>
      <w:r w:rsidDel="00000000" w:rsidR="00000000" w:rsidRPr="00000000">
        <w:rPr>
          <w:rtl w:val="0"/>
        </w:rPr>
        <w:t xml:space="preserve">Under s.15(2), the focus is on enabling governments to pro-actively combat existing discrimination through affirmative measures. ***</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Chapter 4</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Withler v. Canada (Canadian Forces)</w:t>
      </w:r>
    </w:p>
    <w:p w:rsidR="00000000" w:rsidDel="00000000" w:rsidP="00000000" w:rsidRDefault="00000000" w:rsidRPr="00000000">
      <w:pPr>
        <w:numPr>
          <w:ilvl w:val="0"/>
          <w:numId w:val="43"/>
        </w:numPr>
        <w:pBdr/>
        <w:ind w:left="720" w:hanging="360"/>
        <w:contextualSpacing w:val="1"/>
        <w:rPr/>
      </w:pPr>
      <w:r w:rsidDel="00000000" w:rsidR="00000000" w:rsidRPr="00000000">
        <w:rPr>
          <w:rtl w:val="0"/>
        </w:rPr>
        <w:t xml:space="preserve">The plaintiffs are widows whose federal supplementary death benefits were reduced </w:t>
      </w:r>
      <w:r w:rsidDel="00000000" w:rsidR="00000000" w:rsidRPr="00000000">
        <w:rPr>
          <w:u w:val="single"/>
          <w:rtl w:val="0"/>
        </w:rPr>
        <w:t xml:space="preserve">because of the age of their husbands at the time of death</w:t>
      </w:r>
      <w:r w:rsidDel="00000000" w:rsidR="00000000" w:rsidRPr="00000000">
        <w:rPr>
          <w:rtl w:val="0"/>
        </w:rPr>
        <w:t xml:space="preserve">. They argue that the legislation reducing their benefits discriminates on the basis of age, violating the equality guarantee in s. 15(1) of the Canadian Charter of Rights and Freedoms.</w:t>
      </w:r>
    </w:p>
    <w:p w:rsidR="00000000" w:rsidDel="00000000" w:rsidP="00000000" w:rsidRDefault="00000000" w:rsidRPr="00000000">
      <w:pPr>
        <w:numPr>
          <w:ilvl w:val="0"/>
          <w:numId w:val="43"/>
        </w:numPr>
        <w:pBdr/>
        <w:ind w:left="720" w:hanging="360"/>
        <w:contextualSpacing w:val="1"/>
        <w:rPr/>
      </w:pPr>
      <w:r w:rsidDel="00000000" w:rsidR="00000000" w:rsidRPr="00000000">
        <w:rPr>
          <w:u w:val="single"/>
          <w:rtl w:val="0"/>
        </w:rPr>
        <w:t xml:space="preserve">*Considers the comparison and the role of “mirror” comparator groups</w:t>
      </w:r>
      <w:r w:rsidDel="00000000" w:rsidR="00000000" w:rsidRPr="00000000">
        <w:rPr>
          <w:rtl w:val="0"/>
        </w:rPr>
        <w:t xml:space="preserve"> with regards to substantive equality</w:t>
      </w:r>
    </w:p>
    <w:p w:rsidR="00000000" w:rsidDel="00000000" w:rsidP="00000000" w:rsidRDefault="00000000" w:rsidRPr="00000000">
      <w:pPr>
        <w:numPr>
          <w:ilvl w:val="0"/>
          <w:numId w:val="43"/>
        </w:numPr>
        <w:pBdr/>
        <w:ind w:left="720" w:hanging="360"/>
        <w:contextualSpacing w:val="1"/>
        <w:rPr/>
      </w:pPr>
      <w:r w:rsidDel="00000000" w:rsidR="00000000" w:rsidRPr="00000000">
        <w:rPr>
          <w:rtl w:val="0"/>
        </w:rPr>
        <w:t xml:space="preserve">For members of the CAF, it provides a sum payment at the time of the member's death.</w:t>
      </w:r>
      <w:r w:rsidDel="00000000" w:rsidR="00000000" w:rsidRPr="00000000">
        <w:rPr>
          <w:highlight w:val="green"/>
          <w:rtl w:val="0"/>
        </w:rPr>
        <w:t xml:space="preserve"> For younger members</w:t>
      </w:r>
      <w:r w:rsidDel="00000000" w:rsidR="00000000" w:rsidRPr="00000000">
        <w:rPr>
          <w:rtl w:val="0"/>
        </w:rPr>
        <w:t xml:space="preserve"> it is to protect against unexpected death when deceased member’s surviving spouse would be unprotected by a pension or entitled to limited pension funds. </w:t>
      </w:r>
      <w:r w:rsidDel="00000000" w:rsidR="00000000" w:rsidRPr="00000000">
        <w:rPr>
          <w:shd w:fill="9900ff" w:val="clear"/>
          <w:rtl w:val="0"/>
        </w:rPr>
        <w:t xml:space="preserve"> For older members</w:t>
      </w:r>
      <w:r w:rsidDel="00000000" w:rsidR="00000000" w:rsidRPr="00000000">
        <w:rPr>
          <w:rtl w:val="0"/>
        </w:rPr>
        <w:t xml:space="preserve">, the purpose is to assist surviving spouses with the costs of the plan member’s last illness and death. Supplementary death benefit also includes healthcare, dental care, children’s allowance and a student's allowance. </w:t>
      </w:r>
    </w:p>
    <w:p w:rsidR="00000000" w:rsidDel="00000000" w:rsidP="00000000" w:rsidRDefault="00000000" w:rsidRPr="00000000">
      <w:pPr>
        <w:pBdr/>
        <w:contextualSpacing w:val="0"/>
        <w:rPr>
          <w:b w:val="1"/>
        </w:rPr>
      </w:pPr>
      <w:r w:rsidDel="00000000" w:rsidR="00000000" w:rsidRPr="00000000">
        <w:rPr>
          <w:b w:val="1"/>
          <w:rtl w:val="0"/>
        </w:rPr>
        <w:t xml:space="preserve">IV. The Arguments</w:t>
      </w:r>
    </w:p>
    <w:p w:rsidR="00000000" w:rsidDel="00000000" w:rsidP="00000000" w:rsidRDefault="00000000" w:rsidRPr="00000000">
      <w:pPr>
        <w:numPr>
          <w:ilvl w:val="0"/>
          <w:numId w:val="20"/>
        </w:numPr>
        <w:pBdr/>
        <w:ind w:left="720" w:hanging="360"/>
        <w:contextualSpacing w:val="1"/>
        <w:rPr/>
      </w:pPr>
      <w:r w:rsidDel="00000000" w:rsidR="00000000" w:rsidRPr="00000000">
        <w:rPr>
          <w:rtl w:val="0"/>
        </w:rPr>
        <w:t xml:space="preserve">Ms. Withler and Ms. Fitzsimonds argue that the Reduction Provisions create distinctions and impose disadvantages based on age or grounds analogous to age contrary to s.15(1) of the Charter.</w:t>
      </w:r>
    </w:p>
    <w:p w:rsidR="00000000" w:rsidDel="00000000" w:rsidP="00000000" w:rsidRDefault="00000000" w:rsidRPr="00000000">
      <w:pPr>
        <w:numPr>
          <w:ilvl w:val="0"/>
          <w:numId w:val="20"/>
        </w:numPr>
        <w:pBdr/>
        <w:ind w:left="720" w:hanging="360"/>
        <w:contextualSpacing w:val="1"/>
        <w:rPr/>
      </w:pPr>
      <w:r w:rsidDel="00000000" w:rsidR="00000000" w:rsidRPr="00000000">
        <w:rPr>
          <w:rtl w:val="0"/>
        </w:rPr>
        <w:t xml:space="preserve">The claimants contend that the Reduction Provisions are based on an uninformed and inaccurate stereotype </w:t>
      </w:r>
      <w:r w:rsidDel="00000000" w:rsidR="00000000" w:rsidRPr="00000000">
        <w:rPr>
          <w:color w:val="ff9900"/>
          <w:rtl w:val="0"/>
        </w:rPr>
        <w:t xml:space="preserve">that the older one gets the less one needs financial assistance and that the Reduction Provisions do not correspond to their actual needs and circumstances</w:t>
      </w:r>
      <w:r w:rsidDel="00000000" w:rsidR="00000000" w:rsidRPr="00000000">
        <w:rPr>
          <w:rtl w:val="0"/>
        </w:rPr>
        <w:t xml:space="preserve">. *** Finally, the claimants submit that the Reduction Provisions discriminate against them on the basis of age </w:t>
      </w:r>
      <w:r w:rsidDel="00000000" w:rsidR="00000000" w:rsidRPr="00000000">
        <w:rPr>
          <w:color w:val="7f6000"/>
          <w:rtl w:val="0"/>
        </w:rPr>
        <w:t xml:space="preserve">because they perpetuate the belief that as a person ages, he or she becomes less deserving of the benefit or worthy of the state’s care and concern.” ***</w:t>
      </w:r>
    </w:p>
    <w:p w:rsidR="00000000" w:rsidDel="00000000" w:rsidP="00000000" w:rsidRDefault="00000000" w:rsidRPr="00000000">
      <w:pPr>
        <w:numPr>
          <w:ilvl w:val="0"/>
          <w:numId w:val="20"/>
        </w:numPr>
        <w:pBdr/>
        <w:ind w:left="720" w:hanging="360"/>
        <w:contextualSpacing w:val="1"/>
        <w:rPr/>
      </w:pPr>
      <w:r w:rsidDel="00000000" w:rsidR="00000000" w:rsidRPr="00000000">
        <w:rPr>
          <w:rtl w:val="0"/>
        </w:rPr>
        <w:t xml:space="preserve">AG submits that there is no evidence set out in the Reduction Provisions that perpetuates historical disadvantage, prejudice or stereotyping. The supplementary death benefit is, in its view, merely one component of a suite of benefits. The entire suite operates in tandem to provide a reasonable measure of protection for plan members and their families.</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b w:val="1"/>
          <w:rtl w:val="0"/>
        </w:rPr>
        <w:t xml:space="preserve">VI.</w:t>
      </w:r>
      <w:r w:rsidDel="00000000" w:rsidR="00000000" w:rsidRPr="00000000">
        <w:rPr>
          <w:rtl w:val="0"/>
        </w:rPr>
        <w:t xml:space="preserve"> The Issues</w:t>
      </w:r>
    </w:p>
    <w:p w:rsidR="00000000" w:rsidDel="00000000" w:rsidP="00000000" w:rsidRDefault="00000000" w:rsidRPr="00000000">
      <w:pPr>
        <w:numPr>
          <w:ilvl w:val="0"/>
          <w:numId w:val="23"/>
        </w:numPr>
        <w:pBdr/>
        <w:ind w:left="720" w:hanging="360"/>
        <w:contextualSpacing w:val="1"/>
        <w:rPr/>
      </w:pPr>
      <w:r w:rsidDel="00000000" w:rsidR="00000000" w:rsidRPr="00000000">
        <w:rPr>
          <w:rtl w:val="0"/>
        </w:rPr>
        <w:t xml:space="preserve">The</w:t>
      </w:r>
      <w:r w:rsidDel="00000000" w:rsidR="00000000" w:rsidRPr="00000000">
        <w:rPr>
          <w:color w:val="ff0000"/>
          <w:rtl w:val="0"/>
        </w:rPr>
        <w:t xml:space="preserve"> first issue</w:t>
      </w:r>
      <w:r w:rsidDel="00000000" w:rsidR="00000000" w:rsidRPr="00000000">
        <w:rPr>
          <w:rtl w:val="0"/>
        </w:rPr>
        <w:t xml:space="preserve"> is whether the appellants lack standing because their claim is based on the age of  the deceased plan member's rather than their own ages.</w:t>
      </w:r>
    </w:p>
    <w:p w:rsidR="00000000" w:rsidDel="00000000" w:rsidP="00000000" w:rsidRDefault="00000000" w:rsidRPr="00000000">
      <w:pPr>
        <w:numPr>
          <w:ilvl w:val="0"/>
          <w:numId w:val="23"/>
        </w:numPr>
        <w:pBdr/>
        <w:ind w:left="720" w:hanging="360"/>
        <w:contextualSpacing w:val="1"/>
        <w:rPr/>
      </w:pPr>
      <w:r w:rsidDel="00000000" w:rsidR="00000000" w:rsidRPr="00000000">
        <w:rPr>
          <w:rtl w:val="0"/>
        </w:rPr>
        <w:t xml:space="preserve">The </w:t>
      </w:r>
      <w:r w:rsidDel="00000000" w:rsidR="00000000" w:rsidRPr="00000000">
        <w:rPr>
          <w:color w:val="ff0000"/>
          <w:rtl w:val="0"/>
        </w:rPr>
        <w:t xml:space="preserve">second and main issue </w:t>
      </w:r>
      <w:r w:rsidDel="00000000" w:rsidR="00000000" w:rsidRPr="00000000">
        <w:rPr>
          <w:rtl w:val="0"/>
        </w:rPr>
        <w:t xml:space="preserve">is whether the Reduction Provisions discriminate against the claimants. </w:t>
      </w:r>
    </w:p>
    <w:p w:rsidR="00000000" w:rsidDel="00000000" w:rsidP="00000000" w:rsidRDefault="00000000" w:rsidRPr="00000000">
      <w:pPr>
        <w:numPr>
          <w:ilvl w:val="0"/>
          <w:numId w:val="36"/>
        </w:numPr>
        <w:pBdr/>
        <w:ind w:left="720" w:hanging="360"/>
        <w:contextualSpacing w:val="1"/>
        <w:rPr/>
      </w:pPr>
      <w:r w:rsidDel="00000000" w:rsidR="00000000" w:rsidRPr="00000000">
        <w:rPr>
          <w:u w:val="single"/>
          <w:rtl w:val="0"/>
        </w:rPr>
        <w:t xml:space="preserve">Standing</w:t>
      </w:r>
    </w:p>
    <w:p w:rsidR="00000000" w:rsidDel="00000000" w:rsidP="00000000" w:rsidRDefault="00000000" w:rsidRPr="00000000">
      <w:pPr>
        <w:numPr>
          <w:ilvl w:val="0"/>
          <w:numId w:val="3"/>
        </w:numPr>
        <w:pBdr/>
        <w:ind w:left="720" w:hanging="360"/>
        <w:contextualSpacing w:val="1"/>
        <w:rPr/>
      </w:pPr>
      <w:r w:rsidDel="00000000" w:rsidR="00000000" w:rsidRPr="00000000">
        <w:rPr>
          <w:rtl w:val="0"/>
        </w:rPr>
        <w:t xml:space="preserve">Says that if a claim is to be held then it should be from the deceased members, not the surviving spouses that suffer from differential treatment.  </w:t>
      </w:r>
    </w:p>
    <w:p w:rsidR="00000000" w:rsidDel="00000000" w:rsidP="00000000" w:rsidRDefault="00000000" w:rsidRPr="00000000">
      <w:pPr>
        <w:numPr>
          <w:ilvl w:val="0"/>
          <w:numId w:val="3"/>
        </w:numPr>
        <w:pBdr/>
        <w:ind w:left="720" w:hanging="360"/>
        <w:contextualSpacing w:val="1"/>
        <w:rPr/>
      </w:pPr>
      <w:r w:rsidDel="00000000" w:rsidR="00000000" w:rsidRPr="00000000">
        <w:rPr>
          <w:rtl w:val="0"/>
        </w:rPr>
        <w:t xml:space="preserve">Garson J says that there should be a standing, because at least there is still differential treatment from the Reduction provisions.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rtl w:val="0"/>
        </w:rPr>
        <w:t xml:space="preserve">    B. </w:t>
      </w:r>
      <w:r w:rsidDel="00000000" w:rsidR="00000000" w:rsidRPr="00000000">
        <w:rPr>
          <w:u w:val="single"/>
          <w:rtl w:val="0"/>
        </w:rPr>
        <w:t xml:space="preserve">The Equality Claim </w:t>
      </w:r>
    </w:p>
    <w:p w:rsidR="00000000" w:rsidDel="00000000" w:rsidP="00000000" w:rsidRDefault="00000000" w:rsidRPr="00000000">
      <w:pPr>
        <w:numPr>
          <w:ilvl w:val="0"/>
          <w:numId w:val="2"/>
        </w:numPr>
        <w:pBdr/>
        <w:ind w:left="720" w:hanging="360"/>
        <w:contextualSpacing w:val="1"/>
        <w:rPr/>
      </w:pPr>
      <w:r w:rsidDel="00000000" w:rsidR="00000000" w:rsidRPr="00000000">
        <w:rPr>
          <w:rtl w:val="0"/>
        </w:rPr>
        <w:t xml:space="preserve">“The jurisprudence establishes a two-part test for assessing a s. 15(1) claim: </w:t>
      </w:r>
      <w:r w:rsidDel="00000000" w:rsidR="00000000" w:rsidRPr="00000000">
        <w:rPr>
          <w:shd w:fill="ff9900" w:val="clear"/>
          <w:rtl w:val="0"/>
        </w:rPr>
        <w:t xml:space="preserve">(1) Does the law create a distinction based on an enumerated or analogous ground?</w:t>
      </w:r>
      <w:r w:rsidDel="00000000" w:rsidR="00000000" w:rsidRPr="00000000">
        <w:rPr>
          <w:rtl w:val="0"/>
        </w:rPr>
        <w:t xml:space="preserve"> (</w:t>
      </w:r>
      <w:r w:rsidDel="00000000" w:rsidR="00000000" w:rsidRPr="00000000">
        <w:rPr>
          <w:highlight w:val="green"/>
          <w:rtl w:val="0"/>
        </w:rPr>
        <w:t xml:space="preserve">2) Does the distinction create a disadvantage by perpetuating prejudice or stereotyping?</w:t>
      </w:r>
    </w:p>
    <w:p w:rsidR="00000000" w:rsidDel="00000000" w:rsidP="00000000" w:rsidRDefault="00000000" w:rsidRPr="00000000">
      <w:pPr>
        <w:numPr>
          <w:ilvl w:val="0"/>
          <w:numId w:val="2"/>
        </w:numPr>
        <w:pBdr/>
        <w:ind w:left="720" w:hanging="360"/>
        <w:contextualSpacing w:val="1"/>
        <w:rPr/>
      </w:pPr>
      <w:r w:rsidDel="00000000" w:rsidR="00000000" w:rsidRPr="00000000">
        <w:rPr>
          <w:rtl w:val="0"/>
        </w:rPr>
        <w:t xml:space="preserve">Accordingly, in order to establish a violation of s.15(1) a person “must show not only that he or she is not receiving equal treatment before and under the law or that the law has a </w:t>
      </w:r>
      <w:r w:rsidDel="00000000" w:rsidR="00000000" w:rsidRPr="00000000">
        <w:rPr>
          <w:color w:val="ff00ff"/>
          <w:rtl w:val="0"/>
        </w:rPr>
        <w:t xml:space="preserve">differential impact on him or her </w:t>
      </w:r>
      <w:r w:rsidDel="00000000" w:rsidR="00000000" w:rsidRPr="00000000">
        <w:rPr>
          <w:rtl w:val="0"/>
        </w:rPr>
        <w:t xml:space="preserve">in the protection or benefit accorded by law but, in addition, must show that the legislative impact of the law is </w:t>
      </w:r>
      <w:r w:rsidDel="00000000" w:rsidR="00000000" w:rsidRPr="00000000">
        <w:rPr>
          <w:color w:val="ff00ff"/>
          <w:rtl w:val="0"/>
        </w:rPr>
        <w:t xml:space="preserve">discriminatory</w:t>
      </w:r>
      <w:r w:rsidDel="00000000" w:rsidR="00000000" w:rsidRPr="00000000">
        <w:rPr>
          <w:rtl w:val="0"/>
        </w:rPr>
        <w:t xml:space="preserve">”</w:t>
      </w:r>
    </w:p>
    <w:p w:rsidR="00000000" w:rsidDel="00000000" w:rsidP="00000000" w:rsidRDefault="00000000" w:rsidRPr="00000000">
      <w:pPr>
        <w:numPr>
          <w:ilvl w:val="0"/>
          <w:numId w:val="2"/>
        </w:numPr>
        <w:pBdr/>
        <w:ind w:left="720" w:hanging="360"/>
        <w:contextualSpacing w:val="1"/>
        <w:rPr/>
      </w:pPr>
      <w:r w:rsidDel="00000000" w:rsidR="00000000" w:rsidRPr="00000000">
        <w:rPr>
          <w:rtl w:val="0"/>
        </w:rPr>
        <w:t xml:space="preserve">The first step in the s.15 analysis ensures that the courts addressed only those distinctions that were intended to be prohibited by the Charter or enumerated and analogous grounds.  </w:t>
      </w:r>
    </w:p>
    <w:p w:rsidR="00000000" w:rsidDel="00000000" w:rsidP="00000000" w:rsidRDefault="00000000" w:rsidRPr="00000000">
      <w:pPr>
        <w:numPr>
          <w:ilvl w:val="0"/>
          <w:numId w:val="2"/>
        </w:numPr>
        <w:pBdr/>
        <w:ind w:left="720" w:hanging="360"/>
        <w:contextualSpacing w:val="1"/>
        <w:rPr/>
      </w:pPr>
      <w:r w:rsidDel="00000000" w:rsidR="00000000" w:rsidRPr="00000000">
        <w:rPr>
          <w:b w:val="1"/>
          <w:rtl w:val="0"/>
        </w:rPr>
        <w:t xml:space="preserve">The first way in which substantive equality to occur or discrimination to take place is by showing that the impugned law in purpose of effect, perpetuates prejudice and disadvanta</w:t>
      </w:r>
      <w:r w:rsidDel="00000000" w:rsidR="00000000" w:rsidRPr="00000000">
        <w:rPr>
          <w:rtl w:val="0"/>
        </w:rPr>
        <w:t xml:space="preserve">ge to members of a group on the basis of personal characteristics within s.15(1). </w:t>
      </w:r>
    </w:p>
    <w:p w:rsidR="00000000" w:rsidDel="00000000" w:rsidP="00000000" w:rsidRDefault="00000000" w:rsidRPr="00000000">
      <w:pPr>
        <w:numPr>
          <w:ilvl w:val="0"/>
          <w:numId w:val="2"/>
        </w:numPr>
        <w:pBdr/>
        <w:ind w:left="720" w:hanging="360"/>
        <w:contextualSpacing w:val="1"/>
        <w:rPr/>
      </w:pPr>
      <w:r w:rsidDel="00000000" w:rsidR="00000000" w:rsidRPr="00000000">
        <w:rPr>
          <w:b w:val="1"/>
          <w:rtl w:val="0"/>
        </w:rPr>
        <w:t xml:space="preserve">The second way that substantive inequality may be established is by showing that the disadvantage imposed by the law is based on a stereotype that does not correspond to the actual circumstances and characteristics of the claimant or claimant group. </w:t>
      </w:r>
      <w:r w:rsidDel="00000000" w:rsidR="00000000" w:rsidRPr="00000000">
        <w:rPr>
          <w:rtl w:val="0"/>
        </w:rPr>
        <w:t xml:space="preserve">Typically, such stereotyping results in perpetuation of prejudice and disadvantage.</w:t>
      </w:r>
    </w:p>
    <w:p w:rsidR="00000000" w:rsidDel="00000000" w:rsidP="00000000" w:rsidRDefault="00000000" w:rsidRPr="00000000">
      <w:pPr>
        <w:numPr>
          <w:ilvl w:val="0"/>
          <w:numId w:val="2"/>
        </w:numPr>
        <w:pBdr/>
        <w:ind w:left="720" w:hanging="360"/>
        <w:contextualSpacing w:val="1"/>
        <w:rPr/>
      </w:pPr>
      <w:r w:rsidDel="00000000" w:rsidR="00000000" w:rsidRPr="00000000">
        <w:rPr>
          <w:rtl w:val="0"/>
        </w:rPr>
        <w:t xml:space="preserve">The analysis is </w:t>
      </w:r>
      <w:r w:rsidDel="00000000" w:rsidR="00000000" w:rsidRPr="00000000">
        <w:rPr>
          <w:b w:val="1"/>
          <w:u w:val="single"/>
          <w:rtl w:val="0"/>
        </w:rPr>
        <w:t xml:space="preserve">contextual </w:t>
      </w:r>
      <w:r w:rsidDel="00000000" w:rsidR="00000000" w:rsidRPr="00000000">
        <w:rPr>
          <w:rtl w:val="0"/>
        </w:rPr>
        <w:t xml:space="preserve">not formalistic.</w:t>
      </w:r>
    </w:p>
    <w:p w:rsidR="00000000" w:rsidDel="00000000" w:rsidP="00000000" w:rsidRDefault="00000000" w:rsidRPr="00000000">
      <w:pPr>
        <w:numPr>
          <w:ilvl w:val="0"/>
          <w:numId w:val="2"/>
        </w:numPr>
        <w:pBdr/>
        <w:ind w:left="720" w:hanging="360"/>
        <w:contextualSpacing w:val="1"/>
        <w:rPr/>
      </w:pPr>
      <w:r w:rsidDel="00000000" w:rsidR="00000000" w:rsidRPr="00000000">
        <w:rPr>
          <w:rFonts w:ascii="Arial Unicode MS" w:cs="Arial Unicode MS" w:eastAsia="Arial Unicode MS" w:hAnsi="Arial Unicode MS"/>
          <w:rtl w:val="0"/>
        </w:rPr>
        <w:t xml:space="preserve">Withler 38 → Nancy Law again</w:t>
      </w:r>
    </w:p>
    <w:p w:rsidR="00000000" w:rsidDel="00000000" w:rsidP="00000000" w:rsidRDefault="00000000" w:rsidRPr="00000000">
      <w:pPr>
        <w:numPr>
          <w:ilvl w:val="0"/>
          <w:numId w:val="2"/>
        </w:numPr>
        <w:pBdr/>
        <w:ind w:left="720" w:hanging="360"/>
        <w:contextualSpacing w:val="1"/>
        <w:rPr>
          <w:color w:val="0000ff"/>
        </w:rPr>
      </w:pPr>
      <w:r w:rsidDel="00000000" w:rsidR="00000000" w:rsidRPr="00000000">
        <w:rPr>
          <w:color w:val="0000ff"/>
          <w:rtl w:val="0"/>
        </w:rPr>
        <w:t xml:space="preserve">The importance of substantive equality is that it takes full account of social, poltiical, economic and historical factors concerning the group. The result may be to reveal differential treatment is discriminatory because of prejudicial impact or negative stereotyping. Or it may reveal that differential treatment is required in order to ameliorate the actual situation of the claimant group. </w:t>
      </w:r>
    </w:p>
    <w:p w:rsidR="00000000" w:rsidDel="00000000" w:rsidP="00000000" w:rsidRDefault="00000000" w:rsidRPr="00000000">
      <w:pPr>
        <w:numPr>
          <w:ilvl w:val="0"/>
          <w:numId w:val="2"/>
        </w:numPr>
        <w:pBdr/>
        <w:ind w:left="720" w:hanging="360"/>
        <w:contextualSpacing w:val="1"/>
        <w:rPr/>
      </w:pPr>
      <w:r w:rsidDel="00000000" w:rsidR="00000000" w:rsidRPr="00000000">
        <w:rPr>
          <w:rtl w:val="0"/>
        </w:rPr>
        <w:t xml:space="preserve">What is required is not formal comparison with a selected mirror comparator group, but an approach that looks at the </w:t>
      </w:r>
      <w:r w:rsidDel="00000000" w:rsidR="00000000" w:rsidRPr="00000000">
        <w:rPr>
          <w:color w:val="9900ff"/>
          <w:rtl w:val="0"/>
        </w:rPr>
        <w:t xml:space="preserve">full context, including the situation of the claimant group and whether the impact of the impugned law is to perpetuate disadvantage or negative stereotypes about that group.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Kahkewistahaw First Nation v. Taypotat, 2015 SCC 30</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numPr>
          <w:ilvl w:val="0"/>
          <w:numId w:val="21"/>
        </w:numPr>
        <w:pBdr/>
        <w:ind w:left="720" w:hanging="360"/>
        <w:contextualSpacing w:val="1"/>
        <w:rPr/>
      </w:pPr>
      <w:r w:rsidDel="00000000" w:rsidR="00000000" w:rsidRPr="00000000">
        <w:rPr>
          <w:rtl w:val="0"/>
        </w:rPr>
        <w:t xml:space="preserve">In the 1996 Report of the Royal Commission on Aboriginal Peoples says that education is </w:t>
      </w:r>
      <w:r w:rsidDel="00000000" w:rsidR="00000000" w:rsidRPr="00000000">
        <w:rPr>
          <w:b w:val="1"/>
          <w:rtl w:val="0"/>
        </w:rPr>
        <w:t xml:space="preserve">good for well-being and self-governmen</w:t>
      </w:r>
      <w:r w:rsidDel="00000000" w:rsidR="00000000" w:rsidRPr="00000000">
        <w:rPr>
          <w:rtl w:val="0"/>
        </w:rPr>
        <w:t xml:space="preserve">t. </w:t>
      </w:r>
    </w:p>
    <w:p w:rsidR="00000000" w:rsidDel="00000000" w:rsidP="00000000" w:rsidRDefault="00000000" w:rsidRPr="00000000">
      <w:pPr>
        <w:numPr>
          <w:ilvl w:val="0"/>
          <w:numId w:val="21"/>
        </w:numPr>
        <w:pBdr/>
        <w:ind w:left="720" w:hanging="360"/>
        <w:contextualSpacing w:val="1"/>
        <w:rPr/>
      </w:pPr>
      <w:r w:rsidDel="00000000" w:rsidR="00000000" w:rsidRPr="00000000">
        <w:rPr>
          <w:rtl w:val="0"/>
        </w:rPr>
        <w:t xml:space="preserve">The new election code held that</w:t>
      </w:r>
      <w:r w:rsidDel="00000000" w:rsidR="00000000" w:rsidRPr="00000000">
        <w:rPr>
          <w:b w:val="1"/>
          <w:rtl w:val="0"/>
        </w:rPr>
        <w:t xml:space="preserve"> gr 12</w:t>
      </w:r>
      <w:r w:rsidDel="00000000" w:rsidR="00000000" w:rsidRPr="00000000">
        <w:rPr>
          <w:rtl w:val="0"/>
        </w:rPr>
        <w:t xml:space="preserve"> was needed for the new Chief or Band councillor. This prevented Louis Taypotat from being re-elected again. </w:t>
      </w:r>
    </w:p>
    <w:p w:rsidR="00000000" w:rsidDel="00000000" w:rsidP="00000000" w:rsidRDefault="00000000" w:rsidRPr="00000000">
      <w:pPr>
        <w:numPr>
          <w:ilvl w:val="0"/>
          <w:numId w:val="21"/>
        </w:numPr>
        <w:pBdr/>
        <w:ind w:left="720" w:hanging="360"/>
        <w:contextualSpacing w:val="1"/>
        <w:rPr/>
      </w:pPr>
      <w:r w:rsidDel="00000000" w:rsidR="00000000" w:rsidRPr="00000000">
        <w:rPr>
          <w:rtl w:val="0"/>
        </w:rPr>
        <w:t xml:space="preserve">The first part of the s.15 analysis therefore asks whether on its face or in its impact, a law creates a distinction on the </w:t>
      </w:r>
      <w:r w:rsidDel="00000000" w:rsidR="00000000" w:rsidRPr="00000000">
        <w:rPr>
          <w:b w:val="1"/>
          <w:rtl w:val="0"/>
        </w:rPr>
        <w:t xml:space="preserve">basis of an enumerated or analogous grounds.</w:t>
      </w:r>
    </w:p>
    <w:p w:rsidR="00000000" w:rsidDel="00000000" w:rsidP="00000000" w:rsidRDefault="00000000" w:rsidRPr="00000000">
      <w:pPr>
        <w:numPr>
          <w:ilvl w:val="0"/>
          <w:numId w:val="21"/>
        </w:numPr>
        <w:pBdr/>
        <w:ind w:left="720" w:hanging="360"/>
        <w:contextualSpacing w:val="1"/>
        <w:rPr/>
      </w:pPr>
      <w:r w:rsidDel="00000000" w:rsidR="00000000" w:rsidRPr="00000000">
        <w:rPr>
          <w:rtl w:val="0"/>
        </w:rPr>
        <w:t xml:space="preserve">The second part of the analysis focuses on arbitrary or discriminatory disadvantage, that is, </w:t>
      </w:r>
      <w:r w:rsidDel="00000000" w:rsidR="00000000" w:rsidRPr="00000000">
        <w:rPr>
          <w:b w:val="1"/>
          <w:rtl w:val="0"/>
        </w:rPr>
        <w:t xml:space="preserve">whether the impugned law fails to respond to the actual capacities and needs of the members of the group </w:t>
      </w:r>
      <w:r w:rsidDel="00000000" w:rsidR="00000000" w:rsidRPr="00000000">
        <w:rPr>
          <w:rtl w:val="0"/>
        </w:rPr>
        <w:t xml:space="preserve">and instead imposes burdens or denies a benefit in a manner that has the effect of perpetuating their disadvantage. </w:t>
      </w:r>
    </w:p>
    <w:p w:rsidR="00000000" w:rsidDel="00000000" w:rsidP="00000000" w:rsidRDefault="00000000" w:rsidRPr="00000000">
      <w:pPr>
        <w:numPr>
          <w:ilvl w:val="0"/>
          <w:numId w:val="21"/>
        </w:numPr>
        <w:pBdr/>
        <w:ind w:left="720" w:hanging="360"/>
        <w:contextualSpacing w:val="1"/>
        <w:rPr/>
      </w:pPr>
      <w:r w:rsidDel="00000000" w:rsidR="00000000" w:rsidRPr="00000000">
        <w:rPr>
          <w:rtl w:val="0"/>
        </w:rPr>
        <w:t xml:space="preserve">In </w:t>
      </w:r>
      <w:r w:rsidDel="00000000" w:rsidR="00000000" w:rsidRPr="00000000">
        <w:rPr>
          <w:u w:val="single"/>
          <w:rtl w:val="0"/>
        </w:rPr>
        <w:t xml:space="preserve">Griggs v. Duke Powe</w:t>
      </w:r>
      <w:r w:rsidDel="00000000" w:rsidR="00000000" w:rsidRPr="00000000">
        <w:rPr>
          <w:rtl w:val="0"/>
        </w:rPr>
        <w:t xml:space="preserve">r concluded that it was a violation of Title VII of the Civil Rights Act of 1964 for an employer to require have a high school diploma to work at a power plant. The effect of this was to exclude African Americans. Employment requirements that are unrelated can be </w:t>
      </w:r>
      <w:r w:rsidDel="00000000" w:rsidR="00000000" w:rsidRPr="00000000">
        <w:rPr>
          <w:b w:val="1"/>
          <w:rtl w:val="0"/>
        </w:rPr>
        <w:t xml:space="preserve">“built-in-headwinds” for minority groups, and will therefore discriminatory. </w:t>
      </w:r>
    </w:p>
    <w:p w:rsidR="00000000" w:rsidDel="00000000" w:rsidP="00000000" w:rsidRDefault="00000000" w:rsidRPr="00000000">
      <w:pPr>
        <w:numPr>
          <w:ilvl w:val="0"/>
          <w:numId w:val="21"/>
        </w:numPr>
        <w:pBdr/>
        <w:ind w:left="720" w:hanging="360"/>
        <w:contextualSpacing w:val="1"/>
        <w:rPr/>
      </w:pPr>
      <w:r w:rsidDel="00000000" w:rsidR="00000000" w:rsidRPr="00000000">
        <w:rPr>
          <w:rtl w:val="0"/>
        </w:rPr>
        <w:t xml:space="preserve">Says that there is no evidence that supports the relationship between education, reserves, or age for aboriginals. </w:t>
      </w:r>
    </w:p>
    <w:p w:rsidR="00000000" w:rsidDel="00000000" w:rsidP="00000000" w:rsidRDefault="00000000" w:rsidRPr="00000000">
      <w:pPr>
        <w:numPr>
          <w:ilvl w:val="0"/>
          <w:numId w:val="21"/>
        </w:numPr>
        <w:pBdr/>
        <w:ind w:left="720" w:hanging="360"/>
        <w:contextualSpacing w:val="1"/>
        <w:rPr/>
      </w:pPr>
      <w:r w:rsidDel="00000000" w:rsidR="00000000" w:rsidRPr="00000000">
        <w:rPr>
          <w:rtl w:val="0"/>
        </w:rPr>
        <w:t xml:space="preserve">The Federal Court incorporates statistics from the </w:t>
      </w:r>
      <w:r w:rsidDel="00000000" w:rsidR="00000000" w:rsidRPr="00000000">
        <w:rPr>
          <w:u w:val="single"/>
          <w:rtl w:val="0"/>
        </w:rPr>
        <w:t xml:space="preserve">general </w:t>
      </w:r>
      <w:r w:rsidDel="00000000" w:rsidR="00000000" w:rsidRPr="00000000">
        <w:rPr>
          <w:rtl w:val="0"/>
        </w:rPr>
        <w:t xml:space="preserve">Canadian population which cannot make strong inference with regards to the 2000 members of Kah... </w:t>
      </w:r>
    </w:p>
    <w:p w:rsidR="00000000" w:rsidDel="00000000" w:rsidP="00000000" w:rsidRDefault="00000000" w:rsidRPr="00000000">
      <w:pPr>
        <w:numPr>
          <w:ilvl w:val="0"/>
          <w:numId w:val="21"/>
        </w:numPr>
        <w:pBdr/>
        <w:ind w:left="720" w:hanging="360"/>
        <w:contextualSpacing w:val="1"/>
        <w:rPr/>
      </w:pPr>
      <w:r w:rsidDel="00000000" w:rsidR="00000000" w:rsidRPr="00000000">
        <w:rPr>
          <w:rtl w:val="0"/>
        </w:rPr>
        <w:t xml:space="preserve">There needs to be enough </w:t>
      </w:r>
      <w:r w:rsidDel="00000000" w:rsidR="00000000" w:rsidRPr="00000000">
        <w:rPr>
          <w:b w:val="1"/>
          <w:rtl w:val="0"/>
        </w:rPr>
        <w:t xml:space="preserve">evidence to show a prima facie breach</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Chapter 5</w:t>
      </w:r>
    </w:p>
    <w:p w:rsidR="00000000" w:rsidDel="00000000" w:rsidP="00000000" w:rsidRDefault="00000000" w:rsidRPr="00000000">
      <w:pPr>
        <w:numPr>
          <w:ilvl w:val="0"/>
          <w:numId w:val="39"/>
        </w:numPr>
        <w:pBdr/>
        <w:ind w:left="720" w:hanging="360"/>
        <w:contextualSpacing w:val="1"/>
        <w:rPr>
          <w:b w:val="1"/>
        </w:rPr>
      </w:pPr>
      <w:r w:rsidDel="00000000" w:rsidR="00000000" w:rsidRPr="00000000">
        <w:rPr>
          <w:b w:val="1"/>
          <w:rtl w:val="0"/>
        </w:rPr>
        <w:t xml:space="preserve">Nova Scotia (Workers’ Compensation Board) v. Martin, 2003 SCC 54</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Case of chronic pain syndrome. In the medical field, there is not much evidence to support cps, but it is clear that many really suffer from it.  It is more psychological…. The problem with it is that it may lead to people malingering</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The FRP also  precludes chronic pain.</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Laseur  was a bus driver and slipped. Although Ms.Laseur attempted to return to work on several occasions, she found that performing her duties aggravated her condition. </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Martin worked for a car company and hurt his back.</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Both appellants were provided with temporary disability benefits and rehabilitation services until they were discontinued. </w:t>
      </w:r>
    </w:p>
    <w:p w:rsidR="00000000" w:rsidDel="00000000" w:rsidP="00000000" w:rsidRDefault="00000000" w:rsidRPr="00000000">
      <w:pPr>
        <w:numPr>
          <w:ilvl w:val="0"/>
          <w:numId w:val="39"/>
        </w:numPr>
        <w:pBdr/>
        <w:ind w:left="720" w:hanging="360"/>
        <w:contextualSpacing w:val="1"/>
        <w:rPr>
          <w:color w:val="00ff00"/>
        </w:rPr>
      </w:pPr>
      <w:r w:rsidDel="00000000" w:rsidR="00000000" w:rsidRPr="00000000">
        <w:rPr>
          <w:color w:val="00ff00"/>
          <w:rtl w:val="0"/>
        </w:rPr>
        <w:t xml:space="preserve">The comparator group in this is the group of workers subject to the Act who do not have chronic pain and are eligible for compensation for their employment related injuries.</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The </w:t>
      </w:r>
      <w:r w:rsidDel="00000000" w:rsidR="00000000" w:rsidRPr="00000000">
        <w:rPr>
          <w:color w:val="ff0000"/>
          <w:rtl w:val="0"/>
        </w:rPr>
        <w:t xml:space="preserve">incorrect comparator</w:t>
      </w:r>
      <w:r w:rsidDel="00000000" w:rsidR="00000000" w:rsidRPr="00000000">
        <w:rPr>
          <w:rtl w:val="0"/>
        </w:rPr>
        <w:t xml:space="preserve"> is the group of persons suffering from chronic pain who are not subject to the Act and can obtain damages for their condition through the application of tort principles.  Both suffer from chronic pain. This was rejected because it would challenge the whole workers compensation act. Further tort law is a result of negligence.</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Another</w:t>
      </w:r>
      <w:r w:rsidDel="00000000" w:rsidR="00000000" w:rsidRPr="00000000">
        <w:rPr>
          <w:color w:val="ff0000"/>
          <w:rtl w:val="0"/>
        </w:rPr>
        <w:t xml:space="preserve"> incorrect comparator </w:t>
      </w:r>
      <w:r w:rsidDel="00000000" w:rsidR="00000000" w:rsidRPr="00000000">
        <w:rPr>
          <w:rtl w:val="0"/>
        </w:rPr>
        <w:t xml:space="preserve">is the group of persons that suffer from chronic pain and are eligible for s.10E. This approach focuses on the date of the injury and status of their case rather than the nature of the disability. </w:t>
      </w:r>
      <w:r w:rsidDel="00000000" w:rsidR="00000000" w:rsidRPr="00000000">
        <w:rPr>
          <w:color w:val="ff0000"/>
          <w:rtl w:val="0"/>
        </w:rPr>
        <w:t xml:space="preserve"> </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AG says that there is differential treatment based on enumerated grounds. Nova Scotia says that because both suffer from physical disabilities, it must derive from some other basis.</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This is false. The court has long recognized that differential treatment can occur on the basis of an enumerated ground despite the fact that not all persons belonging to the relevant group are equally mistreated. </w:t>
      </w:r>
      <w:r w:rsidDel="00000000" w:rsidR="00000000" w:rsidRPr="00000000">
        <w:rPr>
          <w:u w:val="single"/>
          <w:rtl w:val="0"/>
        </w:rPr>
        <w:t xml:space="preserve">In Janzen v. Platy</w:t>
      </w:r>
      <w:r w:rsidDel="00000000" w:rsidR="00000000" w:rsidRPr="00000000">
        <w:rPr>
          <w:rtl w:val="0"/>
        </w:rPr>
        <w:t xml:space="preserve">… Judge Dickson held that sexual harassment in the workplace constituted sex discrimination.  He rejected the argument that, since harassers choose their targets on the basis of physical attractiveness, a personal characteristic, rather than gender, a group characteristic, sexual harassment did not amount to sex discrimination. </w:t>
      </w:r>
    </w:p>
    <w:p w:rsidR="00000000" w:rsidDel="00000000" w:rsidP="00000000" w:rsidRDefault="00000000" w:rsidRPr="00000000">
      <w:pPr>
        <w:numPr>
          <w:ilvl w:val="0"/>
          <w:numId w:val="39"/>
        </w:numPr>
        <w:pBdr/>
        <w:ind w:left="720" w:hanging="360"/>
        <w:contextualSpacing w:val="1"/>
        <w:rPr/>
      </w:pPr>
      <w:r w:rsidDel="00000000" w:rsidR="00000000" w:rsidRPr="00000000">
        <w:rPr>
          <w:color w:val="9900ff"/>
          <w:rtl w:val="0"/>
        </w:rPr>
        <w:t xml:space="preserve">Discrimination does not require uniform treatment of all members of a particular group</w:t>
      </w:r>
      <w:r w:rsidDel="00000000" w:rsidR="00000000" w:rsidRPr="00000000">
        <w:rPr>
          <w:rtl w:val="0"/>
        </w:rPr>
        <w:t xml:space="preserve">***</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Likewise in</w:t>
      </w:r>
      <w:r w:rsidDel="00000000" w:rsidR="00000000" w:rsidRPr="00000000">
        <w:rPr>
          <w:u w:val="single"/>
          <w:rtl w:val="0"/>
        </w:rPr>
        <w:t xml:space="preserve"> Brooks v. Canada</w:t>
      </w:r>
      <w:r w:rsidDel="00000000" w:rsidR="00000000" w:rsidRPr="00000000">
        <w:rPr>
          <w:rtl w:val="0"/>
        </w:rPr>
        <w:t xml:space="preserve">…….. </w:t>
      </w:r>
      <w:r w:rsidDel="00000000" w:rsidR="00000000" w:rsidRPr="00000000">
        <w:rPr>
          <w:color w:val="9900ff"/>
          <w:rtl w:val="0"/>
        </w:rPr>
        <w:t xml:space="preserve">Dickson J rejected this argument too, holding that, since only women could become pregnant distinctions based on pregnancy could be nothing other than distinctions based on or related to sex. </w:t>
      </w:r>
    </w:p>
    <w:p w:rsidR="00000000" w:rsidDel="00000000" w:rsidP="00000000" w:rsidRDefault="00000000" w:rsidRPr="00000000">
      <w:pPr>
        <w:numPr>
          <w:ilvl w:val="0"/>
          <w:numId w:val="39"/>
        </w:numPr>
        <w:pBdr/>
        <w:ind w:left="720" w:hanging="360"/>
        <w:contextualSpacing w:val="1"/>
        <w:rPr/>
      </w:pPr>
      <w:r w:rsidDel="00000000" w:rsidR="00000000" w:rsidRPr="00000000">
        <w:rPr>
          <w:u w:val="single"/>
          <w:rtl w:val="0"/>
        </w:rPr>
        <w:t xml:space="preserve">Gibbs…</w:t>
      </w:r>
      <w:r w:rsidDel="00000000" w:rsidR="00000000" w:rsidRPr="00000000">
        <w:rPr>
          <w:rtl w:val="0"/>
        </w:rPr>
        <w:t xml:space="preserve">In that case, an employee became disabled as a result of a mental disorder. The employer subscribed to an insurance policy which provided a replacement income to employees who became unable to work because of a disability. The policy provided, however, that in cases of mental illness, the income replacement benefit would terminate after two years unless the former employee remained in a mental institution. The employee challenged this provision under the Saskatchewan Human Rights Code. The employer argued that the insurance plan was not discriminatory, since the proper comparison was not between mentally disabled persons and physically disabled persons, but between disabled persons generally and able-bodied persons. Sopinka J. rejected this argument and held that a comparison could properly be drawn between two groups, each of whose members were affected by a disability.”</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In </w:t>
      </w:r>
      <w:r w:rsidDel="00000000" w:rsidR="00000000" w:rsidRPr="00000000">
        <w:rPr>
          <w:u w:val="single"/>
          <w:rtl w:val="0"/>
        </w:rPr>
        <w:t xml:space="preserve">Granvosky </w:t>
      </w:r>
      <w:r w:rsidDel="00000000" w:rsidR="00000000" w:rsidRPr="00000000">
        <w:rPr>
          <w:rtl w:val="0"/>
        </w:rPr>
        <w:t xml:space="preserve">was held that temporary and permanent disability is based on the enumerated ground of physical disability. </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In </w:t>
      </w:r>
      <w:r w:rsidDel="00000000" w:rsidR="00000000" w:rsidRPr="00000000">
        <w:rPr>
          <w:u w:val="single"/>
          <w:rtl w:val="0"/>
        </w:rPr>
        <w:t xml:space="preserve">Winko </w:t>
      </w:r>
      <w:r w:rsidDel="00000000" w:rsidR="00000000" w:rsidRPr="00000000">
        <w:rPr>
          <w:rtl w:val="0"/>
        </w:rPr>
        <w:t xml:space="preserve">held that the special treatment of the non criminally responsible was founded “on the presence of a </w:t>
      </w:r>
      <w:r w:rsidDel="00000000" w:rsidR="00000000" w:rsidRPr="00000000">
        <w:rPr>
          <w:u w:val="single"/>
          <w:rtl w:val="0"/>
        </w:rPr>
        <w:t xml:space="preserve">particular type of mental disability.</w:t>
      </w:r>
    </w:p>
    <w:p w:rsidR="00000000" w:rsidDel="00000000" w:rsidP="00000000" w:rsidRDefault="00000000" w:rsidRPr="00000000">
      <w:pPr>
        <w:numPr>
          <w:ilvl w:val="0"/>
          <w:numId w:val="39"/>
        </w:numPr>
        <w:pBdr/>
        <w:ind w:left="720" w:hanging="360"/>
        <w:contextualSpacing w:val="1"/>
        <w:rPr/>
      </w:pPr>
      <w:r w:rsidDel="00000000" w:rsidR="00000000" w:rsidRPr="00000000">
        <w:rPr>
          <w:rtl w:val="0"/>
        </w:rPr>
        <w:t xml:space="preserve">The second step of the </w:t>
      </w:r>
      <w:r w:rsidDel="00000000" w:rsidR="00000000" w:rsidRPr="00000000">
        <w:rPr>
          <w:i w:val="1"/>
          <w:rtl w:val="0"/>
        </w:rPr>
        <w:t xml:space="preserve">Law </w:t>
      </w:r>
      <w:r w:rsidDel="00000000" w:rsidR="00000000" w:rsidRPr="00000000">
        <w:rPr>
          <w:rtl w:val="0"/>
        </w:rPr>
        <w:t xml:space="preserve">test does not ask whether the claimant and members of the comparator group possess a certain characteristic. Rather, the inquiry is whether the basis of the challenged differential treatment is an enumerated or analogous ground. The distinction between the claimants and the comparator group was made on the basis of the claimants’ chronic pain disability. </w:t>
      </w:r>
    </w:p>
    <w:p w:rsidR="00000000" w:rsidDel="00000000" w:rsidP="00000000" w:rsidRDefault="00000000" w:rsidRPr="00000000">
      <w:pPr>
        <w:pBdr/>
        <w:contextualSpacing w:val="0"/>
        <w:rPr>
          <w:b w:val="1"/>
        </w:rPr>
      </w:pPr>
      <w:r w:rsidDel="00000000" w:rsidR="00000000" w:rsidRPr="00000000">
        <w:rPr>
          <w:b w:val="1"/>
          <w:rtl w:val="0"/>
        </w:rPr>
        <w:t xml:space="preserve">(i) Pre-existing disadvantage</w:t>
      </w:r>
    </w:p>
    <w:p w:rsidR="00000000" w:rsidDel="00000000" w:rsidP="00000000" w:rsidRDefault="00000000" w:rsidRPr="00000000">
      <w:pPr>
        <w:numPr>
          <w:ilvl w:val="0"/>
          <w:numId w:val="26"/>
        </w:numPr>
        <w:pBdr/>
        <w:ind w:left="720" w:hanging="360"/>
        <w:contextualSpacing w:val="1"/>
        <w:rPr/>
      </w:pPr>
      <w:r w:rsidDel="00000000" w:rsidR="00000000" w:rsidRPr="00000000">
        <w:rPr>
          <w:rtl w:val="0"/>
        </w:rPr>
        <w:t xml:space="preserve">The appellants allege that chronic pain sufferers have been subjected to historical disadvantage as a result of stereotypes concerning the nature and causes of their disability. </w:t>
      </w:r>
    </w:p>
    <w:p w:rsidR="00000000" w:rsidDel="00000000" w:rsidP="00000000" w:rsidRDefault="00000000" w:rsidRPr="00000000">
      <w:pPr>
        <w:numPr>
          <w:ilvl w:val="0"/>
          <w:numId w:val="26"/>
        </w:numPr>
        <w:pBdr/>
        <w:ind w:left="720" w:hanging="360"/>
        <w:contextualSpacing w:val="1"/>
        <w:rPr/>
      </w:pPr>
      <w:r w:rsidDel="00000000" w:rsidR="00000000" w:rsidRPr="00000000">
        <w:rPr>
          <w:rtl w:val="0"/>
        </w:rPr>
        <w:t xml:space="preserve">Respondents argue that no one in society suffers from this unless it's the people that malinger.</w:t>
      </w:r>
    </w:p>
    <w:p w:rsidR="00000000" w:rsidDel="00000000" w:rsidP="00000000" w:rsidRDefault="00000000" w:rsidRPr="00000000">
      <w:pPr>
        <w:numPr>
          <w:ilvl w:val="0"/>
          <w:numId w:val="26"/>
        </w:numPr>
        <w:pBdr/>
        <w:ind w:left="720" w:hanging="360"/>
        <w:contextualSpacing w:val="1"/>
        <w:rPr/>
      </w:pPr>
      <w:r w:rsidDel="00000000" w:rsidR="00000000" w:rsidRPr="00000000">
        <w:rPr>
          <w:rtl w:val="0"/>
        </w:rPr>
        <w:t xml:space="preserve">It should also be noted that where cited in Lovelace v Ontario, does not direct the appellants and respondents to a ‘race to the bottom. Evidence may help, but the claimants are not required to establish that they are more disadvantaged than the comparator group.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ii) Correspondence with the Needs, Capacities and Circumstances of the Claimants</w:t>
      </w:r>
    </w:p>
    <w:p w:rsidR="00000000" w:rsidDel="00000000" w:rsidP="00000000" w:rsidRDefault="00000000" w:rsidRPr="00000000">
      <w:pPr>
        <w:numPr>
          <w:ilvl w:val="0"/>
          <w:numId w:val="32"/>
        </w:numPr>
        <w:pBdr/>
        <w:ind w:left="720" w:hanging="360"/>
        <w:contextualSpacing w:val="1"/>
        <w:rPr/>
      </w:pPr>
      <w:r w:rsidDel="00000000" w:rsidR="00000000" w:rsidRPr="00000000">
        <w:rPr>
          <w:rtl w:val="0"/>
        </w:rPr>
        <w:t xml:space="preserve">The second contextual factor to be considered is the relationship between the ground of distinction--</w:t>
      </w:r>
      <w:r w:rsidDel="00000000" w:rsidR="00000000" w:rsidRPr="00000000">
        <w:rPr>
          <w:u w:val="single"/>
          <w:rtl w:val="0"/>
        </w:rPr>
        <w:t xml:space="preserve"> here the presence of disability caused by chronic pain and the actual needs, capacities and circumstances of the group to which the claimants belong.</w:t>
      </w:r>
    </w:p>
    <w:p w:rsidR="00000000" w:rsidDel="00000000" w:rsidP="00000000" w:rsidRDefault="00000000" w:rsidRPr="00000000">
      <w:pPr>
        <w:numPr>
          <w:ilvl w:val="0"/>
          <w:numId w:val="32"/>
        </w:numPr>
        <w:pBdr/>
        <w:ind w:left="720" w:hanging="360"/>
        <w:contextualSpacing w:val="1"/>
        <w:rPr/>
      </w:pPr>
      <w:r w:rsidDel="00000000" w:rsidR="00000000" w:rsidRPr="00000000">
        <w:rPr>
          <w:rtl w:val="0"/>
        </w:rPr>
        <w:t xml:space="preserve">Under the Act and FRP regulations, injured workers who develop such permanent impairment as a result of chronic pain may be left with nothing: no medical aid, no income etc…. The Act stamps them all with the “chronic pain” label, deprives them of a personalized evaluation of their needs and circumstances, and restricts the benefits they can receive from the program</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iii)Ameliorative Purpose</w:t>
      </w:r>
    </w:p>
    <w:p w:rsidR="00000000" w:rsidDel="00000000" w:rsidP="00000000" w:rsidRDefault="00000000" w:rsidRPr="00000000">
      <w:pPr>
        <w:numPr>
          <w:ilvl w:val="0"/>
          <w:numId w:val="28"/>
        </w:numPr>
        <w:pBdr/>
        <w:ind w:left="720" w:hanging="360"/>
        <w:contextualSpacing w:val="1"/>
        <w:rPr/>
      </w:pPr>
      <w:r w:rsidDel="00000000" w:rsidR="00000000" w:rsidRPr="00000000">
        <w:rPr>
          <w:rtl w:val="0"/>
        </w:rPr>
        <w:t xml:space="preserve">While some individuals in the comparator group-- injured workers without chronic pain-- may be more severely disabled than the appellants, there is no evidence that the comparator group as a class is in a more disadvantaged position than the group of injured workers suffering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iv) Nature of the Interest Affected</w:t>
      </w:r>
    </w:p>
    <w:p w:rsidR="00000000" w:rsidDel="00000000" w:rsidP="00000000" w:rsidRDefault="00000000" w:rsidRPr="00000000">
      <w:pPr>
        <w:numPr>
          <w:ilvl w:val="0"/>
          <w:numId w:val="38"/>
        </w:numPr>
        <w:pBdr/>
        <w:ind w:left="720" w:hanging="360"/>
        <w:contextualSpacing w:val="1"/>
        <w:rPr>
          <w:color w:val="ff0000"/>
        </w:rPr>
      </w:pPr>
      <w:r w:rsidDel="00000000" w:rsidR="00000000" w:rsidRPr="00000000">
        <w:rPr>
          <w:color w:val="ff0000"/>
          <w:rtl w:val="0"/>
        </w:rPr>
        <w:t xml:space="preserve">The Court of Appeal ccepted the respondent's argument that the disadvantage suffered by the injured workers was solely economic in nature and that the deprivation of benefits was relatively minor.  This is false</w:t>
      </w:r>
    </w:p>
    <w:p w:rsidR="00000000" w:rsidDel="00000000" w:rsidP="00000000" w:rsidRDefault="00000000" w:rsidRPr="00000000">
      <w:pPr>
        <w:numPr>
          <w:ilvl w:val="0"/>
          <w:numId w:val="38"/>
        </w:numPr>
        <w:pBdr/>
        <w:ind w:left="720" w:hanging="360"/>
        <w:contextualSpacing w:val="1"/>
        <w:rPr/>
      </w:pPr>
      <w:r w:rsidDel="00000000" w:rsidR="00000000" w:rsidRPr="00000000">
        <w:rPr>
          <w:rtl w:val="0"/>
        </w:rPr>
        <w:t xml:space="preserve">They have no support other than the provincial compensation scheme. Financial benefits is neither minor or trivial matter. It is also not purely economic.</w:t>
      </w:r>
    </w:p>
    <w:p w:rsidR="00000000" w:rsidDel="00000000" w:rsidP="00000000" w:rsidRDefault="00000000" w:rsidRPr="00000000">
      <w:pPr>
        <w:numPr>
          <w:ilvl w:val="0"/>
          <w:numId w:val="38"/>
        </w:numPr>
        <w:pBdr/>
        <w:ind w:left="720" w:hanging="360"/>
        <w:contextualSpacing w:val="1"/>
        <w:rPr/>
      </w:pPr>
      <w:r w:rsidDel="00000000" w:rsidR="00000000" w:rsidRPr="00000000">
        <w:rPr>
          <w:rtl w:val="0"/>
        </w:rPr>
        <w:t xml:space="preserve"> They are denied an opportunity to compensation on the basis of their disability. </w:t>
      </w:r>
    </w:p>
    <w:p w:rsidR="00000000" w:rsidDel="00000000" w:rsidP="00000000" w:rsidRDefault="00000000" w:rsidRPr="00000000">
      <w:pPr>
        <w:numPr>
          <w:ilvl w:val="0"/>
          <w:numId w:val="38"/>
        </w:numPr>
        <w:pBdr/>
        <w:ind w:left="720" w:hanging="360"/>
        <w:contextualSpacing w:val="1"/>
        <w:rPr/>
      </w:pPr>
      <w:r w:rsidDel="00000000" w:rsidR="00000000" w:rsidRPr="00000000">
        <w:rPr>
          <w:rtl w:val="0"/>
        </w:rPr>
        <w:t xml:space="preserve">They are also deprived of ameliorative benefits such as rehabilitation services, medical aid and a right to accommodation which would clearly assist them in preserving and improving their human dignity by returning to work when possible.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Hodge v. Canada (Minister of Human Resources Development) (death of spouse)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41"/>
        </w:numPr>
        <w:pBdr/>
        <w:ind w:left="720" w:hanging="360"/>
        <w:contextualSpacing w:val="1"/>
        <w:rPr/>
      </w:pPr>
      <w:r w:rsidDel="00000000" w:rsidR="00000000" w:rsidRPr="00000000">
        <w:rPr>
          <w:rtl w:val="0"/>
        </w:rPr>
        <w:t xml:space="preserve">In this case, the appellant is seeking a survivor’s pension by whom she was in a common law relationship with. She invites the term “separated married spouses”. She terminated the relationship and had stated to the court that she wanted to “leave for good.” A </w:t>
      </w:r>
      <w:r w:rsidDel="00000000" w:rsidR="00000000" w:rsidRPr="00000000">
        <w:rPr>
          <w:i w:val="1"/>
          <w:rtl w:val="0"/>
        </w:rPr>
        <w:t xml:space="preserve">former</w:t>
      </w:r>
      <w:r w:rsidDel="00000000" w:rsidR="00000000" w:rsidRPr="00000000">
        <w:rPr>
          <w:rtl w:val="0"/>
        </w:rPr>
        <w:t xml:space="preserve"> married spouse is not entitled to a CPP pension either. </w:t>
      </w:r>
    </w:p>
    <w:p w:rsidR="00000000" w:rsidDel="00000000" w:rsidP="00000000" w:rsidRDefault="00000000" w:rsidRPr="00000000">
      <w:pPr>
        <w:pBdr/>
        <w:contextualSpacing w:val="0"/>
        <w:rPr>
          <w:b w:val="1"/>
        </w:rPr>
      </w:pPr>
      <w:r w:rsidDel="00000000" w:rsidR="00000000" w:rsidRPr="00000000">
        <w:rPr>
          <w:b w:val="1"/>
          <w:rtl w:val="0"/>
        </w:rPr>
        <w:t xml:space="preserve">V. Analysis</w:t>
      </w:r>
    </w:p>
    <w:p w:rsidR="00000000" w:rsidDel="00000000" w:rsidP="00000000" w:rsidRDefault="00000000" w:rsidRPr="00000000">
      <w:pPr>
        <w:numPr>
          <w:ilvl w:val="0"/>
          <w:numId w:val="27"/>
        </w:numPr>
        <w:pBdr/>
        <w:ind w:left="720" w:hanging="360"/>
        <w:contextualSpacing w:val="1"/>
        <w:rPr/>
      </w:pPr>
      <w:r w:rsidDel="00000000" w:rsidR="00000000" w:rsidRPr="00000000">
        <w:rPr>
          <w:rtl w:val="0"/>
        </w:rPr>
        <w:t xml:space="preserve">There are three basic stages to establishing a breach of s.15. The Court must find (i.) differential treatment, (ii) on the basis of an enumerated or analogous ground, (iii) which conflicts with the purpose of s.15(1) and thus amounts to substantive discrimination.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6"/>
        </w:numPr>
        <w:pBdr/>
        <w:ind w:left="720" w:hanging="360"/>
        <w:contextualSpacing w:val="1"/>
        <w:rPr>
          <w:b w:val="1"/>
        </w:rPr>
      </w:pPr>
      <w:r w:rsidDel="00000000" w:rsidR="00000000" w:rsidRPr="00000000">
        <w:rPr>
          <w:b w:val="1"/>
          <w:rtl w:val="0"/>
        </w:rPr>
        <w:t xml:space="preserve">The Role of The Court in Determining the Appropriate Comparator Group</w:t>
      </w:r>
    </w:p>
    <w:p w:rsidR="00000000" w:rsidDel="00000000" w:rsidP="00000000" w:rsidRDefault="00000000" w:rsidRPr="00000000">
      <w:pPr>
        <w:numPr>
          <w:ilvl w:val="0"/>
          <w:numId w:val="31"/>
        </w:numPr>
        <w:pBdr/>
        <w:ind w:left="720" w:hanging="360"/>
        <w:contextualSpacing w:val="1"/>
        <w:rPr/>
      </w:pPr>
      <w:r w:rsidDel="00000000" w:rsidR="00000000" w:rsidRPr="00000000">
        <w:rPr>
          <w:rtl w:val="0"/>
        </w:rPr>
        <w:t xml:space="preserve">“The outcome of a s. 15(1) claim cannot be skewed by a claimant attempting to associate himself or herself with a group whose relevant characteristics do not reflect the claimant's actual circumstances, or by targeting the benefits of a group whose relevant characteristics are simply not comparable.”</w:t>
      </w:r>
    </w:p>
    <w:p w:rsidR="00000000" w:rsidDel="00000000" w:rsidP="00000000" w:rsidRDefault="00000000" w:rsidRPr="00000000">
      <w:pPr>
        <w:numPr>
          <w:ilvl w:val="0"/>
          <w:numId w:val="31"/>
        </w:numPr>
        <w:pBdr/>
        <w:ind w:left="720" w:hanging="360"/>
        <w:contextualSpacing w:val="1"/>
        <w:rPr/>
      </w:pPr>
      <w:r w:rsidDel="00000000" w:rsidR="00000000" w:rsidRPr="00000000">
        <w:rPr>
          <w:rtl w:val="0"/>
        </w:rPr>
        <w:t xml:space="preserve"> the Federal Court of Appeal erred in concluding that a court is required to "adopt the comparator group chosen by the applicant unless it can be shown that there is a paucity of evidence or a failure to plead that comparator”…”</w:t>
      </w:r>
    </w:p>
    <w:p w:rsidR="00000000" w:rsidDel="00000000" w:rsidP="00000000" w:rsidRDefault="00000000" w:rsidRPr="00000000">
      <w:pPr>
        <w:numPr>
          <w:ilvl w:val="0"/>
          <w:numId w:val="31"/>
        </w:numPr>
        <w:pBdr/>
        <w:ind w:left="720" w:hanging="360"/>
        <w:contextualSpacing w:val="1"/>
        <w:rPr/>
      </w:pPr>
      <w:r w:rsidDel="00000000" w:rsidR="00000000" w:rsidRPr="00000000">
        <w:rPr>
          <w:rtl w:val="0"/>
        </w:rPr>
        <w:t xml:space="preserve">It is the duty of the court to step in and measure the claim to equality rights in the proper context against the proper standard.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B. The Criteria for Identifying the Appropriate Comparator Group</w:t>
      </w:r>
    </w:p>
    <w:p w:rsidR="00000000" w:rsidDel="00000000" w:rsidP="00000000" w:rsidRDefault="00000000" w:rsidRPr="00000000">
      <w:pPr>
        <w:numPr>
          <w:ilvl w:val="0"/>
          <w:numId w:val="6"/>
        </w:numPr>
        <w:pBdr/>
        <w:ind w:left="720" w:hanging="360"/>
        <w:contextualSpacing w:val="1"/>
        <w:rPr/>
      </w:pPr>
      <w:r w:rsidDel="00000000" w:rsidR="00000000" w:rsidRPr="00000000">
        <w:rPr>
          <w:rtl w:val="0"/>
        </w:rPr>
        <w:t xml:space="preserve">The appropriate comparator group is the one which mirrors the characteristics of the claimant (or claimant group) relevant to the benefit or advantage sought except that the statutory definition includes </w:t>
      </w:r>
      <w:r w:rsidDel="00000000" w:rsidR="00000000" w:rsidRPr="00000000">
        <w:rPr>
          <w:color w:val="ff0000"/>
          <w:rtl w:val="0"/>
        </w:rPr>
        <w:t xml:space="preserve">a personal characteristic that is offensive to the Charter or omits a personal characteristic in a way that is offensive to the Charte</w:t>
      </w:r>
      <w:r w:rsidDel="00000000" w:rsidR="00000000" w:rsidRPr="00000000">
        <w:rPr>
          <w:rtl w:val="0"/>
        </w:rPr>
        <w:t xml:space="preserve">r. </w:t>
      </w:r>
      <w:r w:rsidDel="00000000" w:rsidR="00000000" w:rsidRPr="00000000">
        <w:rPr>
          <w:color w:val="0000ff"/>
          <w:rtl w:val="0"/>
        </w:rPr>
        <w:t xml:space="preserve">An example of the former is the requirement that spouses have to be of the opposite sex</w:t>
      </w:r>
      <w:r w:rsidDel="00000000" w:rsidR="00000000" w:rsidRPr="00000000">
        <w:rPr>
          <w:rtl w:val="0"/>
        </w:rPr>
        <w:t xml:space="preserve">… A</w:t>
      </w:r>
      <w:r w:rsidDel="00000000" w:rsidR="00000000" w:rsidRPr="00000000">
        <w:rPr>
          <w:color w:val="ff9900"/>
          <w:rtl w:val="0"/>
        </w:rPr>
        <w:t xml:space="preserve">n example of the latter is the omission of sexual orientation from the Alberta Individual's Rights Protection</w:t>
      </w:r>
    </w:p>
    <w:p w:rsidR="00000000" w:rsidDel="00000000" w:rsidP="00000000" w:rsidRDefault="00000000" w:rsidRPr="00000000">
      <w:pPr>
        <w:numPr>
          <w:ilvl w:val="0"/>
          <w:numId w:val="6"/>
        </w:numPr>
        <w:pBdr/>
        <w:ind w:left="720" w:hanging="360"/>
        <w:contextualSpacing w:val="1"/>
        <w:rPr/>
      </w:pPr>
      <w:r w:rsidDel="00000000" w:rsidR="00000000" w:rsidRPr="00000000">
        <w:rPr>
          <w:rtl w:val="0"/>
        </w:rPr>
        <w:t xml:space="preserve">In </w:t>
      </w:r>
      <w:r w:rsidDel="00000000" w:rsidR="00000000" w:rsidRPr="00000000">
        <w:rPr>
          <w:u w:val="single"/>
          <w:rtl w:val="0"/>
        </w:rPr>
        <w:t xml:space="preserve">Lovelace </w:t>
      </w:r>
      <w:r w:rsidDel="00000000" w:rsidR="00000000" w:rsidRPr="00000000">
        <w:rPr>
          <w:rtl w:val="0"/>
        </w:rPr>
        <w:t xml:space="preserve"> it challenged the provisions of the profits of Casino Rama amongst the First Nations in Ontario. The claimants were non-status Indians who considered themselves discriminated against by a provincial government program favouring status Indians. However, the program was aimed at supporting “a govt to govt relationship” for aboriginal communities rather than aboriginal individuals. </w:t>
      </w:r>
    </w:p>
    <w:p w:rsidR="00000000" w:rsidDel="00000000" w:rsidP="00000000" w:rsidRDefault="00000000" w:rsidRPr="00000000">
      <w:pPr>
        <w:numPr>
          <w:ilvl w:val="0"/>
          <w:numId w:val="6"/>
        </w:numPr>
        <w:pBdr/>
        <w:ind w:left="720" w:hanging="360"/>
        <w:contextualSpacing w:val="1"/>
        <w:rPr>
          <w:color w:val="ff00ff"/>
        </w:rPr>
      </w:pPr>
      <w:r w:rsidDel="00000000" w:rsidR="00000000" w:rsidRPr="00000000">
        <w:rPr>
          <w:color w:val="ff00ff"/>
          <w:rtl w:val="0"/>
        </w:rPr>
        <w:t xml:space="preserve">Similarly, in </w:t>
      </w:r>
      <w:r w:rsidDel="00000000" w:rsidR="00000000" w:rsidRPr="00000000">
        <w:rPr>
          <w:color w:val="ff00ff"/>
          <w:u w:val="single"/>
          <w:rtl w:val="0"/>
        </w:rPr>
        <w:t xml:space="preserve">Martin</w:t>
      </w:r>
      <w:r w:rsidDel="00000000" w:rsidR="00000000" w:rsidRPr="00000000">
        <w:rPr>
          <w:color w:val="ff00ff"/>
          <w:rtl w:val="0"/>
        </w:rPr>
        <w:t xml:space="preserve">… Gontheir J. held that tort claimants could not constitute a proper comparator group. There was no proper alignment between the benefit sough and the ground of discrimination alleged. </w:t>
      </w:r>
    </w:p>
    <w:p w:rsidR="00000000" w:rsidDel="00000000" w:rsidP="00000000" w:rsidRDefault="00000000" w:rsidRPr="00000000">
      <w:pPr>
        <w:numPr>
          <w:ilvl w:val="0"/>
          <w:numId w:val="6"/>
        </w:numPr>
        <w:pBdr/>
        <w:ind w:left="720" w:hanging="360"/>
        <w:contextualSpacing w:val="1"/>
        <w:rPr>
          <w:color w:val="9900ff"/>
        </w:rPr>
      </w:pPr>
      <w:r w:rsidDel="00000000" w:rsidR="00000000" w:rsidRPr="00000000">
        <w:rPr>
          <w:color w:val="9900ff"/>
          <w:rtl w:val="0"/>
        </w:rPr>
        <w:t xml:space="preserve">Similarly, in </w:t>
      </w:r>
      <w:r w:rsidDel="00000000" w:rsidR="00000000" w:rsidRPr="00000000">
        <w:rPr>
          <w:color w:val="9900ff"/>
          <w:u w:val="single"/>
          <w:rtl w:val="0"/>
        </w:rPr>
        <w:t xml:space="preserve">Trociuk v. British Columbia</w:t>
      </w:r>
      <w:r w:rsidDel="00000000" w:rsidR="00000000" w:rsidRPr="00000000">
        <w:rPr>
          <w:color w:val="9900ff"/>
          <w:rtl w:val="0"/>
        </w:rPr>
        <w:t xml:space="preserve"> where fathers were unacknolwedged in the naming of the baby. His claim succeeded, since his biological relationship to the child was equal to the mother</w:t>
      </w:r>
    </w:p>
    <w:p w:rsidR="00000000" w:rsidDel="00000000" w:rsidP="00000000" w:rsidRDefault="00000000" w:rsidRPr="00000000">
      <w:pPr>
        <w:numPr>
          <w:ilvl w:val="0"/>
          <w:numId w:val="6"/>
        </w:numPr>
        <w:pBdr/>
        <w:ind w:left="720" w:hanging="360"/>
        <w:contextualSpacing w:val="1"/>
        <w:rPr/>
      </w:pPr>
      <w:r w:rsidDel="00000000" w:rsidR="00000000" w:rsidRPr="00000000">
        <w:rPr>
          <w:rtl w:val="0"/>
        </w:rPr>
        <w:t xml:space="preserve">Similarly, in </w:t>
      </w:r>
      <w:r w:rsidDel="00000000" w:rsidR="00000000" w:rsidRPr="00000000">
        <w:rPr>
          <w:u w:val="single"/>
          <w:rtl w:val="0"/>
        </w:rPr>
        <w:t xml:space="preserve">Lavoie </w:t>
      </w:r>
      <w:r w:rsidDel="00000000" w:rsidR="00000000" w:rsidRPr="00000000">
        <w:rPr>
          <w:rtl w:val="0"/>
        </w:rPr>
        <w:t xml:space="preserve">public service jobs discriminated against those who were not Canadian citizens. </w:t>
      </w:r>
    </w:p>
    <w:p w:rsidR="00000000" w:rsidDel="00000000" w:rsidP="00000000" w:rsidRDefault="00000000" w:rsidRPr="00000000">
      <w:pPr>
        <w:numPr>
          <w:ilvl w:val="0"/>
          <w:numId w:val="6"/>
        </w:numPr>
        <w:pBdr/>
        <w:ind w:left="720" w:hanging="360"/>
        <w:contextualSpacing w:val="1"/>
        <w:rPr/>
      </w:pPr>
      <w:r w:rsidDel="00000000" w:rsidR="00000000" w:rsidRPr="00000000">
        <w:rPr>
          <w:rtl w:val="0"/>
        </w:rPr>
        <w:t xml:space="preserve">Similarly, in </w:t>
      </w:r>
      <w:r w:rsidDel="00000000" w:rsidR="00000000" w:rsidRPr="00000000">
        <w:rPr>
          <w:u w:val="single"/>
          <w:rtl w:val="0"/>
        </w:rPr>
        <w:t xml:space="preserve">Granovsky </w:t>
      </w:r>
      <w:r w:rsidDel="00000000" w:rsidR="00000000" w:rsidRPr="00000000">
        <w:rPr>
          <w:rtl w:val="0"/>
        </w:rPr>
        <w:t xml:space="preserve"> the appellant  wanted a disability pension and contended that because of his temporary disability he could not work and contribute to his CPP. His comparator group was able-bodied workers who were able to keep up their CPP contributions because they were not disabled.  Court rejected his choice of comparator group because it ignored the basis of the benefit he was seeking ie,  able-bodied workers are not within the universe of persons potentially eligible for a disability pension. If and when they did qualify, it would be because they were no longer able-bodied.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C. The Appropriate Comparator Group in This Case</w:t>
      </w:r>
    </w:p>
    <w:p w:rsidR="00000000" w:rsidDel="00000000" w:rsidP="00000000" w:rsidRDefault="00000000" w:rsidRPr="00000000">
      <w:pPr>
        <w:numPr>
          <w:ilvl w:val="0"/>
          <w:numId w:val="14"/>
        </w:numPr>
        <w:pBdr/>
        <w:ind w:left="720" w:hanging="360"/>
        <w:contextualSpacing w:val="1"/>
        <w:rPr/>
      </w:pPr>
      <w:r w:rsidDel="00000000" w:rsidR="00000000" w:rsidRPr="00000000">
        <w:rPr>
          <w:rtl w:val="0"/>
        </w:rPr>
        <w:t xml:space="preserve">In the present case, the claimant says that the group to which she belongs </w:t>
      </w:r>
      <w:r w:rsidDel="00000000" w:rsidR="00000000" w:rsidRPr="00000000">
        <w:rPr>
          <w:color w:val="0000ff"/>
          <w:rtl w:val="0"/>
        </w:rPr>
        <w:t xml:space="preserve">(separated common law spouses) </w:t>
      </w:r>
      <w:r w:rsidDel="00000000" w:rsidR="00000000" w:rsidRPr="00000000">
        <w:rPr>
          <w:rtl w:val="0"/>
        </w:rPr>
        <w:t xml:space="preserve">shares all relevant characteristics with the group who receives a survivor's pension </w:t>
      </w:r>
      <w:r w:rsidDel="00000000" w:rsidR="00000000" w:rsidRPr="00000000">
        <w:rPr>
          <w:color w:val="0000ff"/>
          <w:rtl w:val="0"/>
        </w:rPr>
        <w:t xml:space="preserve">(separated married spouses)</w:t>
      </w:r>
      <w:r w:rsidDel="00000000" w:rsidR="00000000" w:rsidRPr="00000000">
        <w:rPr>
          <w:rtl w:val="0"/>
        </w:rPr>
        <w:t xml:space="preserve"> except for the personal characteristic of marital status. </w:t>
      </w:r>
    </w:p>
    <w:p w:rsidR="00000000" w:rsidDel="00000000" w:rsidP="00000000" w:rsidRDefault="00000000" w:rsidRPr="00000000">
      <w:pPr>
        <w:numPr>
          <w:ilvl w:val="0"/>
          <w:numId w:val="14"/>
        </w:numPr>
        <w:pBdr/>
        <w:ind w:left="720" w:hanging="360"/>
        <w:contextualSpacing w:val="1"/>
        <w:rPr/>
      </w:pPr>
      <w:r w:rsidDel="00000000" w:rsidR="00000000" w:rsidRPr="00000000">
        <w:rPr>
          <w:rtl w:val="0"/>
        </w:rPr>
        <w:t xml:space="preserve">The claimant then says that a distinction has been drawn within the group on the basis of a personal characteristic, namely marital status.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color w:val="ff00ff"/>
        </w:rPr>
      </w:pPr>
      <w:r w:rsidDel="00000000" w:rsidR="00000000" w:rsidRPr="00000000">
        <w:rPr>
          <w:b w:val="1"/>
          <w:rtl w:val="0"/>
        </w:rPr>
        <w:t xml:space="preserve">D. D</w:t>
      </w:r>
      <w:r w:rsidDel="00000000" w:rsidR="00000000" w:rsidRPr="00000000">
        <w:rPr>
          <w:b w:val="1"/>
          <w:color w:val="ff00ff"/>
          <w:rtl w:val="0"/>
        </w:rPr>
        <w:t xml:space="preserve">oes the Respondent Belong to the Comparator Group Thus Defined?</w:t>
      </w:r>
    </w:p>
    <w:p w:rsidR="00000000" w:rsidDel="00000000" w:rsidP="00000000" w:rsidRDefault="00000000" w:rsidRPr="00000000">
      <w:pPr>
        <w:numPr>
          <w:ilvl w:val="0"/>
          <w:numId w:val="15"/>
        </w:numPr>
        <w:pBdr/>
        <w:ind w:left="720" w:hanging="360"/>
        <w:contextualSpacing w:val="1"/>
        <w:rPr/>
      </w:pPr>
      <w:r w:rsidDel="00000000" w:rsidR="00000000" w:rsidRPr="00000000">
        <w:rPr>
          <w:color w:val="ff00ff"/>
          <w:rtl w:val="0"/>
        </w:rPr>
        <w:t xml:space="preserve">Section 44(1)(d) of the CPP targets the benefit (survivor’s pension) at surviving “spouses.” The statutory definition includes common law spouses as well as married spouses.</w:t>
      </w:r>
      <w:r w:rsidDel="00000000" w:rsidR="00000000" w:rsidRPr="00000000">
        <w:rPr>
          <w:color w:val="274e13"/>
          <w:rtl w:val="0"/>
        </w:rPr>
        <w:t xml:space="preserve"> </w:t>
      </w:r>
      <w:r w:rsidDel="00000000" w:rsidR="00000000" w:rsidRPr="00000000">
        <w:rPr>
          <w:rtl w:val="0"/>
        </w:rPr>
        <w:t xml:space="preserve">This presents a problem for the respondent. She was not in any sort of relationship at all with the deceased at the date of his death. The survivor’s pension was denied on the bases that the respondent was not at the relevant time, a spouse.</w:t>
      </w:r>
    </w:p>
    <w:p w:rsidR="00000000" w:rsidDel="00000000" w:rsidP="00000000" w:rsidRDefault="00000000" w:rsidRPr="00000000">
      <w:pPr>
        <w:numPr>
          <w:ilvl w:val="0"/>
          <w:numId w:val="15"/>
        </w:numPr>
        <w:pBdr/>
        <w:ind w:left="720" w:hanging="360"/>
        <w:contextualSpacing w:val="1"/>
        <w:rPr/>
      </w:pPr>
      <w:r w:rsidDel="00000000" w:rsidR="00000000" w:rsidRPr="00000000">
        <w:rPr>
          <w:rtl w:val="0"/>
        </w:rPr>
        <w:t xml:space="preserve">As stated, the respondent acknowledges that when she left the deceased, she intended to and did terminate their relationship.She also intended for it to be permanent. </w:t>
      </w:r>
      <w:r w:rsidDel="00000000" w:rsidR="00000000" w:rsidRPr="00000000">
        <w:rPr>
          <w:color w:val="ff00ff"/>
          <w:rtl w:val="0"/>
        </w:rPr>
        <w:t xml:space="preserve">This is to be contrasted with married spouses whose legal relationship continues to exists and who still have legal obligations to each other despite a separation, and despite any subjective intention on their part to put a de facto to end the marriage </w:t>
      </w:r>
    </w:p>
    <w:p w:rsidR="00000000" w:rsidDel="00000000" w:rsidP="00000000" w:rsidRDefault="00000000" w:rsidRPr="00000000">
      <w:pPr>
        <w:numPr>
          <w:ilvl w:val="0"/>
          <w:numId w:val="15"/>
        </w:numPr>
        <w:pBdr/>
        <w:ind w:left="720" w:hanging="360"/>
        <w:contextualSpacing w:val="1"/>
        <w:rPr/>
      </w:pPr>
      <w:r w:rsidDel="00000000" w:rsidR="00000000" w:rsidRPr="00000000">
        <w:rPr>
          <w:rtl w:val="0"/>
        </w:rPr>
        <w:t xml:space="preserve">At the time of his death, therefore, she was not a “separated” common law spouse but a “former” common law spouse. Former common law spouses are no longer spouses in any legal sense at common law. In neither case are they eligible for a survivor’s pension under the CPP.</w:t>
      </w: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Chapter 6 : Analogous Grounds (FINAL)</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Corbiere v. Canada (Minister of Indian and Northern Affairs), [1999] 2 S.C.R. 203.</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“The narrow issue raised in this appeal is whether the exclusion of off-reserve members of an </w:t>
      </w:r>
      <w:r w:rsidDel="00000000" w:rsidR="00000000" w:rsidRPr="00000000">
        <w:rPr>
          <w:color w:val="ff0000"/>
          <w:rtl w:val="0"/>
        </w:rPr>
        <w:t xml:space="preserve">Indian band from the right to vote in band elections pursuant to s. 77(1) of the Indian Act…</w:t>
      </w:r>
    </w:p>
    <w:p w:rsidR="00000000" w:rsidDel="00000000" w:rsidP="00000000" w:rsidRDefault="00000000" w:rsidRPr="00000000">
      <w:pPr>
        <w:numPr>
          <w:ilvl w:val="0"/>
          <w:numId w:val="24"/>
        </w:numPr>
        <w:pBdr/>
        <w:ind w:left="720" w:hanging="360"/>
        <w:contextualSpacing w:val="1"/>
        <w:rPr>
          <w:color w:val="ff0000"/>
        </w:rPr>
      </w:pPr>
      <w:r w:rsidDel="00000000" w:rsidR="00000000" w:rsidRPr="00000000">
        <w:rPr>
          <w:shd w:fill="ff9900" w:val="clear"/>
          <w:rtl w:val="0"/>
        </w:rPr>
        <w:t xml:space="preserve">1) Does the law create a distinction based on an enumerated or analogous ground?</w:t>
      </w:r>
      <w:r w:rsidDel="00000000" w:rsidR="00000000" w:rsidRPr="00000000">
        <w:rPr>
          <w:rtl w:val="0"/>
        </w:rPr>
        <w:t xml:space="preserve"> (</w:t>
      </w:r>
      <w:r w:rsidDel="00000000" w:rsidR="00000000" w:rsidRPr="00000000">
        <w:rPr>
          <w:highlight w:val="green"/>
          <w:rtl w:val="0"/>
        </w:rPr>
        <w:t xml:space="preserve">2) Does the distinction create a disadvantage by perpetuating prejudice or stereotyping?</w:t>
      </w:r>
      <w:r w:rsidDel="00000000" w:rsidR="00000000" w:rsidRPr="00000000">
        <w:rPr>
          <w:rtl w:val="0"/>
        </w:rPr>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 </w:t>
      </w:r>
      <w:r w:rsidDel="00000000" w:rsidR="00000000" w:rsidRPr="00000000">
        <w:rPr>
          <w:color w:val="9900ff"/>
          <w:rtl w:val="0"/>
        </w:rPr>
        <w:t xml:space="preserve">(1)</w:t>
      </w:r>
      <w:r w:rsidDel="00000000" w:rsidR="00000000" w:rsidRPr="00000000">
        <w:rPr>
          <w:rtl w:val="0"/>
        </w:rPr>
        <w:t xml:space="preserve">t</w:t>
      </w:r>
      <w:r w:rsidDel="00000000" w:rsidR="00000000" w:rsidRPr="00000000">
        <w:rPr>
          <w:color w:val="9900ff"/>
          <w:rtl w:val="0"/>
        </w:rPr>
        <w:t xml:space="preserve">hat the same ground may or may not be analogous depending on the circumstances; and (2) the criteria that identify an analogous ground.”</w:t>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The enumerated grounds function as </w:t>
      </w:r>
      <w:r w:rsidDel="00000000" w:rsidR="00000000" w:rsidRPr="00000000">
        <w:rPr>
          <w:b w:val="1"/>
          <w:rtl w:val="0"/>
        </w:rPr>
        <w:t xml:space="preserve">legislative markers </w:t>
      </w:r>
      <w:r w:rsidDel="00000000" w:rsidR="00000000" w:rsidRPr="00000000">
        <w:rPr>
          <w:rtl w:val="0"/>
        </w:rPr>
        <w:t xml:space="preserve">associated with discriminatory decision making. It is irrelevant whether discrimination exists in a particular case. For example, we do not speak of enumerated grounds existing in one circumstances and not another. The enumerated and analogous grounds should stand as constant markers of the decision making of potential discrimination. </w:t>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Court disagrees that a market of discrimination can change from case to case. In short, what is analogous is always analogous but does not always constitute discrimination in the circumstances of the case.</w:t>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“Because "Aboriginality-residence" is to be an analogous ground then it must always stand as a constant marker of potential legislative discrimination.This established, the analysis moves to the next stage whether the distinction amounts, in purpose or effect, to discrimination on the facts of the case.”</w:t>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 “…The analogous grounds serve as jurisprudential markers for distinctions.By screening out other cases, </w:t>
      </w:r>
      <w:r w:rsidDel="00000000" w:rsidR="00000000" w:rsidRPr="00000000">
        <w:rPr>
          <w:b w:val="1"/>
          <w:u w:val="single"/>
          <w:rtl w:val="0"/>
        </w:rPr>
        <w:t xml:space="preserve">they avoid trivializing the s. 15 equality guarantee and promote the efficient use of judicial resources.</w:t>
      </w:r>
      <w:r w:rsidDel="00000000" w:rsidR="00000000" w:rsidRPr="00000000">
        <w:rPr>
          <w:rtl w:val="0"/>
        </w:rPr>
        <w:t xml:space="preserve"> And they permit the development over time of a conceptual jurisprudence of the sorts of distinctions that fall under the s. 15 guarantee, without foreclosing other kinds of cases</w:t>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Court says it is the grounds  analogous that is enumerated in s. 15 -- </w:t>
      </w:r>
      <w:r w:rsidDel="00000000" w:rsidR="00000000" w:rsidRPr="00000000">
        <w:rPr>
          <w:b w:val="1"/>
          <w:rtl w:val="0"/>
        </w:rPr>
        <w:t xml:space="preserve">race, national or ethnic origin, colour, religion, sex, age, or mental or physical disability.”</w:t>
      </w:r>
    </w:p>
    <w:p w:rsidR="00000000" w:rsidDel="00000000" w:rsidP="00000000" w:rsidRDefault="00000000" w:rsidRPr="00000000">
      <w:pPr>
        <w:numPr>
          <w:ilvl w:val="0"/>
          <w:numId w:val="24"/>
        </w:numPr>
        <w:pBdr/>
        <w:ind w:left="720" w:hanging="360"/>
        <w:contextualSpacing w:val="1"/>
        <w:rPr>
          <w:b w:val="1"/>
        </w:rPr>
      </w:pPr>
      <w:r w:rsidDel="00000000" w:rsidR="00000000" w:rsidRPr="00000000">
        <w:rPr>
          <w:rtl w:val="0"/>
        </w:rPr>
        <w:t xml:space="preserve">What these grounds have in common is that they are immutable or changeable only at unacceptable cost to personal identity. </w:t>
      </w:r>
    </w:p>
    <w:p w:rsidR="00000000" w:rsidDel="00000000" w:rsidP="00000000" w:rsidRDefault="00000000" w:rsidRPr="00000000">
      <w:pPr>
        <w:numPr>
          <w:ilvl w:val="0"/>
          <w:numId w:val="24"/>
        </w:numPr>
        <w:pBdr/>
        <w:ind w:left="720" w:hanging="360"/>
        <w:contextualSpacing w:val="1"/>
        <w:rPr>
          <w:b w:val="1"/>
        </w:rPr>
      </w:pPr>
      <w:r w:rsidDel="00000000" w:rsidR="00000000" w:rsidRPr="00000000">
        <w:rPr>
          <w:rtl w:val="0"/>
        </w:rPr>
        <w:t xml:space="preserve">This suggests that under the second stage of the Law analysis is to reveal grounds based on characteristics that</w:t>
      </w:r>
      <w:r w:rsidDel="00000000" w:rsidR="00000000" w:rsidRPr="00000000">
        <w:rPr>
          <w:b w:val="1"/>
          <w:rtl w:val="0"/>
        </w:rPr>
        <w:t xml:space="preserve"> we cannot change or that the government has no legitimate interest in expecting us to change to receive equal treatment under the law</w:t>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Court says that "Aboriginality-residence" is an analogous ground whether  Aboriginal band member lives on or off the reserve.</w:t>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Similarly,  Off-reserve Aboriginal band members can only change their status to on-reserve band members only at great cost</w:t>
      </w:r>
    </w:p>
    <w:p w:rsidR="00000000" w:rsidDel="00000000" w:rsidP="00000000" w:rsidRDefault="00000000" w:rsidRPr="00000000">
      <w:pPr>
        <w:numPr>
          <w:ilvl w:val="0"/>
          <w:numId w:val="24"/>
        </w:numPr>
        <w:pBdr/>
        <w:ind w:left="720" w:hanging="360"/>
        <w:contextualSpacing w:val="1"/>
        <w:rPr/>
      </w:pPr>
      <w:r w:rsidDel="00000000" w:rsidR="00000000" w:rsidRPr="00000000">
        <w:rPr>
          <w:rtl w:val="0"/>
        </w:rPr>
        <w:t xml:space="preserve"> “Two brief comments on this new analogous ground are warranted.</w:t>
      </w:r>
      <w:r w:rsidDel="00000000" w:rsidR="00000000" w:rsidRPr="00000000">
        <w:rPr>
          <w:b w:val="1"/>
          <w:rtl w:val="0"/>
        </w:rPr>
        <w:t xml:space="preserve"> First</w:t>
      </w:r>
      <w:r w:rsidDel="00000000" w:rsidR="00000000" w:rsidRPr="00000000">
        <w:rPr>
          <w:rtl w:val="0"/>
        </w:rPr>
        <w:t xml:space="preserve">, reserve status should not be confused with residence. Aboriginal band members  do not always get the choice to live on or off the reserves. </w:t>
      </w:r>
      <w:r w:rsidDel="00000000" w:rsidR="00000000" w:rsidRPr="00000000">
        <w:rPr>
          <w:b w:val="1"/>
          <w:rtl w:val="0"/>
        </w:rPr>
        <w:t xml:space="preserve">Second,</w:t>
      </w:r>
      <w:r w:rsidDel="00000000" w:rsidR="00000000" w:rsidRPr="00000000">
        <w:rPr>
          <w:rtl w:val="0"/>
        </w:rPr>
        <w:t xml:space="preserve"> we note that the analogous ground of Aboriginality-residence is </w:t>
      </w:r>
      <w:r w:rsidDel="00000000" w:rsidR="00000000" w:rsidRPr="00000000">
        <w:rPr>
          <w:u w:val="single"/>
          <w:rtl w:val="0"/>
        </w:rPr>
        <w:t xml:space="preserve">limited</w:t>
      </w:r>
      <w:r w:rsidDel="00000000" w:rsidR="00000000" w:rsidRPr="00000000">
        <w:rPr>
          <w:rtl w:val="0"/>
        </w:rPr>
        <w:t xml:space="preserve"> to a subset of the Canadian population, while s. 15 is directed to everyone.”</w:t>
      </w:r>
    </w:p>
    <w:p w:rsidR="00000000" w:rsidDel="00000000" w:rsidP="00000000" w:rsidRDefault="00000000" w:rsidRPr="00000000">
      <w:pPr>
        <w:pBdr/>
        <w:contextualSpacing w:val="0"/>
        <w:rPr>
          <w:color w:val="9900ff"/>
        </w:rPr>
      </w:pPr>
      <w:r w:rsidDel="00000000" w:rsidR="00000000" w:rsidRPr="00000000">
        <w:rPr>
          <w:rtl w:val="0"/>
        </w:rPr>
      </w:r>
    </w:p>
    <w:p w:rsidR="00000000" w:rsidDel="00000000" w:rsidP="00000000" w:rsidRDefault="00000000" w:rsidRPr="00000000">
      <w:pPr>
        <w:pBdr/>
        <w:contextualSpacing w:val="0"/>
        <w:rPr>
          <w:color w:val="9900ff"/>
        </w:rPr>
      </w:pPr>
      <w:r w:rsidDel="00000000" w:rsidR="00000000" w:rsidRPr="00000000">
        <w:rPr>
          <w:color w:val="9900ff"/>
          <w:rtl w:val="0"/>
        </w:rPr>
        <w:t xml:space="preserve">Q How does the court define analogous grounds? (constant markers, immutability, and only at a great cost). Once analogous, always analogous.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Falkiner v. Ontario (Ministry of Community and Social Services, Income Maintenance Branch), (2002) 59 O.R. (3d) 48</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7"/>
        </w:numPr>
        <w:pBdr/>
        <w:ind w:left="720" w:hanging="360"/>
        <w:contextualSpacing w:val="1"/>
        <w:rPr/>
      </w:pPr>
      <w:r w:rsidDel="00000000" w:rsidR="00000000" w:rsidRPr="00000000">
        <w:rPr>
          <w:rtl w:val="0"/>
        </w:rPr>
        <w:t xml:space="preserve"> “In the Falkiner appeal, each of the respondents was an unmarried woman, had a dependent child or children, and was in a "try on" relationship with a man with whom she had lived for less than a year. Before 1995, each was receiving social assistance as a single mother. When the 1995 definition came into effect, the Director of the Income Maintenance Branch of the Ministry of Community and Social Services reclassified each respondent as a spouse. This reclassification meant that each respondent lost her eligibility to receive family benefits as a </w:t>
      </w:r>
      <w:r w:rsidDel="00000000" w:rsidR="00000000" w:rsidRPr="00000000">
        <w:rPr>
          <w:b w:val="1"/>
          <w:rtl w:val="0"/>
        </w:rPr>
        <w:t xml:space="preserve">"sole support parent”</w:t>
      </w:r>
      <w:r w:rsidDel="00000000" w:rsidR="00000000" w:rsidRPr="00000000">
        <w:rPr>
          <w:rtl w:val="0"/>
        </w:rPr>
        <w:t xml:space="preserv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t xml:space="preserve">They argue that the differential treatment imposed on them by the definition of spouse flows from these three characteristics.” </w:t>
      </w:r>
      <w:r w:rsidDel="00000000" w:rsidR="00000000" w:rsidRPr="00000000">
        <w:rPr>
          <w:b w:val="1"/>
          <w:rtl w:val="0"/>
        </w:rPr>
        <w:t xml:space="preserve">Sex, social assistance and single mothers.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t xml:space="preserve">73 “</w:t>
      </w:r>
      <w:r w:rsidDel="00000000" w:rsidR="00000000" w:rsidRPr="00000000">
        <w:rPr>
          <w:b w:val="1"/>
          <w:rtl w:val="0"/>
        </w:rPr>
        <w:t xml:space="preserve">First, t</w:t>
      </w:r>
      <w:r w:rsidDel="00000000" w:rsidR="00000000" w:rsidRPr="00000000">
        <w:rPr>
          <w:rtl w:val="0"/>
        </w:rPr>
        <w:t xml:space="preserve">he respondents allege that they have been treated unequally on the basis of the personal characteristic of being a</w:t>
      </w:r>
      <w:r w:rsidDel="00000000" w:rsidR="00000000" w:rsidRPr="00000000">
        <w:rPr>
          <w:b w:val="1"/>
          <w:rtl w:val="0"/>
        </w:rPr>
        <w:t xml:space="preserve"> social assistance recipient.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color w:val="ff00ff"/>
        </w:rPr>
      </w:pPr>
      <w:r w:rsidDel="00000000" w:rsidR="00000000" w:rsidRPr="00000000">
        <w:rPr>
          <w:rtl w:val="0"/>
        </w:rPr>
        <w:t xml:space="preserve"> </w:t>
      </w:r>
      <w:r w:rsidDel="00000000" w:rsidR="00000000" w:rsidRPr="00000000">
        <w:rPr>
          <w:color w:val="0000ff"/>
          <w:rtl w:val="0"/>
        </w:rPr>
        <w:t xml:space="preserve">They have suffered adverse state-imposed financial consequences because they began living in try-on relationships</w:t>
      </w:r>
      <w:r w:rsidDel="00000000" w:rsidR="00000000" w:rsidRPr="00000000">
        <w:rPr>
          <w:rtl w:val="0"/>
        </w:rPr>
        <w:t xml:space="preserve">.”By contrast, </w:t>
      </w:r>
      <w:r w:rsidDel="00000000" w:rsidR="00000000" w:rsidRPr="00000000">
        <w:rPr>
          <w:color w:val="ff00ff"/>
          <w:rtl w:val="0"/>
        </w:rPr>
        <w:t xml:space="preserve">single people (single people in general, not single mothers)</w:t>
      </w:r>
      <w:r w:rsidDel="00000000" w:rsidR="00000000" w:rsidRPr="00000000">
        <w:rPr>
          <w:rtl w:val="0"/>
        </w:rPr>
        <w:t xml:space="preserve"> </w:t>
      </w:r>
      <w:r w:rsidDel="00000000" w:rsidR="00000000" w:rsidRPr="00000000">
        <w:rPr>
          <w:b w:val="1"/>
          <w:rtl w:val="0"/>
        </w:rPr>
        <w:t xml:space="preserve">who are not on social assistance</w:t>
      </w:r>
      <w:r w:rsidDel="00000000" w:rsidR="00000000" w:rsidRPr="00000000">
        <w:rPr>
          <w:rtl w:val="0"/>
        </w:rPr>
        <w:t xml:space="preserve"> are free to have these relationships without attracting any kind of state-imposed financial consequences.</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74 “</w:t>
      </w:r>
      <w:r w:rsidDel="00000000" w:rsidR="00000000" w:rsidRPr="00000000">
        <w:rPr>
          <w:b w:val="1"/>
          <w:rtl w:val="0"/>
        </w:rPr>
        <w:t xml:space="preserve">Second,</w:t>
      </w:r>
      <w:r w:rsidDel="00000000" w:rsidR="00000000" w:rsidRPr="00000000">
        <w:rPr>
          <w:rtl w:val="0"/>
        </w:rPr>
        <w:t xml:space="preserve"> the respondents allege that they have been treated differentially on the basis that they are</w:t>
      </w:r>
      <w:r w:rsidDel="00000000" w:rsidR="00000000" w:rsidRPr="00000000">
        <w:rPr>
          <w:b w:val="1"/>
          <w:rtl w:val="0"/>
        </w:rPr>
        <w:t xml:space="preserve"> women, and in particular single mothers. </w:t>
      </w:r>
      <w:r w:rsidDel="00000000" w:rsidR="00000000" w:rsidRPr="00000000">
        <w:rPr>
          <w:rtl w:val="0"/>
        </w:rPr>
        <w:t xml:space="preserve">This alleged differential treatment on the basis of sex can best be assessed by looking at the statistics.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77 “In my view, the statistics demonstrate that both women and single mothers are disproportionately adversely affected by the definition of spouse.  Although </w:t>
      </w:r>
      <w:r w:rsidDel="00000000" w:rsidR="00000000" w:rsidRPr="00000000">
        <w:rPr>
          <w:b w:val="1"/>
          <w:rtl w:val="0"/>
        </w:rPr>
        <w:t xml:space="preserve">women </w:t>
      </w:r>
      <w:r w:rsidDel="00000000" w:rsidR="00000000" w:rsidRPr="00000000">
        <w:rPr>
          <w:rtl w:val="0"/>
        </w:rPr>
        <w:t xml:space="preserve">accounted for only </w:t>
      </w:r>
      <w:r w:rsidDel="00000000" w:rsidR="00000000" w:rsidRPr="00000000">
        <w:rPr>
          <w:b w:val="1"/>
          <w:rtl w:val="0"/>
        </w:rPr>
        <w:t xml:space="preserve">54%</w:t>
      </w:r>
      <w:r w:rsidDel="00000000" w:rsidR="00000000" w:rsidRPr="00000000">
        <w:rPr>
          <w:rtl w:val="0"/>
        </w:rPr>
        <w:t xml:space="preserve"> of those receiving social assistance and only</w:t>
      </w:r>
      <w:r w:rsidDel="00000000" w:rsidR="00000000" w:rsidRPr="00000000">
        <w:rPr>
          <w:b w:val="1"/>
          <w:rtl w:val="0"/>
        </w:rPr>
        <w:t xml:space="preserve"> 60%</w:t>
      </w:r>
      <w:r w:rsidDel="00000000" w:rsidR="00000000" w:rsidRPr="00000000">
        <w:rPr>
          <w:rtl w:val="0"/>
        </w:rPr>
        <w:t xml:space="preserve"> of </w:t>
      </w:r>
      <w:r w:rsidDel="00000000" w:rsidR="00000000" w:rsidRPr="00000000">
        <w:rPr>
          <w:b w:val="1"/>
          <w:rtl w:val="0"/>
        </w:rPr>
        <w:t xml:space="preserve">single persons </w:t>
      </w:r>
      <w:r w:rsidDel="00000000" w:rsidR="00000000" w:rsidRPr="00000000">
        <w:rPr>
          <w:rtl w:val="0"/>
        </w:rPr>
        <w:t xml:space="preserve">receiving benefits, they accounted for nearly</w:t>
      </w:r>
      <w:r w:rsidDel="00000000" w:rsidR="00000000" w:rsidRPr="00000000">
        <w:rPr>
          <w:b w:val="1"/>
          <w:rtl w:val="0"/>
        </w:rPr>
        <w:t xml:space="preserve"> 90% </w:t>
      </w:r>
      <w:r w:rsidDel="00000000" w:rsidR="00000000" w:rsidRPr="00000000">
        <w:rPr>
          <w:rtl w:val="0"/>
        </w:rPr>
        <w:t xml:space="preserve">of those whose benefits were terminated by the definition of spouse. The corresponding figures for single mothers also show the definition's disproportionate impact on that group. The respondents have therefore been subjected to differential treatment on the basis of sex.” (65)</w:t>
      </w:r>
    </w:p>
    <w:p w:rsidR="00000000" w:rsidDel="00000000" w:rsidP="00000000" w:rsidRDefault="00000000" w:rsidRPr="00000000">
      <w:pPr>
        <w:pBdr/>
        <w:contextualSpacing w:val="0"/>
        <w:rPr>
          <w:b w:val="1"/>
        </w:rPr>
      </w:pPr>
      <w:r w:rsidDel="00000000" w:rsidR="00000000" w:rsidRPr="00000000">
        <w:drawing>
          <wp:inline distB="114300" distT="114300" distL="114300" distR="114300">
            <wp:extent cx="5731200" cy="1244600"/>
            <wp:effectExtent b="0" l="0" r="0" t="0"/>
            <wp:docPr id="1" name="image01.png"/>
            <a:graphic>
              <a:graphicData uri="http://schemas.openxmlformats.org/drawingml/2006/picture">
                <pic:pic>
                  <pic:nvPicPr>
                    <pic:cNvPr id="0" name="image01.png"/>
                    <pic:cNvPicPr preferRelativeResize="0"/>
                  </pic:nvPicPr>
                  <pic:blipFill>
                    <a:blip r:embed="rId5"/>
                    <a:srcRect b="0" l="0" r="0" t="0"/>
                    <a:stretch>
                      <a:fillRect/>
                    </a:stretch>
                  </pic:blipFill>
                  <pic:spPr>
                    <a:xfrm>
                      <a:off x="0" y="0"/>
                      <a:ext cx="5731200" cy="1244600"/>
                    </a:xfrm>
                    <a:prstGeom prst="rect"/>
                    <a:ln/>
                  </pic:spPr>
                </pic:pic>
              </a:graphicData>
            </a:graphic>
          </wp:inline>
        </w:drawing>
      </w:r>
      <w:r w:rsidDel="00000000" w:rsidR="00000000" w:rsidRPr="00000000">
        <w:rPr>
          <w:rtl w:val="0"/>
        </w:rPr>
      </w:r>
    </w:p>
    <w:p w:rsidR="00000000" w:rsidDel="00000000" w:rsidP="00000000" w:rsidRDefault="00000000" w:rsidRPr="00000000">
      <w:pPr>
        <w:pBdr/>
        <w:contextualSpacing w:val="0"/>
        <w:rPr/>
      </w:pPr>
      <w:r w:rsidDel="00000000" w:rsidR="00000000" w:rsidRPr="00000000">
        <w:rPr>
          <w:b w:val="1"/>
          <w:rtl w:val="0"/>
        </w:rPr>
        <w:t xml:space="preserve">Third</w:t>
      </w:r>
      <w:r w:rsidDel="00000000" w:rsidR="00000000" w:rsidRPr="00000000">
        <w:rPr>
          <w:rtl w:val="0"/>
        </w:rPr>
        <w:t xml:space="preserve">, differential treatment on the basis of being single mothers.  This claim can be understood in two ways.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t xml:space="preserve">First, the evidence showing the definitions differential treatment on the basis of </w:t>
      </w:r>
      <w:r w:rsidDel="00000000" w:rsidR="00000000" w:rsidRPr="00000000">
        <w:rPr>
          <w:b w:val="1"/>
          <w:rtl w:val="0"/>
        </w:rPr>
        <w:t xml:space="preserve">sex </w:t>
      </w:r>
      <w:r w:rsidDel="00000000" w:rsidR="00000000" w:rsidRPr="00000000">
        <w:rPr>
          <w:rtl w:val="0"/>
        </w:rPr>
        <w:t xml:space="preserve">also demonstrates the definitions disproportionate impact on </w:t>
      </w:r>
      <w:r w:rsidDel="00000000" w:rsidR="00000000" w:rsidRPr="00000000">
        <w:rPr>
          <w:b w:val="1"/>
          <w:rtl w:val="0"/>
        </w:rPr>
        <w:t xml:space="preserve">single mothers.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Secondly, the fact that they are </w:t>
      </w:r>
      <w:r w:rsidDel="00000000" w:rsidR="00000000" w:rsidRPr="00000000">
        <w:rPr>
          <w:b w:val="1"/>
          <w:rtl w:val="0"/>
        </w:rPr>
        <w:t xml:space="preserve">single mothers</w:t>
      </w:r>
      <w:r w:rsidDel="00000000" w:rsidR="00000000" w:rsidRPr="00000000">
        <w:rPr>
          <w:rtl w:val="0"/>
        </w:rPr>
        <w:t xml:space="preserve"> they may be viewed as having received differential treatment on the basis of personal characteristic of </w:t>
      </w:r>
      <w:r w:rsidDel="00000000" w:rsidR="00000000" w:rsidRPr="00000000">
        <w:rPr>
          <w:b w:val="1"/>
          <w:rtl w:val="0"/>
        </w:rPr>
        <w:t xml:space="preserve">marital status.</w:t>
      </w:r>
      <w:r w:rsidDel="00000000" w:rsidR="00000000" w:rsidRPr="00000000">
        <w:rPr>
          <w:rtl w:val="0"/>
        </w:rPr>
        <w:t xml:space="preserve"> This is shown where married people on social assistance receive benefits in accordance with a benefit unit that reflects their actual economic position, whereas the definition of ‘spouse’ puts the respondents and singles like them into a benefit unit that does not accurately reflect their economic situation.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t xml:space="preserve">However, social assistance is not an analogous ground, because  recognizing social assistance as an analogous ground of discrimination is controversial primarily because of concerns about singling out the economically disadvantaged for Charter protection, about </w:t>
      </w:r>
      <w:r w:rsidDel="00000000" w:rsidR="00000000" w:rsidRPr="00000000">
        <w:rPr>
          <w:b w:val="1"/>
          <w:rtl w:val="0"/>
        </w:rPr>
        <w:t xml:space="preserve">immutability </w:t>
      </w:r>
      <w:r w:rsidDel="00000000" w:rsidR="00000000" w:rsidRPr="00000000">
        <w:rPr>
          <w:rtl w:val="0"/>
        </w:rPr>
        <w:t xml:space="preserve">and about l</w:t>
      </w:r>
      <w:r w:rsidDel="00000000" w:rsidR="00000000" w:rsidRPr="00000000">
        <w:rPr>
          <w:b w:val="1"/>
          <w:rtl w:val="0"/>
        </w:rPr>
        <w:t xml:space="preserve">ack of homogeneity.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40"/>
        </w:numPr>
        <w:pBdr/>
        <w:ind w:left="720" w:hanging="360"/>
        <w:contextualSpacing w:val="1"/>
        <w:rPr/>
      </w:pPr>
      <w:r w:rsidDel="00000000" w:rsidR="00000000" w:rsidRPr="00000000">
        <w:rPr>
          <w:rtl w:val="0"/>
        </w:rPr>
        <w:t xml:space="preserve">Social assistance is not an analogous ground under s.15</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Q: What does the respondents argue? On the basis of sex, and single mothers but NOT social assistance recipients. </w:t>
      </w:r>
    </w:p>
    <w:p w:rsidR="00000000" w:rsidDel="00000000" w:rsidP="00000000" w:rsidRDefault="00000000" w:rsidRPr="00000000">
      <w:pPr>
        <w:pBdr/>
        <w:contextualSpacing w:val="0"/>
        <w:rPr/>
      </w:pPr>
      <w:r w:rsidDel="00000000" w:rsidR="00000000" w:rsidRPr="00000000">
        <w:rPr>
          <w:rtl w:val="0"/>
        </w:rPr>
        <w:t xml:space="preserve">Q: What does the courts conclude? (statistics 65)</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85 </w:t>
      </w:r>
      <w:r w:rsidDel="00000000" w:rsidR="00000000" w:rsidRPr="00000000">
        <w:rPr>
          <w:b w:val="1"/>
          <w:rtl w:val="0"/>
        </w:rPr>
        <w:t xml:space="preserve">“First, </w:t>
      </w:r>
      <w:r w:rsidDel="00000000" w:rsidR="00000000" w:rsidRPr="00000000">
        <w:rPr>
          <w:rtl w:val="0"/>
        </w:rPr>
        <w:t xml:space="preserve">the main question in deciding whether a ground of discrimination should be recognized as analogous is whether its recognition would further the purpose of s. 15…”</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“…"significant evidence of historical disadvantage of and continuing prejudice against social assistance recipients, particularly sole-support mothers". This evidence showed: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 Single mothers make up one of the most economically disadvantaged groups in Canada. </w:t>
      </w:r>
    </w:p>
    <w:p w:rsidR="00000000" w:rsidDel="00000000" w:rsidP="00000000" w:rsidRDefault="00000000" w:rsidRPr="00000000">
      <w:pPr>
        <w:pBdr/>
        <w:contextualSpacing w:val="0"/>
        <w:rPr/>
      </w:pPr>
      <w:r w:rsidDel="00000000" w:rsidR="00000000" w:rsidRPr="00000000">
        <w:rPr>
          <w:rtl w:val="0"/>
        </w:rPr>
        <w:t xml:space="preserve"> -Social assistance recipients have difficulty becoming self-sufficient, in part because of their limited education and lack of employability.”</w:t>
      </w:r>
    </w:p>
    <w:p w:rsidR="00000000" w:rsidDel="00000000" w:rsidP="00000000" w:rsidRDefault="00000000" w:rsidRPr="00000000">
      <w:pPr>
        <w:pBdr/>
        <w:contextualSpacing w:val="0"/>
        <w:rPr/>
      </w:pPr>
      <w:r w:rsidDel="00000000" w:rsidR="00000000" w:rsidRPr="00000000">
        <w:rPr>
          <w:color w:val="9900ff"/>
          <w:rtl w:val="0"/>
        </w:rPr>
        <w:t xml:space="preserve">- </w:t>
      </w:r>
      <w:r w:rsidDel="00000000" w:rsidR="00000000" w:rsidRPr="00000000">
        <w:rPr>
          <w:rtl w:val="0"/>
        </w:rPr>
        <w:t xml:space="preserve">Social assistance recipients face resentment and anger from others in society, who see them as freeloading and lazy. They are therefore subject to stigma leading to social exclusion.</w:t>
      </w:r>
    </w:p>
    <w:p w:rsidR="00000000" w:rsidDel="00000000" w:rsidP="00000000" w:rsidRDefault="00000000" w:rsidRPr="00000000">
      <w:pPr>
        <w:pBdr/>
        <w:contextualSpacing w:val="0"/>
        <w:rPr/>
      </w:pPr>
      <w:r w:rsidDel="00000000" w:rsidR="00000000" w:rsidRPr="00000000">
        <w:rPr>
          <w:rtl w:val="0"/>
        </w:rPr>
        <w:t xml:space="preserve">- Therefore, Sole support parents on social assistance are politically powerless.”</w:t>
      </w:r>
    </w:p>
    <w:p w:rsidR="00000000" w:rsidDel="00000000" w:rsidP="00000000" w:rsidRDefault="00000000" w:rsidRPr="00000000">
      <w:pPr>
        <w:pBdr/>
        <w:contextualSpacing w:val="0"/>
        <w:rPr>
          <w:color w:val="9900ff"/>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88, “</w:t>
      </w:r>
      <w:r w:rsidDel="00000000" w:rsidR="00000000" w:rsidRPr="00000000">
        <w:rPr>
          <w:b w:val="1"/>
          <w:rtl w:val="0"/>
        </w:rPr>
        <w:t xml:space="preserve">Second</w:t>
      </w:r>
      <w:r w:rsidDel="00000000" w:rsidR="00000000" w:rsidRPr="00000000">
        <w:rPr>
          <w:rtl w:val="0"/>
        </w:rPr>
        <w:t xml:space="preserve">, although the receipt of social assistance reflects economic disadvantage, which alone does not justify protection under s. 15, economic disadvantage </w:t>
      </w:r>
      <w:r w:rsidDel="00000000" w:rsidR="00000000" w:rsidRPr="00000000">
        <w:rPr>
          <w:color w:val="ff00ff"/>
          <w:rtl w:val="0"/>
        </w:rPr>
        <w:t xml:space="preserve">often co-exists with </w:t>
      </w:r>
      <w:r w:rsidDel="00000000" w:rsidR="00000000" w:rsidRPr="00000000">
        <w:rPr>
          <w:b w:val="1"/>
          <w:rtl w:val="0"/>
        </w:rPr>
        <w:t xml:space="preserve">other forms of disadvantage</w:t>
      </w:r>
      <w:r w:rsidDel="00000000" w:rsidR="00000000" w:rsidRPr="00000000">
        <w:rPr>
          <w:rtl w:val="0"/>
        </w:rPr>
        <w:t xml:space="preserve">, which is the case here. The economic disadvantage suffered by social assistance recipients is only one feature which may be related to historical disadvantaged and vulnerability.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89 “</w:t>
      </w:r>
      <w:r w:rsidDel="00000000" w:rsidR="00000000" w:rsidRPr="00000000">
        <w:rPr>
          <w:b w:val="1"/>
          <w:rtl w:val="0"/>
        </w:rPr>
        <w:t xml:space="preserve">Third,</w:t>
      </w:r>
      <w:r w:rsidDel="00000000" w:rsidR="00000000" w:rsidRPr="00000000">
        <w:rPr>
          <w:color w:val="ff00ff"/>
          <w:rtl w:val="0"/>
        </w:rPr>
        <w:t xml:space="preserve"> immutability</w:t>
      </w:r>
      <w:r w:rsidDel="00000000" w:rsidR="00000000" w:rsidRPr="00000000">
        <w:rPr>
          <w:rtl w:val="0"/>
        </w:rPr>
        <w:t xml:space="preserve"> in the sense of a characteristic that cannot be changed - race is an example - is not a requirement for recognizing an analogous ground. The Supreme Court of Canada has taken a more expansive view of "immutability". A characteristic that is difficult to change, that the government has no legitimate interest in expecting us to change, that can be changed only at great personal cost or that can be changed only after a </w:t>
      </w:r>
      <w:r w:rsidDel="00000000" w:rsidR="00000000" w:rsidRPr="00000000">
        <w:rPr>
          <w:color w:val="ff0000"/>
          <w:rtl w:val="0"/>
        </w:rPr>
        <w:t xml:space="preserve">significant period of </w:t>
      </w:r>
      <w:r w:rsidDel="00000000" w:rsidR="00000000" w:rsidRPr="00000000">
        <w:rPr>
          <w:rtl w:val="0"/>
        </w:rPr>
        <w:t xml:space="preserve">time may be recognized as an analogous ground.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89 “…[continued] Receipt of social assistance is a characteristic that is difficult to change, at least for a significant period of time. It fits the expansive and flexible concept of immutability developed in the cases.”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90 “</w:t>
      </w:r>
      <w:r w:rsidDel="00000000" w:rsidR="00000000" w:rsidRPr="00000000">
        <w:rPr>
          <w:b w:val="1"/>
          <w:rtl w:val="0"/>
        </w:rPr>
        <w:t xml:space="preserve">Fourth,</w:t>
      </w:r>
      <w:r w:rsidDel="00000000" w:rsidR="00000000" w:rsidRPr="00000000">
        <w:rPr>
          <w:rtl w:val="0"/>
        </w:rPr>
        <w:t xml:space="preserve"> an important indicator of recognition is whether the proposed analogous ground is protected in </w:t>
      </w:r>
      <w:r w:rsidDel="00000000" w:rsidR="00000000" w:rsidRPr="00000000">
        <w:rPr>
          <w:color w:val="ff00ff"/>
          <w:rtl w:val="0"/>
        </w:rPr>
        <w:t xml:space="preserve">human rights statutes</w:t>
      </w:r>
      <w:r w:rsidDel="00000000" w:rsidR="00000000" w:rsidRPr="00000000">
        <w:rPr>
          <w:rtl w:val="0"/>
        </w:rPr>
        <w:t xml:space="preserve">, which themselves are considered quasi-constitutional. Most provincial human rights codes prohibit, for some purposes, discrimination on a ground related to receiving welfare: for example,  discrimination is prohibited on the basis of "receipt of public assistance" in Ontario and Saskatchewan.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91 </w:t>
      </w:r>
      <w:r w:rsidDel="00000000" w:rsidR="00000000" w:rsidRPr="00000000">
        <w:rPr>
          <w:b w:val="1"/>
          <w:rtl w:val="0"/>
        </w:rPr>
        <w:t xml:space="preserve">“Finally, </w:t>
      </w:r>
      <w:r w:rsidDel="00000000" w:rsidR="00000000" w:rsidRPr="00000000">
        <w:rPr>
          <w:color w:val="ff00ff"/>
          <w:rtl w:val="0"/>
        </w:rPr>
        <w:t xml:space="preserve">homogeneity has never been a requirement </w:t>
      </w:r>
      <w:r w:rsidDel="00000000" w:rsidR="00000000" w:rsidRPr="00000000">
        <w:rPr>
          <w:rtl w:val="0"/>
        </w:rPr>
        <w:t xml:space="preserve">for recognizing an analogous ground. Thus, though some recipients of social assistance may be more disadvantaged than others, </w:t>
      </w:r>
      <w:r w:rsidDel="00000000" w:rsidR="00000000" w:rsidRPr="00000000">
        <w:rPr>
          <w:u w:val="single"/>
          <w:rtl w:val="0"/>
        </w:rPr>
        <w:t xml:space="preserve">mere disproportionate disadvantage borne by one or more subsets of a group does not militate against recognizing membership in that group as an analogous ground</w:t>
      </w:r>
      <w:r w:rsidDel="00000000" w:rsidR="00000000" w:rsidRPr="00000000">
        <w:rPr>
          <w:rtl w:val="0"/>
        </w:rPr>
        <w:t xml:space="preserve">…In my view, the most coherent way to achieve this is to recognize receipt of social assistance as an analogous ground.”</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Q: How does the court define discrimination? 5 factors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R.v. Banks 2006</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92The </w:t>
      </w:r>
      <w:r w:rsidDel="00000000" w:rsidR="00000000" w:rsidRPr="00000000">
        <w:rPr>
          <w:b w:val="1"/>
          <w:rtl w:val="0"/>
        </w:rPr>
        <w:t xml:space="preserve">first prong</w:t>
      </w:r>
      <w:r w:rsidDel="00000000" w:rsidR="00000000" w:rsidRPr="00000000">
        <w:rPr>
          <w:rtl w:val="0"/>
        </w:rPr>
        <w:t xml:space="preserve"> is that the provisions are enforced selectively against </w:t>
      </w:r>
      <w:r w:rsidDel="00000000" w:rsidR="00000000" w:rsidRPr="00000000">
        <w:rPr>
          <w:b w:val="1"/>
          <w:rtl w:val="0"/>
        </w:rPr>
        <w:t xml:space="preserve">"beggars"</w:t>
      </w:r>
      <w:r w:rsidDel="00000000" w:rsidR="00000000" w:rsidRPr="00000000">
        <w:rPr>
          <w:rtl w:val="0"/>
        </w:rPr>
        <w:t xml:space="preserve"> and not against others who perform similar activities.” specific</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92 “…[continued] The second prong is that the </w:t>
      </w:r>
      <w:r w:rsidDel="00000000" w:rsidR="00000000" w:rsidRPr="00000000">
        <w:rPr>
          <w:b w:val="1"/>
          <w:rtl w:val="0"/>
        </w:rPr>
        <w:t xml:space="preserve">substantive effect</w:t>
      </w:r>
      <w:r w:rsidDel="00000000" w:rsidR="00000000" w:rsidRPr="00000000">
        <w:rPr>
          <w:rtl w:val="0"/>
        </w:rPr>
        <w:t xml:space="preserve"> of the enforcement of the provisions is different for the appellants than for others. The ban on soliciting while on a roadway may inconvenience others, but it prevents the appellants from pursuing their means of subsistence.</w:t>
      </w:r>
      <w:r w:rsidDel="00000000" w:rsidR="00000000" w:rsidRPr="00000000">
        <w:rPr>
          <w:b w:val="1"/>
          <w:rtl w:val="0"/>
        </w:rPr>
        <w:t xml:space="preserve"> The appellants submit that the provisions are akin to a prohibition on sleeping under bridges that affects the homeless, but not the rich</w:t>
      </w:r>
      <w:r w:rsidDel="00000000" w:rsidR="00000000" w:rsidRPr="00000000">
        <w:rPr>
          <w:rtl w:val="0"/>
        </w:rPr>
        <w:t xml:space="preserve">.” general</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94 “It is implicit from the appellants' submissions that the comparator group in the first prong is composed of those to whom the legislation applies, but against whom the appellants allege it is not enforced. In the second prong, the comparator group is comprised of those who are prohibited from soliciting on a roadway, </w:t>
      </w:r>
      <w:r w:rsidDel="00000000" w:rsidR="00000000" w:rsidRPr="00000000">
        <w:rPr>
          <w:b w:val="1"/>
          <w:rtl w:val="0"/>
        </w:rPr>
        <w:t xml:space="preserve">but whose subsistence is not affected by the enforcement of the legislation</w:t>
      </w:r>
      <w:r w:rsidDel="00000000" w:rsidR="00000000" w:rsidRPr="00000000">
        <w:rPr>
          <w:rtl w:val="0"/>
        </w:rPr>
        <w:t xml:space="preserv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95 “I reject the first prong of the appellants' argument for two reasons. First, selective enforcement against those who beg or squeegee </w:t>
      </w:r>
      <w:r w:rsidDel="00000000" w:rsidR="00000000" w:rsidRPr="00000000">
        <w:rPr>
          <w:color w:val="9900ff"/>
          <w:rtl w:val="0"/>
        </w:rPr>
        <w:t xml:space="preserve">was not established as a matter of fact</w:t>
      </w:r>
      <w:r w:rsidDel="00000000" w:rsidR="00000000" w:rsidRPr="00000000">
        <w:rPr>
          <w:rtl w:val="0"/>
        </w:rPr>
        <w:t xml:space="preserv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96 “Second,…Any discrimination in enforcement,</w:t>
      </w:r>
      <w:r w:rsidDel="00000000" w:rsidR="00000000" w:rsidRPr="00000000">
        <w:rPr>
          <w:color w:val="9900ff"/>
          <w:rtl w:val="0"/>
        </w:rPr>
        <w:t xml:space="preserve"> if such exists, is not an incident of the legislation, but of its administration. </w:t>
      </w:r>
      <w:r w:rsidDel="00000000" w:rsidR="00000000" w:rsidRPr="00000000">
        <w:rPr>
          <w:rtl w:val="0"/>
        </w:rPr>
        <w:t xml:space="preserve">The legislation would find itself as discriminatory, but not as unconstitutional.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97 “The second prong of the appellants' argument also fails on the facts. The trial judge found that the Act, considered as a whole, did not affect the appellants' economic right to survival in any fundamental sense.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color w:val="9900ff"/>
        </w:rPr>
      </w:pPr>
      <w:r w:rsidDel="00000000" w:rsidR="00000000" w:rsidRPr="00000000">
        <w:rPr>
          <w:rtl w:val="0"/>
        </w:rPr>
        <w:t xml:space="preserve">98 “Further, even if the appellants had established that there is differential treatment under the impugned provisions, they have not demonstrated that this is based on an enumerated or analogous ground. The appellants described that being a "beggar", or "extreme poverty" where poverty is not a choice and they have to beg. In their oral submissions, the appellants spoke of "beggars" for the most part.</w:t>
      </w:r>
      <w:r w:rsidDel="00000000" w:rsidR="00000000" w:rsidRPr="00000000">
        <w:rPr>
          <w:color w:val="9900ff"/>
          <w:rtl w:val="0"/>
        </w:rPr>
        <w:t xml:space="preserve"> </w:t>
      </w:r>
      <w:r w:rsidDel="00000000" w:rsidR="00000000" w:rsidRPr="00000000">
        <w:rPr>
          <w:color w:val="9900ff"/>
          <w:u w:val="single"/>
          <w:rtl w:val="0"/>
        </w:rPr>
        <w:t xml:space="preserve">They say the extreme poverty suffered by the poor who beg is a characteristic that is not within their control or that could only be changed at a great personal cost.</w:t>
      </w:r>
      <w:r w:rsidDel="00000000" w:rsidR="00000000" w:rsidRPr="00000000">
        <w:rPr>
          <w:color w:val="9900ff"/>
          <w:rtl w:val="0"/>
        </w:rPr>
        <w:t xml:space="preserv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t xml:space="preserve">99 The appellants  aim to identify themselves by an activity, rather than a personal characteristic, in which the proposed group is “the poor who beg.”</w:t>
      </w:r>
      <w:r w:rsidDel="00000000" w:rsidR="00000000" w:rsidRPr="00000000">
        <w:rPr>
          <w:b w:val="1"/>
          <w:rtl w:val="0"/>
        </w:rPr>
        <w:t xml:space="preserve">Professor Hogg</w:t>
      </w:r>
      <w:r w:rsidDel="00000000" w:rsidR="00000000" w:rsidRPr="00000000">
        <w:rPr>
          <w:rtl w:val="0"/>
        </w:rPr>
        <w:t xml:space="preserve"> suggests that a common element of the </w:t>
      </w:r>
      <w:r w:rsidDel="00000000" w:rsidR="00000000" w:rsidRPr="00000000">
        <w:rPr>
          <w:b w:val="1"/>
          <w:rtl w:val="0"/>
        </w:rPr>
        <w:t xml:space="preserve">enumerated grounds</w:t>
      </w:r>
      <w:r w:rsidDel="00000000" w:rsidR="00000000" w:rsidRPr="00000000">
        <w:rPr>
          <w:rtl w:val="0"/>
        </w:rPr>
        <w:t xml:space="preserve"> is that </w:t>
      </w:r>
      <w:r w:rsidDel="00000000" w:rsidR="00000000" w:rsidRPr="00000000">
        <w:rPr>
          <w:b w:val="1"/>
          <w:rtl w:val="0"/>
        </w:rPr>
        <w:t xml:space="preserve">"[t]hey describe what a person is, rather than what a person does”…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color w:val="9900ff"/>
        </w:rPr>
      </w:pPr>
      <w:r w:rsidDel="00000000" w:rsidR="00000000" w:rsidRPr="00000000">
        <w:rPr>
          <w:rtl w:val="0"/>
        </w:rPr>
        <w:t xml:space="preserve">Then he says that he would not find that an activity could never be used to identify a prohibited ground of discrimination. </w:t>
      </w:r>
      <w:r w:rsidDel="00000000" w:rsidR="00000000" w:rsidRPr="00000000">
        <w:rPr>
          <w:color w:val="9900ff"/>
          <w:rtl w:val="0"/>
        </w:rPr>
        <w:t xml:space="preserve">However, in this case he does not regard the activity of begging to be an immutable or constructively immutable personal quality that can only be changed at a "great personal cost”.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100</w:t>
      </w:r>
      <w:r w:rsidDel="00000000" w:rsidR="00000000" w:rsidRPr="00000000">
        <w:rPr>
          <w:color w:val="9900ff"/>
          <w:rtl w:val="0"/>
        </w:rPr>
        <w:t xml:space="preserve">"a personal characteristic that is immutable or changeable only at unacceptable cost to personal identity.” </w:t>
      </w:r>
      <w:r w:rsidDel="00000000" w:rsidR="00000000" w:rsidRPr="00000000">
        <w:rPr>
          <w:rtl w:val="0"/>
        </w:rPr>
        <w:t xml:space="preserve">Therefore,in section 15 claims, one must consider whether it cannot be changed without unacceptable cost to one's identity and dignity.”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101 “The appellants</w:t>
      </w:r>
      <w:r w:rsidDel="00000000" w:rsidR="00000000" w:rsidRPr="00000000">
        <w:rPr>
          <w:color w:val="ff0000"/>
          <w:rtl w:val="0"/>
        </w:rPr>
        <w:t xml:space="preserve"> have not put forward their lack of fixed addresses and the fact that they beg as components of a culture that is important to their identity.</w:t>
      </w:r>
      <w:r w:rsidDel="00000000" w:rsidR="00000000" w:rsidRPr="00000000">
        <w:rPr>
          <w:color w:val="980000"/>
          <w:rtl w:val="0"/>
        </w:rPr>
        <w:t xml:space="preserve"> </w:t>
      </w:r>
      <w:r w:rsidDel="00000000" w:rsidR="00000000" w:rsidRPr="00000000">
        <w:rPr>
          <w:rtl w:val="0"/>
        </w:rPr>
        <w:t xml:space="preserve">Rather they have put these matters forward as indicators of their economic status with which they have to cope. They have not established that the proposed ground is analogous to sex, age etc.</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103 “While the appellants introduced evidence that there are elevated rates of mental illness and substance abuse among the homeless, that evidence was general in nature. None of the appellants suffered on those grounds or that they were discriminated against those bases.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104 “It is worth noting that the appellants took care not to argue that "poverty" in and of itself is a ground of discrimination. While the "poor" undoubtedly suffer from disadvantage, without further categorization, the term signifies an</w:t>
      </w:r>
      <w:r w:rsidDel="00000000" w:rsidR="00000000" w:rsidRPr="00000000">
        <w:rPr>
          <w:b w:val="1"/>
          <w:rtl w:val="0"/>
        </w:rPr>
        <w:t xml:space="preserve"> amorphous </w:t>
      </w:r>
      <w:r w:rsidDel="00000000" w:rsidR="00000000" w:rsidRPr="00000000">
        <w:rPr>
          <w:rtl w:val="0"/>
        </w:rPr>
        <w:t xml:space="preserve">group, which is not analogous to the grounds enumerated in s. 15.”</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104 “…[continued] </w:t>
      </w:r>
      <w:r w:rsidDel="00000000" w:rsidR="00000000" w:rsidRPr="00000000">
        <w:rPr>
          <w:color w:val="9900ff"/>
          <w:rtl w:val="0"/>
        </w:rPr>
        <w:t xml:space="preserve">The "poor" are not a discrete and insular group defined by a common personal characteristic.</w:t>
      </w:r>
      <w:r w:rsidDel="00000000" w:rsidR="00000000" w:rsidRPr="00000000">
        <w:rPr>
          <w:rtl w:val="0"/>
        </w:rPr>
        <w:t xml:space="preserve"> While it is common to speak of the "poor" collectively, the group is, the reality is that it is just  the statistical aggregation of all individuals who are economically disadvantaged at the time for </w:t>
      </w:r>
      <w:r w:rsidDel="00000000" w:rsidR="00000000" w:rsidRPr="00000000">
        <w:rPr>
          <w:u w:val="single"/>
          <w:rtl w:val="0"/>
        </w:rPr>
        <w:t xml:space="preserve">any</w:t>
      </w:r>
      <w:r w:rsidDel="00000000" w:rsidR="00000000" w:rsidRPr="00000000">
        <w:rPr>
          <w:rtl w:val="0"/>
        </w:rPr>
        <w:t xml:space="preserve"> reason. (Because you have group characteristics from this and that).Within this unstructured collection, there may well be groups of persons defined by a shared personal characteristic that constitute an analogous ground of discrimination under s. 15.”</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105 “Falkiner v. Ontario…, on which the appellants rely, is distinguishable from the present case. The differential treatment in that case was based on three grounds: sex, marital status and "receipt of social assistance". Falkiner did not recognize </w:t>
      </w:r>
      <w:r w:rsidDel="00000000" w:rsidR="00000000" w:rsidRPr="00000000">
        <w:rPr>
          <w:b w:val="1"/>
          <w:rtl w:val="0"/>
        </w:rPr>
        <w:t xml:space="preserve">poverty</w:t>
      </w:r>
      <w:r w:rsidDel="00000000" w:rsidR="00000000" w:rsidRPr="00000000">
        <w:rPr>
          <w:rtl w:val="0"/>
        </w:rPr>
        <w:t xml:space="preserve"> as a ground of discrimination.”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Lecture 10- Contextual Factors</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Gosselin v. Quebec</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“Louise Gosselin was born in 1959. She has led a difficult life, complicated by a struggle with psychological problems and drug and alcohol addictions. From time to time she has tried to work, attempting jobs such as cook, waitress, salesperson, and nurse’s assistant, among many. But work would wear her down or cause her stress, and she would quit. For most of her adult life, Ms. Gosselin has received social assistance.”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2. </w:t>
      </w:r>
      <w:r w:rsidDel="00000000" w:rsidR="00000000" w:rsidRPr="00000000">
        <w:rPr>
          <w:b w:val="1"/>
          <w:rtl w:val="0"/>
        </w:rPr>
        <w:t xml:space="preserve">Applying the Test (a)</w:t>
      </w:r>
      <w:r w:rsidDel="00000000" w:rsidR="00000000" w:rsidRPr="00000000">
        <w:rPr>
          <w:rtl w:val="0"/>
        </w:rPr>
        <w:t xml:space="preserve"> Pre-existing Disadvantage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Both generally, and based on the evidence, young adults as a class do not seem especially vulnerable or undervalued. </w:t>
      </w:r>
      <w:r w:rsidDel="00000000" w:rsidR="00000000" w:rsidRPr="00000000">
        <w:rPr>
          <w:color w:val="9900ff"/>
          <w:rtl w:val="0"/>
        </w:rPr>
        <w:t xml:space="preserve">There is no reason to believe that individuals aged 18 and 30 in Quebec are or were susceptible to negative preconceptions. </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Similarly, Mrs. Gosselin is in the same boat as Ms. Law; adults under the age of 45 </w:t>
      </w:r>
      <w:r w:rsidDel="00000000" w:rsidR="00000000" w:rsidRPr="00000000">
        <w:rPr>
          <w:b w:val="1"/>
          <w:rtl w:val="0"/>
        </w:rPr>
        <w:t xml:space="preserve">have also not been </w:t>
      </w:r>
      <w:r w:rsidDel="00000000" w:rsidR="00000000" w:rsidRPr="00000000">
        <w:rPr>
          <w:rtl w:val="0"/>
        </w:rPr>
        <w:t xml:space="preserve">proven to face discrimination.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(b) Relationship Between Grounds and the Claimant Group’s Characteristics or Circumstances</w:t>
      </w:r>
    </w:p>
    <w:p w:rsidR="00000000" w:rsidDel="00000000" w:rsidP="00000000" w:rsidRDefault="00000000" w:rsidRPr="00000000">
      <w:pPr>
        <w:pBdr/>
        <w:contextualSpacing w:val="0"/>
        <w:rPr/>
      </w:pPr>
      <w:r w:rsidDel="00000000" w:rsidR="00000000" w:rsidRPr="00000000">
        <w:rPr>
          <w:rtl w:val="0"/>
        </w:rPr>
        <w:t xml:space="preserve"> 37 “…the relationship between the ground of distinction (age) and the actual characteristics and circumstances of the claimant’s group…” </w:t>
      </w:r>
    </w:p>
    <w:p w:rsidR="00000000" w:rsidDel="00000000" w:rsidP="00000000" w:rsidRDefault="00000000" w:rsidRPr="00000000">
      <w:pPr>
        <w:pBdr/>
        <w:contextualSpacing w:val="0"/>
        <w:rPr/>
      </w:pPr>
      <w:r w:rsidDel="00000000" w:rsidR="00000000" w:rsidRPr="00000000">
        <w:rPr>
          <w:rtl w:val="0"/>
        </w:rPr>
        <w:t xml:space="preserve">38 “…The evidence indicates that the purpose of the challenged distinction, far from being stereotypical or arbitrary, </w:t>
      </w:r>
      <w:r w:rsidDel="00000000" w:rsidR="00000000" w:rsidRPr="00000000">
        <w:rPr>
          <w:b w:val="1"/>
          <w:rtl w:val="0"/>
        </w:rPr>
        <w:t xml:space="preserve">corresponded </w:t>
      </w:r>
      <w:r w:rsidDel="00000000" w:rsidR="00000000" w:rsidRPr="00000000">
        <w:rPr>
          <w:rtl w:val="0"/>
        </w:rPr>
        <w:t xml:space="preserve">to the actual needs and circumstances of individuals under 30.”</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39 “The situation of young adults was particularly dire. The unemployment rate among </w:t>
      </w:r>
      <w:r w:rsidDel="00000000" w:rsidR="00000000" w:rsidRPr="00000000">
        <w:rPr>
          <w:b w:val="1"/>
          <w:rtl w:val="0"/>
        </w:rPr>
        <w:t xml:space="preserve">young adults</w:t>
      </w:r>
      <w:r w:rsidDel="00000000" w:rsidR="00000000" w:rsidRPr="00000000">
        <w:rPr>
          <w:rtl w:val="0"/>
        </w:rPr>
        <w:t xml:space="preserve"> was far higher than among the general population. People under 30, capable of working and without any dependants, made up a greater proportion of welfare recipients than ever before. Moreover, this group accounted for the largest —</w:t>
      </w:r>
      <w:r w:rsidDel="00000000" w:rsidR="00000000" w:rsidRPr="00000000">
        <w:rPr>
          <w:b w:val="1"/>
          <w:rtl w:val="0"/>
        </w:rPr>
        <w:t xml:space="preserve"> and steadily growing —  For example, in by 1983 fully two-thirds of new welfare recipients were under 30, and half were under the age of 23.” Just say this part.</w:t>
      </w: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color w:val="0000ff"/>
        </w:rPr>
      </w:pPr>
      <w:r w:rsidDel="00000000" w:rsidR="00000000" w:rsidRPr="00000000">
        <w:rPr>
          <w:rtl w:val="0"/>
        </w:rPr>
        <w:t xml:space="preserve">The government longer-term purpose was to get young welfare recipients the training and education that they lack and needed in order to get back into the workforce and become self sufficient. Court adduces the common chinese saying. </w:t>
      </w:r>
      <w:r w:rsidDel="00000000" w:rsidR="00000000" w:rsidRPr="00000000">
        <w:rPr>
          <w:color w:val="0000ff"/>
          <w:rtl w:val="0"/>
        </w:rPr>
        <w:t xml:space="preserve">“Give a man a fish and you feed him for a day. Teach him how to fish and you feed him for a lifetime.” This was not a denial of young people’s dignity; it was an affirmation of their potential.”</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43 “Simply handing over a </w:t>
      </w:r>
      <w:r w:rsidDel="00000000" w:rsidR="00000000" w:rsidRPr="00000000">
        <w:rPr>
          <w:b w:val="1"/>
          <w:rtl w:val="0"/>
        </w:rPr>
        <w:t xml:space="preserve">bigger welfare cheque </w:t>
      </w:r>
      <w:r w:rsidDel="00000000" w:rsidR="00000000" w:rsidRPr="00000000">
        <w:rPr>
          <w:rtl w:val="0"/>
        </w:rPr>
        <w:t xml:space="preserve">would have done nothing to help welfare recipients under 30 escape from unemployment and its potentially devastating social and psychological consequences above and beyond the short-term loss of income.” </w:t>
      </w:r>
    </w:p>
    <w:p w:rsidR="00000000" w:rsidDel="00000000" w:rsidP="00000000" w:rsidRDefault="00000000" w:rsidRPr="00000000">
      <w:pPr>
        <w:pBdr/>
        <w:contextualSpacing w:val="0"/>
        <w:rPr/>
      </w:pPr>
      <w:r w:rsidDel="00000000" w:rsidR="00000000" w:rsidRPr="00000000">
        <w:rPr>
          <w:rtl w:val="0"/>
        </w:rPr>
        <w:t xml:space="preserve">44 “Instead of</w:t>
      </w:r>
      <w:r w:rsidDel="00000000" w:rsidR="00000000" w:rsidRPr="00000000">
        <w:rPr>
          <w:b w:val="1"/>
          <w:rtl w:val="0"/>
        </w:rPr>
        <w:t xml:space="preserve"> turning a blind eye to these problems</w:t>
      </w:r>
      <w:r w:rsidDel="00000000" w:rsidR="00000000" w:rsidRPr="00000000">
        <w:rPr>
          <w:rtl w:val="0"/>
        </w:rPr>
        <w:t xml:space="preserve">, the government sought to tackle them at their roots, designing social assistance measures that might help welfare recipients achieve long-term autonomy.”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By handing a big welfare cheque does nothing to solve the problem. Instead of turning a blind eye to these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55 “…Perfect correspondence between a benefit program and the actual needs and circumstances of the claimant group is not required to find that a challenged provision does not violate the Canadian Charter. The situation of those who, for whatever reason, may have been incapable of participating in the programs attracts sympathy. </w:t>
      </w:r>
      <w:r w:rsidDel="00000000" w:rsidR="00000000" w:rsidRPr="00000000">
        <w:rPr>
          <w:color w:val="9900ff"/>
          <w:rtl w:val="0"/>
        </w:rPr>
        <w:t xml:space="preserve">Yet the inability of a given social program to meet the needs of each and every individual does not permit us to conclude that the program failed to correspond to the actual needs and circumstances of the affected group.</w:t>
      </w:r>
      <w:r w:rsidDel="00000000" w:rsidR="00000000" w:rsidRPr="00000000">
        <w:rPr>
          <w:rtl w:val="0"/>
        </w:rPr>
        <w:t xml:space="preserv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 Ameliorative Purpose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12"/>
        </w:numPr>
        <w:pBdr/>
        <w:ind w:left="720" w:hanging="360"/>
        <w:contextualSpacing w:val="1"/>
        <w:rPr/>
      </w:pPr>
      <w:r w:rsidDel="00000000" w:rsidR="00000000" w:rsidRPr="00000000">
        <w:rPr>
          <w:rtl w:val="0"/>
        </w:rPr>
        <w:t xml:space="preserve">Was neutral with respect to discrimination.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d) Nature and Scope of the Interests Affected by the Impugned Law</w:t>
      </w:r>
    </w:p>
    <w:p w:rsidR="00000000" w:rsidDel="00000000" w:rsidP="00000000" w:rsidRDefault="00000000" w:rsidRPr="00000000">
      <w:pPr>
        <w:pBdr/>
        <w:contextualSpacing w:val="0"/>
        <w:rPr/>
      </w:pPr>
      <w:r w:rsidDel="00000000" w:rsidR="00000000" w:rsidRPr="00000000">
        <w:rPr>
          <w:rtl w:val="0"/>
        </w:rPr>
        <w:t xml:space="preserve"> 63 “This factor directs us to consider the impact of the impugned law — how “severe and localized the . . . consequences [are] on the affected group”…”</w:t>
      </w:r>
    </w:p>
    <w:p w:rsidR="00000000" w:rsidDel="00000000" w:rsidP="00000000" w:rsidRDefault="00000000" w:rsidRPr="00000000">
      <w:pPr>
        <w:pBdr/>
        <w:contextualSpacing w:val="0"/>
        <w:rPr/>
      </w:pPr>
      <w:r w:rsidDel="00000000" w:rsidR="00000000" w:rsidRPr="00000000">
        <w:rPr>
          <w:rtl w:val="0"/>
        </w:rPr>
        <w:t xml:space="preserve">64 “The trial judge, as noted, was unable to conclude that the evidence established actual adverse effects on welfare recipients under 30. The legislature thought it was</w:t>
      </w:r>
      <w:r w:rsidDel="00000000" w:rsidR="00000000" w:rsidRPr="00000000">
        <w:rPr>
          <w:color w:val="00ff00"/>
          <w:rtl w:val="0"/>
        </w:rPr>
        <w:t xml:space="preserve"> helping</w:t>
      </w:r>
      <w:r w:rsidDel="00000000" w:rsidR="00000000" w:rsidRPr="00000000">
        <w:rPr>
          <w:rtl w:val="0"/>
        </w:rPr>
        <w:t xml:space="preserve"> under-30 welfare recipients;</w:t>
      </w:r>
    </w:p>
    <w:p w:rsidR="00000000" w:rsidDel="00000000" w:rsidP="00000000" w:rsidRDefault="00000000" w:rsidRPr="00000000">
      <w:pPr>
        <w:pBdr/>
        <w:contextualSpacing w:val="0"/>
        <w:rPr/>
      </w:pPr>
      <w:r w:rsidDel="00000000" w:rsidR="00000000" w:rsidRPr="00000000">
        <w:rPr>
          <w:rtl w:val="0"/>
        </w:rPr>
        <w:t xml:space="preserve">Similarly, because those under 30 face greater financial anxiety, we do not know whether those 30 and over, who were only receiving 55 percent of the poverty level, experienced similar anxiety. </w:t>
      </w:r>
    </w:p>
    <w:p w:rsidR="00000000" w:rsidDel="00000000" w:rsidP="00000000" w:rsidRDefault="00000000" w:rsidRPr="00000000">
      <w:pPr>
        <w:pBdr/>
        <w:contextualSpacing w:val="0"/>
        <w:rPr/>
      </w:pPr>
      <w:r w:rsidDel="00000000" w:rsidR="00000000" w:rsidRPr="00000000">
        <w:rPr>
          <w:rtl w:val="0"/>
        </w:rPr>
        <w:t xml:space="preserve">65 </w:t>
      </w:r>
      <w:r w:rsidDel="00000000" w:rsidR="00000000" w:rsidRPr="00000000">
        <w:rPr>
          <w:color w:val="ff9900"/>
          <w:rtl w:val="0"/>
        </w:rPr>
        <w:t xml:space="preserve">“Assessing the severity of the consequences also requires us to consider the positive impact of the legislation on welfare recipients under 30. The evidence shows that the regime set up under the Social Aid Act sought to promote the self-sufficiency and autonomy of young welfare recipient</w:t>
      </w:r>
      <w:r w:rsidDel="00000000" w:rsidR="00000000" w:rsidRPr="00000000">
        <w:rPr>
          <w:rtl w:val="0"/>
        </w:rPr>
        <w:t xml:space="preserve">s such as self-detemrination, self- respect, personal autonomy etc. </w:t>
      </w:r>
      <w:r w:rsidDel="00000000" w:rsidR="00000000" w:rsidRPr="00000000">
        <w:rPr>
          <w:color w:val="0000ff"/>
          <w:rtl w:val="0"/>
        </w:rPr>
        <w:t xml:space="preserve">In other words, </w:t>
      </w:r>
      <w:r w:rsidDel="00000000" w:rsidR="00000000" w:rsidRPr="00000000">
        <w:rPr>
          <w:rtl w:val="0"/>
        </w:rPr>
        <w:t xml:space="preserve">this is actually  the  essence of human dignity.</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b w:val="1"/>
          <w:rtl w:val="0"/>
        </w:rPr>
        <w:t xml:space="preserve">(e) Summary of Contextual Factors Analysis</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Looking at the four contextual factors set out in law, there is no denial of:</w:t>
      </w:r>
    </w:p>
    <w:p w:rsidR="00000000" w:rsidDel="00000000" w:rsidP="00000000" w:rsidRDefault="00000000" w:rsidRPr="00000000">
      <w:pPr>
        <w:numPr>
          <w:ilvl w:val="0"/>
          <w:numId w:val="37"/>
        </w:numPr>
        <w:pBdr/>
        <w:ind w:left="720" w:hanging="360"/>
        <w:contextualSpacing w:val="1"/>
        <w:rPr/>
      </w:pPr>
      <w:r w:rsidDel="00000000" w:rsidR="00000000" w:rsidRPr="00000000">
        <w:rPr>
          <w:rtl w:val="0"/>
        </w:rPr>
        <w:t xml:space="preserve">Human dignity for discrimination to be established especially where the complainant group is suffering from a pre-existing disadvantage or stigmatization.</w:t>
      </w:r>
    </w:p>
    <w:p w:rsidR="00000000" w:rsidDel="00000000" w:rsidP="00000000" w:rsidRDefault="00000000" w:rsidRPr="00000000">
      <w:pPr>
        <w:numPr>
          <w:ilvl w:val="0"/>
          <w:numId w:val="37"/>
        </w:numPr>
        <w:pBdr/>
        <w:ind w:left="720" w:hanging="360"/>
        <w:contextualSpacing w:val="1"/>
        <w:rPr/>
      </w:pPr>
      <w:r w:rsidDel="00000000" w:rsidR="00000000" w:rsidRPr="00000000">
        <w:rPr>
          <w:rtl w:val="0"/>
        </w:rPr>
        <w:t xml:space="preserve">Lack of correponsdence between the program and the actual circumstances of recipients under 30 is not established in either purpose of effect.</w:t>
      </w:r>
    </w:p>
    <w:p w:rsidR="00000000" w:rsidDel="00000000" w:rsidP="00000000" w:rsidRDefault="00000000" w:rsidRPr="00000000">
      <w:pPr>
        <w:numPr>
          <w:ilvl w:val="0"/>
          <w:numId w:val="37"/>
        </w:numPr>
        <w:pBdr/>
        <w:ind w:left="720" w:hanging="360"/>
        <w:contextualSpacing w:val="1"/>
        <w:rPr/>
      </w:pPr>
      <w:r w:rsidDel="00000000" w:rsidR="00000000" w:rsidRPr="00000000">
        <w:rPr>
          <w:rtl w:val="0"/>
        </w:rPr>
        <w:t xml:space="preserve">The overall impact of human dignity and their right to be recognized as fully participating members of society, notwithstanding their membership in the class affected by their distinction.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color w:val="ff00ff"/>
        </w:rPr>
      </w:pPr>
      <w:r w:rsidDel="00000000" w:rsidR="00000000" w:rsidRPr="00000000">
        <w:rPr>
          <w:b w:val="1"/>
          <w:rtl w:val="0"/>
        </w:rPr>
        <w:t xml:space="preserve">Withler v. Canada (Attorney General), 2001 SCC 12</w:t>
      </w:r>
      <w:r w:rsidDel="00000000" w:rsidR="00000000" w:rsidRPr="00000000">
        <w:rPr>
          <w:rtl w:val="0"/>
        </w:rPr>
      </w:r>
    </w:p>
    <w:p w:rsidR="00000000" w:rsidDel="00000000" w:rsidP="00000000" w:rsidRDefault="00000000" w:rsidRPr="00000000">
      <w:pPr>
        <w:pBdr/>
        <w:contextualSpacing w:val="0"/>
        <w:rPr>
          <w:color w:val="ff00ff"/>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t xml:space="preserve">Garson J says that comparing to claimants to just </w:t>
      </w:r>
      <w:r w:rsidDel="00000000" w:rsidR="00000000" w:rsidRPr="00000000">
        <w:rPr>
          <w:b w:val="1"/>
          <w:rtl w:val="0"/>
        </w:rPr>
        <w:t xml:space="preserve">one other comparator group </w:t>
      </w:r>
      <w:r w:rsidDel="00000000" w:rsidR="00000000" w:rsidRPr="00000000">
        <w:rPr>
          <w:rtl w:val="0"/>
        </w:rPr>
        <w:t xml:space="preserve">would be inadequate, is consistent with the view where the impugned law is a broad-reaching benefits scheme, </w:t>
      </w:r>
      <w:r w:rsidDel="00000000" w:rsidR="00000000" w:rsidRPr="00000000">
        <w:rPr>
          <w:b w:val="1"/>
          <w:rtl w:val="0"/>
        </w:rPr>
        <w:t xml:space="preserve">comparison with multiple groups with multiple beneficiaries will be necessary.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Garson J says that the Reduction Provisions corresponded to the claimants’ needs and circumstances. </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Accordingly she says that as a whole</w:t>
      </w:r>
      <w:r w:rsidDel="00000000" w:rsidR="00000000" w:rsidRPr="00000000">
        <w:rPr>
          <w:b w:val="1"/>
          <w:rtl w:val="0"/>
        </w:rPr>
        <w:t xml:space="preserve"> it accounts for each claimant’s need for income and life insurance at the time of a spouse’s death. </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More importantly, she says that pension benefit must balance different claimants’ interests, and </w:t>
      </w:r>
      <w:r w:rsidDel="00000000" w:rsidR="00000000" w:rsidRPr="00000000">
        <w:rPr>
          <w:b w:val="1"/>
          <w:rtl w:val="0"/>
        </w:rPr>
        <w:t xml:space="preserve">cannot be perfectly tailored t</w:t>
      </w:r>
      <w:r w:rsidDel="00000000" w:rsidR="00000000" w:rsidRPr="00000000">
        <w:rPr>
          <w:rtl w:val="0"/>
        </w:rPr>
        <w:t xml:space="preserve">o every individual’s personal circumstances. </w:t>
      </w:r>
    </w:p>
    <w:p w:rsidR="00000000" w:rsidDel="00000000" w:rsidP="00000000" w:rsidRDefault="00000000" w:rsidRPr="00000000">
      <w:pPr>
        <w:numPr>
          <w:ilvl w:val="0"/>
          <w:numId w:val="7"/>
        </w:numPr>
        <w:pBdr/>
        <w:ind w:left="720" w:hanging="360"/>
        <w:contextualSpacing w:val="1"/>
        <w:rPr/>
      </w:pPr>
      <w:r w:rsidDel="00000000" w:rsidR="00000000" w:rsidRPr="00000000">
        <w:rPr>
          <w:rtl w:val="0"/>
        </w:rPr>
        <w:t xml:space="preserve">Ryan JA of the Court of Appeal also stated it did not meet the framework of discrimination, given that it was meant to cover the competing interests of the various age groups covered by the plan.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numPr>
          <w:ilvl w:val="0"/>
          <w:numId w:val="42"/>
        </w:numPr>
        <w:pBdr/>
        <w:ind w:left="720" w:hanging="360"/>
        <w:contextualSpacing w:val="1"/>
        <w:rPr/>
      </w:pPr>
      <w:r w:rsidDel="00000000" w:rsidR="00000000" w:rsidRPr="00000000">
        <w:rPr>
          <w:rtl w:val="0"/>
        </w:rPr>
        <w:t xml:space="preserve">Garson J considered the supplemental death benefit in relation to other benefits that formed part of the comprehensive benefit scheme. </w:t>
      </w:r>
    </w:p>
    <w:p w:rsidR="00000000" w:rsidDel="00000000" w:rsidP="00000000" w:rsidRDefault="00000000" w:rsidRPr="00000000">
      <w:pPr>
        <w:numPr>
          <w:ilvl w:val="0"/>
          <w:numId w:val="42"/>
        </w:numPr>
        <w:pBdr/>
        <w:ind w:left="720" w:hanging="360"/>
        <w:contextualSpacing w:val="1"/>
        <w:rPr/>
      </w:pPr>
      <w:r w:rsidDel="00000000" w:rsidR="00000000" w:rsidRPr="00000000">
        <w:rPr>
          <w:rtl w:val="0"/>
        </w:rPr>
        <w:t xml:space="preserve">Consideration benefits in isolation would </w:t>
      </w:r>
      <w:r w:rsidDel="00000000" w:rsidR="00000000" w:rsidRPr="00000000">
        <w:rPr>
          <w:b w:val="1"/>
          <w:rtl w:val="0"/>
        </w:rPr>
        <w:t xml:space="preserve">decontextualize</w:t>
      </w:r>
      <w:r w:rsidDel="00000000" w:rsidR="00000000" w:rsidRPr="00000000">
        <w:rPr>
          <w:rtl w:val="0"/>
        </w:rPr>
        <w:t xml:space="preserve"> the analysis. </w:t>
      </w:r>
    </w:p>
    <w:p w:rsidR="00000000" w:rsidDel="00000000" w:rsidP="00000000" w:rsidRDefault="00000000" w:rsidRPr="00000000">
      <w:pPr>
        <w:numPr>
          <w:ilvl w:val="0"/>
          <w:numId w:val="33"/>
        </w:numPr>
        <w:pBdr/>
        <w:ind w:left="720" w:hanging="360"/>
        <w:contextualSpacing w:val="1"/>
        <w:rPr/>
      </w:pPr>
      <w:r w:rsidDel="00000000" w:rsidR="00000000" w:rsidRPr="00000000">
        <w:rPr>
          <w:rtl w:val="0"/>
        </w:rPr>
        <w:t xml:space="preserve">In other words, there are other benefits out there that pools resources for the benefit of all. </w:t>
      </w:r>
    </w:p>
    <w:p w:rsidR="00000000" w:rsidDel="00000000" w:rsidP="00000000" w:rsidRDefault="00000000" w:rsidRPr="00000000">
      <w:pPr>
        <w:numPr>
          <w:ilvl w:val="0"/>
          <w:numId w:val="33"/>
        </w:numPr>
        <w:pBdr/>
        <w:ind w:left="720" w:hanging="360"/>
        <w:contextualSpacing w:val="1"/>
        <w:rPr/>
      </w:pPr>
      <w:r w:rsidDel="00000000" w:rsidR="00000000" w:rsidRPr="00000000">
        <w:rPr>
          <w:rtl w:val="0"/>
        </w:rPr>
        <w:t xml:space="preserve">Garson J. explained that the government’s statutory benefit package must account for the </w:t>
      </w:r>
      <w:r w:rsidDel="00000000" w:rsidR="00000000" w:rsidRPr="00000000">
        <w:rPr>
          <w:b w:val="1"/>
          <w:rtl w:val="0"/>
        </w:rPr>
        <w:t xml:space="preserve">whole population </w:t>
      </w:r>
      <w:r w:rsidDel="00000000" w:rsidR="00000000" w:rsidRPr="00000000">
        <w:rPr>
          <w:rtl w:val="0"/>
        </w:rPr>
        <w:t xml:space="preserve">of civil servants, members of the armed forces and their families.</w:t>
      </w:r>
    </w:p>
    <w:p w:rsidR="00000000" w:rsidDel="00000000" w:rsidP="00000000" w:rsidRDefault="00000000" w:rsidRPr="00000000">
      <w:pPr>
        <w:numPr>
          <w:ilvl w:val="0"/>
          <w:numId w:val="33"/>
        </w:numPr>
        <w:pBdr/>
        <w:ind w:left="720" w:hanging="360"/>
        <w:contextualSpacing w:val="1"/>
        <w:rPr/>
      </w:pPr>
      <w:r w:rsidDel="00000000" w:rsidR="00000000" w:rsidRPr="00000000">
        <w:rPr>
          <w:rtl w:val="0"/>
        </w:rPr>
        <w:t xml:space="preserve">It attempts to meet the specific needs of the beneficiaries at particular moments in their lives</w:t>
      </w:r>
    </w:p>
    <w:p w:rsidR="00000000" w:rsidDel="00000000" w:rsidP="00000000" w:rsidRDefault="00000000" w:rsidRPr="00000000">
      <w:pPr>
        <w:numPr>
          <w:ilvl w:val="0"/>
          <w:numId w:val="33"/>
        </w:numPr>
        <w:pBdr/>
        <w:ind w:left="720" w:hanging="360"/>
        <w:contextualSpacing w:val="1"/>
        <w:rPr/>
      </w:pPr>
      <w:r w:rsidDel="00000000" w:rsidR="00000000" w:rsidRPr="00000000">
        <w:rPr>
          <w:rtl w:val="0"/>
        </w:rPr>
        <w:t xml:space="preserve">For example for younger employees, it acts as a group life insurance by insuring against unexpected death at time when the surviving spouse would not be protected by a pension. For older employees, it is intended to assist with the costs of last illness and death. </w:t>
      </w:r>
    </w:p>
    <w:p w:rsidR="00000000" w:rsidDel="00000000" w:rsidP="00000000" w:rsidRDefault="00000000" w:rsidRPr="00000000">
      <w:pPr>
        <w:numPr>
          <w:ilvl w:val="0"/>
          <w:numId w:val="33"/>
        </w:numPr>
        <w:pBdr/>
        <w:ind w:left="720" w:hanging="360"/>
        <w:contextualSpacing w:val="1"/>
        <w:rPr/>
      </w:pPr>
      <w:r w:rsidDel="00000000" w:rsidR="00000000" w:rsidRPr="00000000">
        <w:rPr>
          <w:rtl w:val="0"/>
        </w:rPr>
        <w:t xml:space="preserve">Court says that while it treats people where they are on a vertical scale, it is not discrimination neither in purpose or effect. </w:t>
      </w:r>
    </w:p>
    <w:p w:rsidR="00000000" w:rsidDel="00000000" w:rsidP="00000000" w:rsidRDefault="00000000" w:rsidRPr="00000000">
      <w:pPr>
        <w:numPr>
          <w:ilvl w:val="0"/>
          <w:numId w:val="13"/>
        </w:numPr>
        <w:pBdr/>
        <w:ind w:left="720" w:hanging="360"/>
        <w:contextualSpacing w:val="1"/>
        <w:rPr/>
      </w:pPr>
      <w:r w:rsidDel="00000000" w:rsidR="00000000" w:rsidRPr="00000000">
        <w:rPr>
          <w:rtl w:val="0"/>
        </w:rPr>
        <w:t xml:space="preserve">Garson notes that as earlier mentioned, the supplementary death benefit is not intended to be a long-term stream of income for older surviving spouses. Long-term income security is instead guaranteed by the </w:t>
      </w:r>
      <w:r w:rsidDel="00000000" w:rsidR="00000000" w:rsidRPr="00000000">
        <w:rPr>
          <w:b w:val="1"/>
          <w:rtl w:val="0"/>
        </w:rPr>
        <w:t xml:space="preserve">survivor's pension</w:t>
      </w:r>
      <w:r w:rsidDel="00000000" w:rsidR="00000000" w:rsidRPr="00000000">
        <w:rPr>
          <w:rtl w:val="0"/>
        </w:rPr>
        <w:t xml:space="preserve">. It is no surprise that the supplementary death benefit faces reduction although still maintained through the survivor’s pension. </w:t>
      </w:r>
    </w:p>
    <w:p w:rsidR="00000000" w:rsidDel="00000000" w:rsidP="00000000" w:rsidRDefault="00000000" w:rsidRPr="00000000">
      <w:pPr>
        <w:numPr>
          <w:ilvl w:val="0"/>
          <w:numId w:val="13"/>
        </w:numPr>
        <w:pBdr/>
        <w:ind w:left="720" w:hanging="360"/>
        <w:contextualSpacing w:val="1"/>
        <w:rPr/>
      </w:pPr>
      <w:r w:rsidDel="00000000" w:rsidR="00000000" w:rsidRPr="00000000">
        <w:rPr>
          <w:rtl w:val="0"/>
        </w:rPr>
        <w:t xml:space="preserve">When the supplementary death benefit is considered in the context of the other pensions and benefits to which the surviving spouses are entitled, it is clear that its purpose corresponds (albeit sometimes imperfectly) to the claimaint’s needs. </w:t>
      </w:r>
    </w:p>
    <w:p w:rsidR="00000000" w:rsidDel="00000000" w:rsidP="00000000" w:rsidRDefault="00000000" w:rsidRPr="00000000">
      <w:pPr>
        <w:numPr>
          <w:ilvl w:val="0"/>
          <w:numId w:val="13"/>
        </w:numPr>
        <w:pBdr/>
        <w:ind w:left="720" w:hanging="360"/>
        <w:contextualSpacing w:val="1"/>
        <w:rPr/>
      </w:pPr>
      <w:r w:rsidDel="00000000" w:rsidR="00000000" w:rsidRPr="00000000">
        <w:rPr>
          <w:rtl w:val="0"/>
        </w:rPr>
        <w:t xml:space="preserve">Court concludes it is within the prerogative of Parliament to enact legislation that incorporated a plan of life insurance and employee group insurance  </w:t>
      </w:r>
      <w:r w:rsidDel="00000000" w:rsidR="00000000" w:rsidRPr="00000000">
        <w:rPr>
          <w:b w:val="1"/>
          <w:rtl w:val="0"/>
        </w:rPr>
        <w:t xml:space="preserve">taking into account the competing interests of the various age groups and the public interest</w:t>
      </w:r>
      <w:r w:rsidDel="00000000" w:rsidR="00000000" w:rsidRPr="00000000">
        <w:rPr>
          <w:rtl w:val="0"/>
        </w:rPr>
        <w:t xml:space="preserve">.”</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Lecture 11- Section 1</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Andrews v Law Society of British Columbia</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1) the exclusion of non-citizens was not rationally connected to the governmental interest in ensuring that lawyers had a sufficient knowledge of</w:t>
      </w:r>
      <w:r w:rsidDel="00000000" w:rsidR="00000000" w:rsidRPr="00000000">
        <w:rPr>
          <w:b w:val="1"/>
          <w:rtl w:val="0"/>
        </w:rPr>
        <w:t xml:space="preserve"> local affairs</w:t>
      </w:r>
      <w:r w:rsidDel="00000000" w:rsidR="00000000" w:rsidRPr="00000000">
        <w:rPr>
          <w:rtl w:val="0"/>
        </w:rPr>
        <w:t xml:space="preserve"> and </w:t>
      </w:r>
      <w:r w:rsidDel="00000000" w:rsidR="00000000" w:rsidRPr="00000000">
        <w:rPr>
          <w:b w:val="1"/>
          <w:rtl w:val="0"/>
        </w:rPr>
        <w:t xml:space="preserve">institutions for the competent practice of law.”</w:t>
      </w:r>
      <w:r w:rsidDel="00000000" w:rsidR="00000000" w:rsidRPr="00000000">
        <w:rPr>
          <w:rtl w:val="0"/>
        </w:rPr>
        <w:t xml:space="preserv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rtl w:val="0"/>
        </w:rPr>
        <w:t xml:space="preserve">The requirement of citizenship is not carefully tailored to achieve that objective and </w:t>
      </w:r>
      <w:r w:rsidDel="00000000" w:rsidR="00000000" w:rsidRPr="00000000">
        <w:rPr>
          <w:b w:val="1"/>
          <w:rtl w:val="0"/>
        </w:rPr>
        <w:t xml:space="preserve">may not even be rationally connected to it.”</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2) The second justification advanced by the appellants is whether citizenship evidences a real attachment to Canada</w:t>
      </w:r>
    </w:p>
    <w:p w:rsidR="00000000" w:rsidDel="00000000" w:rsidP="00000000" w:rsidRDefault="00000000" w:rsidRPr="00000000">
      <w:pPr>
        <w:pBdr/>
        <w:spacing w:before="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“…[continued] Only those citizens who are not natural-born Canadians can be said to have made a conscious choice to establish themselves here permanently and to opt for full participation in the Canadian social process, </w:t>
      </w:r>
      <w:r w:rsidDel="00000000" w:rsidR="00000000" w:rsidRPr="00000000">
        <w:rPr>
          <w:rFonts w:ascii="Times New Roman" w:cs="Times New Roman" w:eastAsia="Times New Roman" w:hAnsi="Times New Roman"/>
          <w:b w:val="1"/>
          <w:sz w:val="24"/>
          <w:szCs w:val="24"/>
          <w:rtl w:val="0"/>
        </w:rPr>
        <w:t xml:space="preserve">including the right to vote and run for public office</w:t>
      </w:r>
      <w:r w:rsidDel="00000000" w:rsidR="00000000" w:rsidRPr="00000000">
        <w:rPr>
          <w:rFonts w:ascii="Times New Roman" w:cs="Times New Roman" w:eastAsia="Times New Roman" w:hAnsi="Times New Roman"/>
          <w:sz w:val="24"/>
          <w:szCs w:val="24"/>
          <w:rtl w:val="0"/>
        </w:rPr>
        <w:t xml:space="preserve">. While no doubt most citizens, natural-born or otherwise, are committed to Canadian society, citizenship does not ensure that that is the case.  Conversely, non-citizens may be deeply commited [sic] to our country.”</w:t>
      </w:r>
    </w:p>
    <w:p w:rsidR="00000000" w:rsidDel="00000000" w:rsidP="00000000" w:rsidRDefault="00000000" w:rsidRPr="00000000">
      <w:pPr>
        <w:pBdr/>
        <w:spacing w:before="80" w:lineRule="auto"/>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3)Role of Lawyers</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“…To my mind, even if lawyers do perform a governmental function, I do not think the requirement that they be citizens provides any guarantee that they will honourably and conscientiously carry out their public duties. </w:t>
      </w:r>
      <w:r w:rsidDel="00000000" w:rsidR="00000000" w:rsidRPr="00000000">
        <w:rPr>
          <w:rFonts w:ascii="Times New Roman" w:cs="Times New Roman" w:eastAsia="Times New Roman" w:hAnsi="Times New Roman"/>
          <w:color w:val="ff00ff"/>
          <w:sz w:val="24"/>
          <w:szCs w:val="24"/>
          <w:rtl w:val="0"/>
        </w:rPr>
        <w:t xml:space="preserve"> They will carry them out, I believe, because they are good lawyers and not because they are Canadian citizens</w:t>
      </w:r>
      <w:r w:rsidDel="00000000" w:rsidR="00000000" w:rsidRPr="00000000">
        <w:rPr>
          <w:rFonts w:ascii="Calibri" w:cs="Calibri" w:eastAsia="Calibri" w:hAnsi="Calibri"/>
          <w:sz w:val="24"/>
          <w:szCs w:val="24"/>
          <w:rtl w:val="0"/>
        </w:rPr>
        <w:t xml:space="preserve">.”</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tl w:val="0"/>
        </w:rPr>
      </w:r>
    </w:p>
    <w:p w:rsidR="00000000" w:rsidDel="00000000" w:rsidP="00000000" w:rsidRDefault="00000000" w:rsidRPr="00000000">
      <w:pPr>
        <w:pBdr/>
        <w:spacing w:before="80" w:lineRule="auto"/>
        <w:contextualSpacing w:val="0"/>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Vriend v. Alberta</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color w:val="ff0000"/>
        </w:rPr>
      </w:pPr>
      <w:r w:rsidDel="00000000" w:rsidR="00000000" w:rsidRPr="00000000">
        <w:rPr>
          <w:color w:val="0000ff"/>
          <w:rtl w:val="0"/>
        </w:rPr>
        <w:t xml:space="preserve">First, the objective of the legislation must be pressing and substantial</w:t>
      </w:r>
      <w:r w:rsidDel="00000000" w:rsidR="00000000" w:rsidRPr="00000000">
        <w:rPr>
          <w:rtl w:val="0"/>
        </w:rPr>
        <w:t xml:space="preserve">. </w:t>
      </w:r>
      <w:r w:rsidDel="00000000" w:rsidR="00000000" w:rsidRPr="00000000">
        <w:rPr>
          <w:color w:val="ff0000"/>
          <w:rtl w:val="0"/>
        </w:rPr>
        <w:t xml:space="preserve">Second, the means chosen to attain this legislative end must be reasonable and demonstrably justifiable in a free and democratic society.”</w:t>
      </w:r>
    </w:p>
    <w:p w:rsidR="00000000" w:rsidDel="00000000" w:rsidP="00000000" w:rsidRDefault="00000000" w:rsidRPr="00000000">
      <w:pPr>
        <w:pBdr/>
        <w:contextualSpacing w:val="0"/>
        <w:rPr>
          <w:color w:val="ff0000"/>
        </w:rPr>
      </w:pPr>
      <w:r w:rsidDel="00000000" w:rsidR="00000000" w:rsidRPr="00000000">
        <w:rPr>
          <w:rtl w:val="0"/>
        </w:rPr>
      </w:r>
    </w:p>
    <w:p w:rsidR="00000000" w:rsidDel="00000000" w:rsidP="00000000" w:rsidRDefault="00000000" w:rsidRPr="00000000">
      <w:pPr>
        <w:pBdr/>
        <w:contextualSpacing w:val="0"/>
        <w:rPr>
          <w:color w:val="980000"/>
        </w:rPr>
      </w:pPr>
      <w:r w:rsidDel="00000000" w:rsidR="00000000" w:rsidRPr="00000000">
        <w:rPr>
          <w:rtl w:val="0"/>
        </w:rPr>
        <w:t xml:space="preserve">“…[continued] In order to satisfy the second requirement, three criteria must be satisfied: </w:t>
      </w:r>
      <w:r w:rsidDel="00000000" w:rsidR="00000000" w:rsidRPr="00000000">
        <w:rPr>
          <w:color w:val="9900ff"/>
          <w:rtl w:val="0"/>
        </w:rPr>
        <w:t xml:space="preserve">(1) the rights violation must be rationally connected to the aim of the legislation;</w:t>
      </w:r>
      <w:r w:rsidDel="00000000" w:rsidR="00000000" w:rsidRPr="00000000">
        <w:rPr>
          <w:rtl w:val="0"/>
        </w:rPr>
        <w:t xml:space="preserve"> (</w:t>
      </w:r>
      <w:r w:rsidDel="00000000" w:rsidR="00000000" w:rsidRPr="00000000">
        <w:rPr>
          <w:color w:val="ff00ff"/>
          <w:rtl w:val="0"/>
        </w:rPr>
        <w:t xml:space="preserve">2) the impugned provision must minimally impair the Charter guarantee; a</w:t>
      </w:r>
      <w:r w:rsidDel="00000000" w:rsidR="00000000" w:rsidRPr="00000000">
        <w:rPr>
          <w:rtl w:val="0"/>
        </w:rPr>
        <w:t xml:space="preserve">nd </w:t>
      </w:r>
      <w:r w:rsidDel="00000000" w:rsidR="00000000" w:rsidRPr="00000000">
        <w:rPr>
          <w:color w:val="ff9900"/>
          <w:rtl w:val="0"/>
        </w:rPr>
        <w:t xml:space="preserve">(3) there must be a proportionality between the effect of the measure and its objective so that the attainment of the legislative goal is not outweighed by the abridgement of the right. </w:t>
      </w:r>
      <w:r w:rsidDel="00000000" w:rsidR="00000000" w:rsidRPr="00000000">
        <w:rPr>
          <w:color w:val="980000"/>
          <w:rtl w:val="0"/>
        </w:rPr>
        <w:t xml:space="preserve">In all s. 1 cases the burden of proof is with the government to show on a balance of probabilities that the violation is justifiable.”</w:t>
      </w:r>
    </w:p>
    <w:p w:rsidR="00000000" w:rsidDel="00000000" w:rsidP="00000000" w:rsidRDefault="00000000" w:rsidRPr="00000000">
      <w:pPr>
        <w:pBdr/>
        <w:contextualSpacing w:val="0"/>
        <w:rPr>
          <w:color w:val="980000"/>
        </w:rPr>
      </w:pPr>
      <w:r w:rsidDel="00000000" w:rsidR="00000000" w:rsidRPr="00000000">
        <w:rPr>
          <w:rtl w:val="0"/>
        </w:rPr>
      </w:r>
    </w:p>
    <w:p w:rsidR="00000000" w:rsidDel="00000000" w:rsidP="00000000" w:rsidRDefault="00000000" w:rsidRPr="00000000">
      <w:pPr>
        <w:numPr>
          <w:ilvl w:val="0"/>
          <w:numId w:val="29"/>
        </w:numPr>
        <w:pBdr/>
        <w:ind w:left="720" w:hanging="360"/>
        <w:contextualSpacing w:val="1"/>
        <w:rPr>
          <w:color w:val="980000"/>
        </w:rPr>
      </w:pPr>
      <w:r w:rsidDel="00000000" w:rsidR="00000000" w:rsidRPr="00000000">
        <w:rPr>
          <w:color w:val="980000"/>
          <w:rtl w:val="0"/>
        </w:rPr>
        <w:t xml:space="preserve">There must be a </w:t>
      </w:r>
      <w:r w:rsidDel="00000000" w:rsidR="00000000" w:rsidRPr="00000000">
        <w:rPr>
          <w:i w:val="1"/>
          <w:color w:val="980000"/>
          <w:rtl w:val="0"/>
        </w:rPr>
        <w:t xml:space="preserve">pressing and substantial objective</w:t>
      </w:r>
    </w:p>
    <w:p w:rsidR="00000000" w:rsidDel="00000000" w:rsidP="00000000" w:rsidRDefault="00000000" w:rsidRPr="00000000">
      <w:pPr>
        <w:numPr>
          <w:ilvl w:val="0"/>
          <w:numId w:val="29"/>
        </w:numPr>
        <w:pBdr/>
        <w:ind w:left="720" w:hanging="360"/>
        <w:contextualSpacing w:val="1"/>
        <w:rPr>
          <w:color w:val="980000"/>
        </w:rPr>
      </w:pPr>
      <w:r w:rsidDel="00000000" w:rsidR="00000000" w:rsidRPr="00000000">
        <w:rPr>
          <w:rtl w:val="0"/>
        </w:rPr>
      </w:r>
    </w:p>
    <w:p w:rsidR="00000000" w:rsidDel="00000000" w:rsidP="00000000" w:rsidRDefault="00000000" w:rsidRPr="00000000">
      <w:pPr>
        <w:numPr>
          <w:ilvl w:val="1"/>
          <w:numId w:val="29"/>
        </w:numPr>
        <w:pBdr/>
        <w:ind w:left="1440" w:hanging="360"/>
        <w:contextualSpacing w:val="1"/>
        <w:rPr>
          <w:color w:val="980000"/>
        </w:rPr>
      </w:pPr>
      <w:r w:rsidDel="00000000" w:rsidR="00000000" w:rsidRPr="00000000">
        <w:rPr>
          <w:color w:val="980000"/>
          <w:rtl w:val="0"/>
        </w:rPr>
        <w:t xml:space="preserve">The means must be </w:t>
      </w:r>
      <w:r w:rsidDel="00000000" w:rsidR="00000000" w:rsidRPr="00000000">
        <w:rPr>
          <w:i w:val="1"/>
          <w:color w:val="980000"/>
          <w:rtl w:val="0"/>
        </w:rPr>
        <w:t xml:space="preserve">rationally connected to the objective</w:t>
      </w:r>
    </w:p>
    <w:p w:rsidR="00000000" w:rsidDel="00000000" w:rsidP="00000000" w:rsidRDefault="00000000" w:rsidRPr="00000000">
      <w:pPr>
        <w:numPr>
          <w:ilvl w:val="1"/>
          <w:numId w:val="29"/>
        </w:numPr>
        <w:pBdr/>
        <w:ind w:left="1440" w:hanging="360"/>
        <w:contextualSpacing w:val="1"/>
        <w:rPr>
          <w:color w:val="980000"/>
        </w:rPr>
      </w:pPr>
      <w:r w:rsidDel="00000000" w:rsidR="00000000" w:rsidRPr="00000000">
        <w:rPr>
          <w:color w:val="980000"/>
          <w:rtl w:val="0"/>
        </w:rPr>
        <w:t xml:space="preserve">There must be </w:t>
      </w:r>
      <w:r w:rsidDel="00000000" w:rsidR="00000000" w:rsidRPr="00000000">
        <w:rPr>
          <w:i w:val="1"/>
          <w:color w:val="980000"/>
          <w:rtl w:val="0"/>
        </w:rPr>
        <w:t xml:space="preserve">minimal impairment</w:t>
      </w:r>
      <w:r w:rsidDel="00000000" w:rsidR="00000000" w:rsidRPr="00000000">
        <w:rPr>
          <w:color w:val="980000"/>
          <w:rtl w:val="0"/>
        </w:rPr>
        <w:t xml:space="preserve"> of rights</w:t>
      </w:r>
    </w:p>
    <w:p w:rsidR="00000000" w:rsidDel="00000000" w:rsidP="00000000" w:rsidRDefault="00000000" w:rsidRPr="00000000">
      <w:pPr>
        <w:numPr>
          <w:ilvl w:val="1"/>
          <w:numId w:val="29"/>
        </w:numPr>
        <w:pBdr/>
        <w:ind w:left="1440" w:hanging="360"/>
        <w:contextualSpacing w:val="1"/>
        <w:rPr>
          <w:color w:val="980000"/>
        </w:rPr>
      </w:pPr>
      <w:r w:rsidDel="00000000" w:rsidR="00000000" w:rsidRPr="00000000">
        <w:rPr>
          <w:color w:val="980000"/>
          <w:rtl w:val="0"/>
        </w:rPr>
        <w:t xml:space="preserve">There must be proportionality between the infringement and objective</w:t>
      </w:r>
    </w:p>
    <w:p w:rsidR="00000000" w:rsidDel="00000000" w:rsidP="00000000" w:rsidRDefault="00000000" w:rsidRPr="00000000">
      <w:pPr>
        <w:pBdr/>
        <w:contextualSpacing w:val="0"/>
        <w:rPr>
          <w:color w:val="980000"/>
        </w:rPr>
      </w:pPr>
      <w:r w:rsidDel="00000000" w:rsidR="00000000" w:rsidRPr="00000000">
        <w:rPr>
          <w:rtl w:val="0"/>
        </w:rPr>
      </w:r>
    </w:p>
    <w:p w:rsidR="00000000" w:rsidDel="00000000" w:rsidP="00000000" w:rsidRDefault="00000000" w:rsidRPr="00000000">
      <w:pPr>
        <w:numPr>
          <w:ilvl w:val="0"/>
          <w:numId w:val="1"/>
        </w:numPr>
        <w:pBdr/>
        <w:ind w:left="720" w:hanging="360"/>
        <w:contextualSpacing w:val="1"/>
        <w:rPr>
          <w:b w:val="1"/>
        </w:rPr>
      </w:pPr>
      <w:r w:rsidDel="00000000" w:rsidR="00000000" w:rsidRPr="00000000">
        <w:rPr>
          <w:b w:val="1"/>
          <w:rtl w:val="0"/>
        </w:rPr>
        <w:t xml:space="preserve">Pressing and Substantial Objective</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Which essentially means human rights that are pressing and substantial. For example, Albertans for the protection against discrimination in employment settings.</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The respondents argue</w:t>
      </w:r>
    </w:p>
    <w:p w:rsidR="00000000" w:rsidDel="00000000" w:rsidP="00000000" w:rsidRDefault="00000000" w:rsidRPr="00000000">
      <w:pPr>
        <w:numPr>
          <w:ilvl w:val="0"/>
          <w:numId w:val="18"/>
        </w:numPr>
        <w:pBdr/>
        <w:ind w:left="720" w:hanging="360"/>
        <w:contextualSpacing w:val="1"/>
        <w:rPr/>
      </w:pPr>
      <w:r w:rsidDel="00000000" w:rsidR="00000000" w:rsidRPr="00000000">
        <w:rPr>
          <w:rtl w:val="0"/>
        </w:rPr>
        <w:t xml:space="preserve">The IRPA is inadequate to address some of the </w:t>
      </w:r>
      <w:r w:rsidDel="00000000" w:rsidR="00000000" w:rsidRPr="00000000">
        <w:rPr>
          <w:b w:val="1"/>
          <w:rtl w:val="0"/>
        </w:rPr>
        <w:t xml:space="preserve">concerns</w:t>
      </w:r>
      <w:r w:rsidDel="00000000" w:rsidR="00000000" w:rsidRPr="00000000">
        <w:rPr>
          <w:rtl w:val="0"/>
        </w:rPr>
        <w:t xml:space="preserve"> expressed by the homosexual community (e.g. parental acceptance)</w:t>
      </w:r>
    </w:p>
    <w:p w:rsidR="00000000" w:rsidDel="00000000" w:rsidP="00000000" w:rsidRDefault="00000000" w:rsidRPr="00000000">
      <w:pPr>
        <w:numPr>
          <w:ilvl w:val="0"/>
          <w:numId w:val="18"/>
        </w:numPr>
        <w:pBdr/>
        <w:ind w:left="720" w:hanging="360"/>
        <w:contextualSpacing w:val="1"/>
        <w:rPr/>
      </w:pPr>
      <w:r w:rsidDel="00000000" w:rsidR="00000000" w:rsidRPr="00000000">
        <w:rPr>
          <w:b w:val="1"/>
          <w:rtl w:val="0"/>
        </w:rPr>
        <w:t xml:space="preserve">Attitudes </w:t>
      </w:r>
      <w:r w:rsidDel="00000000" w:rsidR="00000000" w:rsidRPr="00000000">
        <w:rPr>
          <w:rtl w:val="0"/>
        </w:rPr>
        <w:t xml:space="preserve">cannot be changed by order of the Human Rights Commission</w:t>
      </w:r>
    </w:p>
    <w:p w:rsidR="00000000" w:rsidDel="00000000" w:rsidP="00000000" w:rsidRDefault="00000000" w:rsidRPr="00000000">
      <w:pPr>
        <w:numPr>
          <w:ilvl w:val="0"/>
          <w:numId w:val="18"/>
        </w:numPr>
        <w:pBdr/>
        <w:ind w:left="720" w:hanging="360"/>
        <w:contextualSpacing w:val="1"/>
        <w:rPr/>
      </w:pPr>
      <w:r w:rsidDel="00000000" w:rsidR="00000000" w:rsidRPr="00000000">
        <w:rPr>
          <w:b w:val="1"/>
          <w:rtl w:val="0"/>
        </w:rPr>
        <w:t xml:space="preserve">Codification </w:t>
      </w:r>
      <w:r w:rsidDel="00000000" w:rsidR="00000000" w:rsidRPr="00000000">
        <w:rPr>
          <w:rtl w:val="0"/>
        </w:rPr>
        <w:t xml:space="preserve">of marginal grounds which affect few persons raises objections from larger numbers of others.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This is false. An “objective,” being a goal or a purpose to be achieved, is a very different concept from an “explanation”</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2. Proportionality Analysis (Individual Rights Protections Act)</w:t>
      </w:r>
    </w:p>
    <w:p w:rsidR="00000000" w:rsidDel="00000000" w:rsidP="00000000" w:rsidRDefault="00000000" w:rsidRPr="00000000">
      <w:pPr>
        <w:numPr>
          <w:ilvl w:val="0"/>
          <w:numId w:val="30"/>
        </w:numPr>
        <w:pBdr/>
        <w:ind w:left="720" w:hanging="360"/>
        <w:contextualSpacing w:val="1"/>
        <w:rPr>
          <w:b w:val="1"/>
        </w:rPr>
      </w:pPr>
      <w:r w:rsidDel="00000000" w:rsidR="00000000" w:rsidRPr="00000000">
        <w:rPr>
          <w:b w:val="1"/>
          <w:rtl w:val="0"/>
        </w:rPr>
        <w:t xml:space="preserve">Rational Connection</w:t>
      </w:r>
    </w:p>
    <w:p w:rsidR="00000000" w:rsidDel="00000000" w:rsidP="00000000" w:rsidRDefault="00000000" w:rsidRPr="00000000">
      <w:pPr>
        <w:pBdr/>
        <w:contextualSpacing w:val="0"/>
        <w:rPr/>
      </w:pPr>
      <w:r w:rsidDel="00000000" w:rsidR="00000000" w:rsidRPr="00000000">
        <w:rPr>
          <w:rtl w:val="0"/>
        </w:rPr>
        <w:t xml:space="preserve">The exclusion of sexual orientation from the Act is not linked to that goal. It is a unavailing to say that by protecting persons is to discriminate them which is also rationally connected to.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b w:val="1"/>
          <w:rtl w:val="0"/>
        </w:rPr>
        <w:t xml:space="preserve">    b) Minimal Impairment</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The respondents argues that the IRPA minimally impaired their rights.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u w:val="single"/>
        </w:rPr>
      </w:pPr>
      <w:r w:rsidDel="00000000" w:rsidR="00000000" w:rsidRPr="00000000">
        <w:rPr>
          <w:rtl w:val="0"/>
        </w:rPr>
        <w:t xml:space="preserve">The IRPA is social policy legn that requires the Alberta legislature to mediate between the competing groups of </w:t>
      </w:r>
      <w:r w:rsidDel="00000000" w:rsidR="00000000" w:rsidRPr="00000000">
        <w:rPr>
          <w:u w:val="single"/>
          <w:rtl w:val="0"/>
        </w:rPr>
        <w:t xml:space="preserve">religious freedom</w:t>
      </w:r>
      <w:r w:rsidDel="00000000" w:rsidR="00000000" w:rsidRPr="00000000">
        <w:rPr>
          <w:rtl w:val="0"/>
        </w:rPr>
        <w:t xml:space="preserve"> and </w:t>
      </w:r>
      <w:r w:rsidDel="00000000" w:rsidR="00000000" w:rsidRPr="00000000">
        <w:rPr>
          <w:u w:val="single"/>
          <w:rtl w:val="0"/>
        </w:rPr>
        <w:t xml:space="preserve">homosexuality</w:t>
      </w:r>
      <w:r w:rsidDel="00000000" w:rsidR="00000000" w:rsidRPr="00000000">
        <w:rPr>
          <w:rtl w:val="0"/>
        </w:rPr>
        <w:t xml:space="preserve">. The respondents advocate </w:t>
      </w:r>
      <w:r w:rsidDel="00000000" w:rsidR="00000000" w:rsidRPr="00000000">
        <w:rPr>
          <w:u w:val="single"/>
          <w:rtl w:val="0"/>
        </w:rPr>
        <w:t xml:space="preserve">judicial deference.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Court says they cannot agree that the Alberta Legislature is a mediator. Even if there is conflict between religious freedom and the protection of gays and lesbians, the IRPA contains internal mechanisms for balancing these concerns.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color w:val="0000ff"/>
        </w:rPr>
      </w:pPr>
      <w:r w:rsidDel="00000000" w:rsidR="00000000" w:rsidRPr="00000000">
        <w:rPr>
          <w:rtl w:val="0"/>
        </w:rPr>
        <w:t xml:space="preserve">For example, </w:t>
      </w:r>
      <w:r w:rsidDel="00000000" w:rsidR="00000000" w:rsidRPr="00000000">
        <w:rPr>
          <w:color w:val="0000ff"/>
          <w:rtl w:val="0"/>
        </w:rPr>
        <w:t xml:space="preserve">section 11.1 of the IRPA provides a defence where the discrimination was “reasonable and justifiable in the circumstances”. In addition, ss.7(3) and 8(2) excuse discrimination which can be linked to a bona fide occupational requirement. </w:t>
      </w:r>
    </w:p>
    <w:p w:rsidR="00000000" w:rsidDel="00000000" w:rsidP="00000000" w:rsidRDefault="00000000" w:rsidRPr="00000000">
      <w:pPr>
        <w:pBdr/>
        <w:contextualSpacing w:val="0"/>
        <w:rPr>
          <w:color w:val="0000ff"/>
        </w:rPr>
      </w:pPr>
      <w:r w:rsidDel="00000000" w:rsidR="00000000" w:rsidRPr="00000000">
        <w:rPr>
          <w:color w:val="0000ff"/>
          <w:rtl w:val="0"/>
        </w:rPr>
        <w:t xml:space="preserve">The balancing provisions ensure that no conferral of rights is absolute. Rather, rights are recognized in tandem, with no one right being automatically paramount to another.</w:t>
      </w:r>
    </w:p>
    <w:p w:rsidR="00000000" w:rsidDel="00000000" w:rsidP="00000000" w:rsidRDefault="00000000" w:rsidRPr="00000000">
      <w:pPr>
        <w:pBdr/>
        <w:contextualSpacing w:val="0"/>
        <w:rPr>
          <w:color w:val="0000ff"/>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This argument is void, as there is a complete solution exists in the legn.  In any event, </w:t>
      </w:r>
      <w:r w:rsidDel="00000000" w:rsidR="00000000" w:rsidRPr="00000000">
        <w:rPr>
          <w:color w:val="ff00ff"/>
          <w:rtl w:val="0"/>
        </w:rPr>
        <w:t xml:space="preserve">deference must not be carried</w:t>
      </w:r>
      <w:r w:rsidDel="00000000" w:rsidR="00000000" w:rsidRPr="00000000">
        <w:rPr>
          <w:rtl w:val="0"/>
        </w:rPr>
        <w:t xml:space="preserve"> to the point of relieving the government of the burden which the Charter places upon it of demonstrating that the</w:t>
      </w:r>
      <w:r w:rsidDel="00000000" w:rsidR="00000000" w:rsidRPr="00000000">
        <w:rPr>
          <w:b w:val="1"/>
          <w:rtl w:val="0"/>
        </w:rPr>
        <w:t xml:space="preserve"> limits</w:t>
      </w:r>
      <w:r w:rsidDel="00000000" w:rsidR="00000000" w:rsidRPr="00000000">
        <w:rPr>
          <w:rtl w:val="0"/>
        </w:rPr>
        <w:t xml:space="preserve"> it has imposed on guaranteed rights are reasonable and justifiable.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b w:val="1"/>
          <w:rtl w:val="0"/>
        </w:rPr>
        <w:t xml:space="preserve">Parliament has its role.</w:t>
      </w:r>
      <w:r w:rsidDel="00000000" w:rsidR="00000000" w:rsidRPr="00000000">
        <w:rPr>
          <w:rtl w:val="0"/>
        </w:rPr>
        <w:t xml:space="preserve"> To choose the appropriate response to social problems within the limiting framework of the Constitution. But the </w:t>
      </w:r>
      <w:r w:rsidDel="00000000" w:rsidR="00000000" w:rsidRPr="00000000">
        <w:rPr>
          <w:b w:val="1"/>
          <w:rtl w:val="0"/>
        </w:rPr>
        <w:t xml:space="preserve">courts also have a role</w:t>
      </w:r>
      <w:r w:rsidDel="00000000" w:rsidR="00000000" w:rsidRPr="00000000">
        <w:rPr>
          <w:rtl w:val="0"/>
        </w:rPr>
        <w:t xml:space="preserve">: to determine, objectively and impartially, whether Parliament’s choice falls within the limiting framework of the Constitution. </w:t>
      </w:r>
    </w:p>
    <w:p w:rsidR="00000000" w:rsidDel="00000000" w:rsidP="00000000" w:rsidRDefault="00000000" w:rsidRPr="00000000">
      <w:pPr>
        <w:pBdr/>
        <w:contextualSpacing w:val="0"/>
        <w:rPr>
          <w:color w:val="0000ff"/>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color w:val="ff0000"/>
          <w:rtl w:val="0"/>
        </w:rPr>
        <w:t xml:space="preserve">The exclusion constitutes total, not minimal impairment of the Charter guarantee of equality. In these circumstances, the call for judicial deference is inappropriate. </w:t>
      </w: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c)Proportionality Between the Effect of the Measure and the Objective of the Legislation.</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Court says that there is no proportionality between the attainment of the legislative goal and the infringement of the appellant’s equality rights.</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b w:val="1"/>
        </w:rPr>
      </w:pPr>
      <w:r w:rsidDel="00000000" w:rsidR="00000000" w:rsidRPr="00000000">
        <w:rPr>
          <w:b w:val="1"/>
          <w:rtl w:val="0"/>
        </w:rPr>
        <w:t xml:space="preserve">Nova Scotia (Workers Compensation Board) v. Martin, 2003 SCC 54</w:t>
      </w:r>
    </w:p>
    <w:p w:rsidR="00000000" w:rsidDel="00000000" w:rsidP="00000000" w:rsidRDefault="00000000" w:rsidRPr="00000000">
      <w:pPr>
        <w:pBdr/>
        <w:contextualSpacing w:val="0"/>
        <w:rPr>
          <w:b w:val="1"/>
        </w:rPr>
      </w:pPr>
      <w:r w:rsidDel="00000000" w:rsidR="00000000" w:rsidRPr="00000000">
        <w:rPr>
          <w:rtl w:val="0"/>
        </w:rPr>
      </w:r>
    </w:p>
    <w:p w:rsidR="00000000" w:rsidDel="00000000" w:rsidP="00000000" w:rsidRDefault="00000000" w:rsidRPr="00000000">
      <w:pPr>
        <w:pBdr/>
        <w:contextualSpacing w:val="0"/>
        <w:rPr>
          <w:color w:val="0000ff"/>
        </w:rPr>
      </w:pPr>
      <w:r w:rsidDel="00000000" w:rsidR="00000000" w:rsidRPr="00000000">
        <w:rPr>
          <w:color w:val="38761d"/>
          <w:rtl w:val="0"/>
        </w:rPr>
        <w:t xml:space="preserve">The first concern is to maintain the viability of the Accident fund</w:t>
      </w:r>
      <w:r w:rsidDel="00000000" w:rsidR="00000000" w:rsidRPr="00000000">
        <w:rPr>
          <w:rtl w:val="0"/>
        </w:rPr>
        <w:t xml:space="preserve">… </w:t>
      </w:r>
      <w:r w:rsidDel="00000000" w:rsidR="00000000" w:rsidRPr="00000000">
        <w:rPr>
          <w:color w:val="ff0000"/>
          <w:rtl w:val="0"/>
        </w:rPr>
        <w:t xml:space="preserve">Second is the need to develop a consistent legislative response to the administrative challenges raised by the processing of chronic pain claims</w:t>
      </w:r>
      <w:r w:rsidDel="00000000" w:rsidR="00000000" w:rsidRPr="00000000">
        <w:rPr>
          <w:rtl w:val="0"/>
        </w:rPr>
        <w:t xml:space="preserve">…. </w:t>
      </w:r>
      <w:r w:rsidDel="00000000" w:rsidR="00000000" w:rsidRPr="00000000">
        <w:rPr>
          <w:color w:val="ff9900"/>
          <w:rtl w:val="0"/>
        </w:rPr>
        <w:t xml:space="preserve">The third to avoid potential fraudulent claims based on chronic pain…</w:t>
      </w:r>
      <w:r w:rsidDel="00000000" w:rsidR="00000000" w:rsidRPr="00000000">
        <w:rPr>
          <w:rtl w:val="0"/>
        </w:rPr>
        <w:t xml:space="preserve">. </w:t>
      </w:r>
      <w:r w:rsidDel="00000000" w:rsidR="00000000" w:rsidRPr="00000000">
        <w:rPr>
          <w:color w:val="0000ff"/>
          <w:rtl w:val="0"/>
        </w:rPr>
        <w:t xml:space="preserve">The fourth and last objective is to implement early medical intervention and return to work as the optimal treatment for chronic pain.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color w:val="6aa84f"/>
          <w:rtl w:val="0"/>
        </w:rPr>
        <w:t xml:space="preserve">Budgetary considerations in and of themselves cannot normally be invoked as a free-standing pressing and substantial objective for the purposes of s.1 of the Charter.</w:t>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ff0000"/>
        </w:rPr>
      </w:pPr>
      <w:r w:rsidDel="00000000" w:rsidR="00000000" w:rsidRPr="00000000">
        <w:rPr>
          <w:color w:val="ff0000"/>
          <w:rtl w:val="0"/>
        </w:rPr>
        <w:t xml:space="preserve">Mere administrative expediency or conceptual elegance cannot be sufficiently pressing and substantial to override a Charter right. </w:t>
      </w:r>
    </w:p>
    <w:p w:rsidR="00000000" w:rsidDel="00000000" w:rsidP="00000000" w:rsidRDefault="00000000" w:rsidRPr="00000000">
      <w:pPr>
        <w:pBdr/>
        <w:contextualSpacing w:val="0"/>
        <w:rPr>
          <w:color w:val="ff000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color w:val="ff9900"/>
          <w:rtl w:val="0"/>
        </w:rPr>
        <w:t xml:space="preserve">The third is a strong argument. </w:t>
      </w:r>
      <w:r w:rsidDel="00000000" w:rsidR="00000000" w:rsidRPr="00000000">
        <w:rPr>
          <w:rtl w:val="0"/>
        </w:rPr>
        <w:t xml:space="preserve"> </w:t>
      </w:r>
      <w:r w:rsidDel="00000000" w:rsidR="00000000" w:rsidRPr="00000000">
        <w:rPr>
          <w:b w:val="1"/>
          <w:rtl w:val="0"/>
        </w:rPr>
        <w:t xml:space="preserve">The challenged provisions of the Act and the FRP regulations are rationally connected to this objective.</w:t>
      </w:r>
      <w:r w:rsidDel="00000000" w:rsidR="00000000" w:rsidRPr="00000000">
        <w:rPr>
          <w:b w:val="1"/>
          <w:color w:val="ff9900"/>
          <w:rtl w:val="0"/>
        </w:rPr>
        <w:t xml:space="preserve"> </w:t>
      </w:r>
      <w:r w:rsidDel="00000000" w:rsidR="00000000" w:rsidRPr="00000000">
        <w:rPr>
          <w:rtl w:val="0"/>
        </w:rPr>
        <w:t xml:space="preserve">There can be no doubt that, by excluding all claims connected to chronic pain…. Virtually eliminate the possibility of fraudulent claims based on chronic pain for all other types of benefits.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It would not impair anyone's rights, because everyone all claims would be deemed as fraudulent,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Respondents point out that the govnt IS entitled to a degree of deference in its weighing of conflicting claims, as s.1 requires that the legislation limit the relevant Charter right “ </w:t>
      </w:r>
      <w:r w:rsidDel="00000000" w:rsidR="00000000" w:rsidRPr="00000000">
        <w:rPr>
          <w:b w:val="1"/>
          <w:rtl w:val="0"/>
        </w:rPr>
        <w:t xml:space="preserve">as little as is reasonably possible</w:t>
      </w:r>
      <w:r w:rsidDel="00000000" w:rsidR="00000000" w:rsidRPr="00000000">
        <w:rPr>
          <w:rtl w:val="0"/>
        </w:rPr>
        <w:t xml:space="preserve">”.</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However, the adaptability of the system is illustrated by the approaches adopted by other provinces such as Alberta, BC, Quebec and Ontario by adapting the assessment method of chronic pain on a case-by case basis.</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Work related injuries and chronic pain are also handled effectively in the compensation system within those provinces. </w:t>
      </w:r>
    </w:p>
    <w:p w:rsidR="00000000" w:rsidDel="00000000" w:rsidP="00000000" w:rsidRDefault="00000000" w:rsidRPr="00000000">
      <w:pPr>
        <w:pBdr/>
        <w:contextualSpacing w:val="0"/>
        <w:rPr>
          <w:color w:val="0000ff"/>
        </w:rPr>
      </w:pPr>
      <w:r w:rsidDel="00000000" w:rsidR="00000000" w:rsidRPr="00000000">
        <w:rPr>
          <w:rtl w:val="0"/>
        </w:rPr>
      </w:r>
    </w:p>
    <w:p w:rsidR="00000000" w:rsidDel="00000000" w:rsidP="00000000" w:rsidRDefault="00000000" w:rsidRPr="00000000">
      <w:pPr>
        <w:pBdr/>
        <w:contextualSpacing w:val="0"/>
        <w:rPr>
          <w:color w:val="0000ff"/>
        </w:rPr>
      </w:pPr>
      <w:r w:rsidDel="00000000" w:rsidR="00000000" w:rsidRPr="00000000">
        <w:rPr>
          <w:color w:val="0000ff"/>
          <w:rtl w:val="0"/>
        </w:rPr>
        <w:t xml:space="preserve">Y’all mfs forgot about early medical intervention and return to work as the optimal treatment for chronic pain</w:t>
      </w:r>
    </w:p>
    <w:p w:rsidR="00000000" w:rsidDel="00000000" w:rsidP="00000000" w:rsidRDefault="00000000" w:rsidRPr="00000000">
      <w:pPr>
        <w:pBdr/>
        <w:contextualSpacing w:val="0"/>
        <w:rPr>
          <w:color w:val="0000ff"/>
        </w:rPr>
      </w:pPr>
      <w:r w:rsidDel="00000000" w:rsidR="00000000" w:rsidRPr="00000000">
        <w:rPr>
          <w:rtl w:val="0"/>
        </w:rPr>
      </w:r>
    </w:p>
    <w:p w:rsidR="00000000" w:rsidDel="00000000" w:rsidP="00000000" w:rsidRDefault="00000000" w:rsidRPr="00000000">
      <w:pPr>
        <w:pBdr/>
        <w:contextualSpacing w:val="0"/>
        <w:rPr>
          <w:color w:val="0000ff"/>
        </w:rPr>
      </w:pPr>
      <w:r w:rsidDel="00000000" w:rsidR="00000000" w:rsidRPr="00000000">
        <w:rPr>
          <w:color w:val="0000ff"/>
          <w:rtl w:val="0"/>
        </w:rPr>
        <w:t xml:space="preserve">When a legislative provision that draws a distinction based on disability is found NOT to correspond to the needs and circumstances of the claimants to such a degree that it demeans their essential human dignity, the govt will face a steep evidentiary burden if it chooses to determine a rationally connected objective that is connected to the best available treatment of such claimants.</w:t>
      </w:r>
    </w:p>
    <w:p w:rsidR="00000000" w:rsidDel="00000000" w:rsidP="00000000" w:rsidRDefault="00000000" w:rsidRPr="00000000">
      <w:pPr>
        <w:pBdr/>
        <w:contextualSpacing w:val="0"/>
        <w:rPr>
          <w:color w:val="0000ff"/>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Thus, they fail the minimum impairment and general proportionality tests.</w:t>
      </w:r>
    </w:p>
    <w:p w:rsidR="00000000" w:rsidDel="00000000" w:rsidP="00000000" w:rsidRDefault="00000000" w:rsidRPr="00000000">
      <w:pPr>
        <w:pBdr/>
        <w:contextualSpacing w:val="0"/>
        <w:rPr>
          <w:color w:val="6aa84f"/>
        </w:rPr>
      </w:pPr>
      <w:r w:rsidDel="00000000" w:rsidR="00000000" w:rsidRPr="00000000">
        <w:rPr>
          <w:color w:val="6aa84f"/>
          <w:rtl w:val="0"/>
        </w:rPr>
        <w:t xml:space="preserve">.</w:t>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t xml:space="preserve">Lecture 12</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Striking  down the legislation</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Severance of the offending section,</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Striking down or severance with a temporary suspension of the declaration of invalidity</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Reading down</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Reading provisions into the legislation. </w:t>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spacing w:before="80" w:lineRule="auto"/>
        <w:contextualSpacing w:val="0"/>
        <w:rPr>
          <w:rFonts w:ascii="Calibri" w:cs="Calibri" w:eastAsia="Calibri" w:hAnsi="Calibri"/>
          <w:b w:val="1"/>
          <w:sz w:val="24"/>
          <w:szCs w:val="24"/>
        </w:rPr>
      </w:pPr>
      <w:r w:rsidDel="00000000" w:rsidR="00000000" w:rsidRPr="00000000">
        <w:rPr>
          <w:rFonts w:ascii="Calibri" w:cs="Calibri" w:eastAsia="Calibri" w:hAnsi="Calibri"/>
          <w:sz w:val="24"/>
          <w:szCs w:val="24"/>
          <w:rtl w:val="0"/>
        </w:rPr>
        <w:t xml:space="preserve">In Schachter, noted that when the remedy for reading in is appropriate it must be guided by the “twin guiding principles,” which is the</w:t>
      </w:r>
      <w:r w:rsidDel="00000000" w:rsidR="00000000" w:rsidRPr="00000000">
        <w:rPr>
          <w:rFonts w:ascii="Calibri" w:cs="Calibri" w:eastAsia="Calibri" w:hAnsi="Calibri"/>
          <w:b w:val="1"/>
          <w:sz w:val="24"/>
          <w:szCs w:val="24"/>
          <w:rtl w:val="0"/>
        </w:rPr>
        <w:t xml:space="preserve"> role of the legislature and respect for the purposes of the Charter</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twin guiding principles can only be fulfilled through </w:t>
      </w:r>
      <w:r w:rsidDel="00000000" w:rsidR="00000000" w:rsidRPr="00000000">
        <w:rPr>
          <w:rFonts w:ascii="Calibri" w:cs="Calibri" w:eastAsia="Calibri" w:hAnsi="Calibri"/>
          <w:b w:val="1"/>
          <w:sz w:val="24"/>
          <w:szCs w:val="24"/>
          <w:rtl w:val="0"/>
        </w:rPr>
        <w:t xml:space="preserve">remedial precision</w:t>
      </w:r>
      <w:r w:rsidDel="00000000" w:rsidR="00000000" w:rsidRPr="00000000">
        <w:rPr>
          <w:rFonts w:ascii="Calibri" w:cs="Calibri" w:eastAsia="Calibri" w:hAnsi="Calibri"/>
          <w:sz w:val="24"/>
          <w:szCs w:val="24"/>
          <w:rtl w:val="0"/>
        </w:rPr>
        <w:t xml:space="preserve">, budgetary implications, effects on the thrust of the legislation, and interference with legislative objectives</w:t>
      </w:r>
    </w:p>
    <w:p w:rsidR="00000000" w:rsidDel="00000000" w:rsidP="00000000" w:rsidRDefault="00000000" w:rsidRPr="00000000">
      <w:pPr>
        <w:pBdr/>
        <w:spacing w:before="80"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1)Remedial precision</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The court must be able to define with a </w:t>
      </w:r>
      <w:r w:rsidDel="00000000" w:rsidR="00000000" w:rsidRPr="00000000">
        <w:rPr>
          <w:rFonts w:ascii="Calibri" w:cs="Calibri" w:eastAsia="Calibri" w:hAnsi="Calibri"/>
          <w:b w:val="1"/>
          <w:sz w:val="24"/>
          <w:szCs w:val="24"/>
          <w:rtl w:val="0"/>
        </w:rPr>
        <w:t xml:space="preserve">“sufficient degree of precision”</w:t>
      </w:r>
      <w:r w:rsidDel="00000000" w:rsidR="00000000" w:rsidRPr="00000000">
        <w:rPr>
          <w:rFonts w:ascii="Calibri" w:cs="Calibri" w:eastAsia="Calibri" w:hAnsi="Calibri"/>
          <w:sz w:val="24"/>
          <w:szCs w:val="24"/>
          <w:rtl w:val="0"/>
        </w:rPr>
        <w:t xml:space="preserve"> how the statute ought to be extended in order to comply with the Constitution. In other words, simply adding the words ‘’sexual orientation’’ in the preamble of the IPRA will ensure validity and remedy the constitutional wrong.</w:t>
      </w:r>
    </w:p>
    <w:p w:rsidR="00000000" w:rsidDel="00000000" w:rsidP="00000000" w:rsidRDefault="00000000" w:rsidRPr="00000000">
      <w:pPr>
        <w:pBdr/>
        <w:spacing w:before="80"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2)Budgetary Implications</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-Court says there is no question there will be budgetary impact on the Human Rights Commission as a result of the addition of sexual orientation as a prohibited ground of discrimination.  But unlike, Schcahter, it would not be substantial to change the nature of the scheme of the legn</w:t>
      </w:r>
    </w:p>
    <w:p w:rsidR="00000000" w:rsidDel="00000000" w:rsidP="00000000" w:rsidRDefault="00000000" w:rsidRPr="00000000">
      <w:pPr>
        <w:pBdr/>
        <w:spacing w:before="80"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3)Effects of the thrust of the leg’n</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-All persons that benefited under the scope of the IRPA would continue to, even when adding sexual orientation into the Act</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Further it is reasonable to conclude that the legislature would rather have a human right statute including sexual orientation, rather than having none at all. The inclusion of sexual orientation of the IRPA </w:t>
      </w:r>
      <w:r w:rsidDel="00000000" w:rsidR="00000000" w:rsidRPr="00000000">
        <w:rPr>
          <w:rFonts w:ascii="Calibri" w:cs="Calibri" w:eastAsia="Calibri" w:hAnsi="Calibri"/>
          <w:b w:val="1"/>
          <w:sz w:val="24"/>
          <w:szCs w:val="24"/>
          <w:rtl w:val="0"/>
        </w:rPr>
        <w:t xml:space="preserve">does not alter the leg’n to any significant degree</w:t>
      </w:r>
      <w:r w:rsidDel="00000000" w:rsidR="00000000" w:rsidRPr="00000000">
        <w:rPr>
          <w:rFonts w:ascii="Calibri" w:cs="Calibri" w:eastAsia="Calibri" w:hAnsi="Calibri"/>
          <w:sz w:val="24"/>
          <w:szCs w:val="24"/>
          <w:rtl w:val="0"/>
        </w:rPr>
        <w:t xml:space="preserve">, and is reasonable to assume that the legislature would have enacted it sooner or later.</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Accordingly, where the group to be added is </w:t>
      </w:r>
      <w:r w:rsidDel="00000000" w:rsidR="00000000" w:rsidRPr="00000000">
        <w:rPr>
          <w:rFonts w:ascii="Calibri" w:cs="Calibri" w:eastAsia="Calibri" w:hAnsi="Calibri"/>
          <w:b w:val="1"/>
          <w:sz w:val="24"/>
          <w:szCs w:val="24"/>
          <w:rtl w:val="0"/>
        </w:rPr>
        <w:t xml:space="preserve">smaller than the group originally benefitted,</w:t>
      </w:r>
      <w:r w:rsidDel="00000000" w:rsidR="00000000" w:rsidRPr="00000000">
        <w:rPr>
          <w:rFonts w:ascii="Calibri" w:cs="Calibri" w:eastAsia="Calibri" w:hAnsi="Calibri"/>
          <w:sz w:val="24"/>
          <w:szCs w:val="24"/>
          <w:rtl w:val="0"/>
        </w:rPr>
        <w:t xml:space="preserve"> this indicates that where the legislature would have enacted the benefit is a “sound one.” Gays and lesbians are clearly a smaller group than those already benefitted by the IRPA, thus reading in remains the less intrusive option</w:t>
      </w:r>
    </w:p>
    <w:p w:rsidR="00000000" w:rsidDel="00000000" w:rsidP="00000000" w:rsidRDefault="00000000" w:rsidRPr="00000000">
      <w:pPr>
        <w:pBdr/>
        <w:spacing w:before="80" w:lineRule="auto"/>
        <w:contextualSpacing w:val="0"/>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4)Interference with the legislative objective</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To determine whether the particular remedy intrudes into the legislative sphere is by giving careful attention to the </w:t>
      </w:r>
      <w:r w:rsidDel="00000000" w:rsidR="00000000" w:rsidRPr="00000000">
        <w:rPr>
          <w:rFonts w:ascii="Calibri" w:cs="Calibri" w:eastAsia="Calibri" w:hAnsi="Calibri"/>
          <w:b w:val="1"/>
          <w:sz w:val="24"/>
          <w:szCs w:val="24"/>
          <w:rtl w:val="0"/>
        </w:rPr>
        <w:t xml:space="preserve">objective entrenched in the leg’n</w:t>
      </w:r>
      <w:r w:rsidDel="00000000" w:rsidR="00000000" w:rsidRPr="00000000">
        <w:rPr>
          <w:rFonts w:ascii="Calibri" w:cs="Calibri" w:eastAsia="Calibri" w:hAnsi="Calibri"/>
          <w:sz w:val="24"/>
          <w:szCs w:val="24"/>
          <w:rtl w:val="0"/>
        </w:rPr>
        <w:t xml:space="preserve"> in question</w:t>
      </w:r>
    </w:p>
    <w:p w:rsidR="00000000" w:rsidDel="00000000" w:rsidP="00000000" w:rsidRDefault="00000000" w:rsidRPr="00000000">
      <w:pPr>
        <w:pBdr/>
        <w:contextualSpacing w:val="0"/>
        <w:rPr>
          <w:rFonts w:ascii="Calibri" w:cs="Calibri" w:eastAsia="Calibri" w:hAnsi="Calibri"/>
          <w:b w:val="1"/>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Second, is the  </w:t>
      </w:r>
      <w:r w:rsidDel="00000000" w:rsidR="00000000" w:rsidRPr="00000000">
        <w:rPr>
          <w:rFonts w:ascii="Calibri" w:cs="Calibri" w:eastAsia="Calibri" w:hAnsi="Calibri"/>
          <w:b w:val="1"/>
          <w:sz w:val="24"/>
          <w:szCs w:val="24"/>
          <w:rtl w:val="0"/>
        </w:rPr>
        <w:t xml:space="preserve">legislative intention of the means chosen to pursue that objective.</w:t>
      </w:r>
    </w:p>
    <w:p w:rsidR="00000000" w:rsidDel="00000000" w:rsidP="00000000" w:rsidRDefault="00000000" w:rsidRPr="00000000">
      <w:pPr>
        <w:pBdr/>
        <w:spacing w:before="80" w:lineRule="auto"/>
        <w:contextualSpacing w:val="0"/>
        <w:rPr>
          <w:rFonts w:ascii="Calibri" w:cs="Calibri" w:eastAsia="Calibri" w:hAnsi="Calibri"/>
          <w:b w:val="1"/>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Reading sexual orientation would not interfere with the objective of the leg’n. It would actually enhance that objective. </w:t>
      </w:r>
      <w:r w:rsidDel="00000000" w:rsidR="00000000" w:rsidRPr="00000000">
        <w:rPr>
          <w:rFonts w:ascii="Calibri" w:cs="Calibri" w:eastAsia="Calibri" w:hAnsi="Calibri"/>
          <w:b w:val="1"/>
          <w:sz w:val="24"/>
          <w:szCs w:val="24"/>
          <w:rtl w:val="0"/>
        </w:rPr>
        <w:t xml:space="preserve">However, reading in might interfere with the second level of legislative intention.</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 the respondents argue that reading in would interfere with the will of the govn’t.</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Court says that reading in will never be the appropriate remedy if where the legislative omission reflects the deliberate choice of the legislating body.</w:t>
      </w:r>
    </w:p>
    <w:p w:rsidR="00000000" w:rsidDel="00000000" w:rsidP="00000000" w:rsidRDefault="00000000" w:rsidRPr="00000000">
      <w:pPr>
        <w:pBdr/>
        <w:spacing w:before="80" w:lineRule="auto"/>
        <w:contextualSpacing w:val="0"/>
        <w:rPr>
          <w:rFonts w:ascii="Calibri" w:cs="Calibri" w:eastAsia="Calibri" w:hAnsi="Calibri"/>
          <w:b w:val="1"/>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Court says that the preferred consequence should be </w:t>
      </w:r>
      <w:r w:rsidDel="00000000" w:rsidR="00000000" w:rsidRPr="00000000">
        <w:rPr>
          <w:rFonts w:ascii="Calibri" w:cs="Calibri" w:eastAsia="Calibri" w:hAnsi="Calibri"/>
          <w:b w:val="1"/>
          <w:sz w:val="24"/>
          <w:szCs w:val="24"/>
          <w:rtl w:val="0"/>
        </w:rPr>
        <w:t xml:space="preserve">its return to the legislature for representative, constitutional overhaul</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Court says, Charter scrutiny will always involve some inference with the legislative will.</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 As stated by the intervener Canadian Jewish Congress, if reading in is always deemed an inappropriate remedy, this amounts to the suggestion that whenever a government violates a Charter right, it ought to do so in a deliberate manner so as to avoid the remedy of reading in. Court says this is an unacceptable result.</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Court concludes that the legislators must take into account of the interests of the majorities and minorities who will be affected by the decision; especially when that minority group suffers from historically prejudice or discrimination.</w:t>
      </w:r>
    </w:p>
    <w:p w:rsidR="00000000" w:rsidDel="00000000" w:rsidP="00000000" w:rsidRDefault="00000000" w:rsidRPr="00000000">
      <w:pPr>
        <w:pBdr/>
        <w:spacing w:before="80" w:lineRule="auto"/>
        <w:contextualSpacing w:val="0"/>
        <w:rPr>
          <w:rFonts w:ascii="Calibri" w:cs="Calibri" w:eastAsia="Calibri" w:hAnsi="Calibri"/>
          <w:sz w:val="24"/>
          <w:szCs w:val="24"/>
        </w:rPr>
      </w:pPr>
      <w:r w:rsidDel="00000000" w:rsidR="00000000" w:rsidRPr="00000000">
        <w:rPr>
          <w:sz w:val="24"/>
          <w:szCs w:val="24"/>
          <w:rtl w:val="0"/>
        </w:rPr>
        <w:t xml:space="preserve">-</w:t>
      </w:r>
      <w:r w:rsidDel="00000000" w:rsidR="00000000" w:rsidRPr="00000000">
        <w:rPr>
          <w:rFonts w:ascii="Calibri" w:cs="Calibri" w:eastAsia="Calibri" w:hAnsi="Calibri"/>
          <w:sz w:val="24"/>
          <w:szCs w:val="24"/>
          <w:rtl w:val="0"/>
        </w:rPr>
        <w:t xml:space="preserve">Judicial intervention is needed to correct the democratic process that has acted improperly.</w:t>
      </w:r>
    </w:p>
    <w:p w:rsidR="00000000" w:rsidDel="00000000" w:rsidP="00000000" w:rsidRDefault="00000000" w:rsidRPr="00000000">
      <w:pPr>
        <w:pBdr/>
        <w:spacing w:before="80" w:lineRule="auto"/>
        <w:contextualSpacing w:val="0"/>
        <w:rPr>
          <w:sz w:val="24"/>
          <w:szCs w:val="24"/>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color w:val="6aa84f"/>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p w:rsidR="00000000" w:rsidDel="00000000" w:rsidP="00000000" w:rsidRDefault="00000000" w:rsidRPr="00000000">
      <w:pPr>
        <w:pBdr/>
        <w:contextualSpacing w:val="0"/>
        <w:rPr/>
      </w:pPr>
      <w:r w:rsidDel="00000000" w:rsidR="00000000" w:rsidRPr="00000000">
        <w:rPr>
          <w:rtl w:val="0"/>
        </w:rPr>
      </w:r>
    </w:p>
    <w:sectPr>
      <w:pgSz w:h="16834" w:w="11909"/>
      <w:pgMar w:bottom="1440" w:top="1440" w:left="1440" w:right="1440" w:head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Arial Unicode MS"/>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4">
    <w:lvl w:ilvl="0">
      <w:start w:val="1"/>
      <w:numFmt w:val="bullet"/>
      <w:lvlText w:val="-"/>
      <w:lvlJc w:val="left"/>
      <w:pPr>
        <w:ind w:left="720" w:firstLine="360"/>
      </w:pPr>
      <w:rPr>
        <w:b w:val="0"/>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6">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1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9">
    <w:lvl w:ilvl="0">
      <w:start w:val="1"/>
      <w:numFmt w:val="decimal"/>
      <w:lvlText w:val="%1."/>
      <w:lvlJc w:val="left"/>
      <w:pPr>
        <w:ind w:left="720" w:firstLine="360"/>
      </w:pPr>
      <w:rPr>
        <w:u w:val="none"/>
      </w:rPr>
    </w:lvl>
    <w:lvl w:ilvl="1">
      <w:start w:val="1"/>
      <w:numFmt w:val="decimal"/>
      <w:lvlText w:val="%2."/>
      <w:lvlJc w:val="left"/>
      <w:pPr>
        <w:ind w:left="1440" w:firstLine="1080"/>
      </w:pPr>
      <w:rPr>
        <w:u w:val="none"/>
      </w:rPr>
    </w:lvl>
    <w:lvl w:ilvl="2">
      <w:start w:val="1"/>
      <w:numFmt w:val="lowerRoman"/>
      <w:lvlText w:val="%3."/>
      <w:lvlJc w:val="lef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lef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left"/>
      <w:pPr>
        <w:ind w:left="6480" w:firstLine="6120"/>
      </w:pPr>
      <w:rPr>
        <w:u w:val="none"/>
      </w:rPr>
    </w:lvl>
  </w:abstractNum>
  <w:abstractNum w:abstractNumId="30">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3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4">
    <w:lvl w:ilvl="0">
      <w:start w:val="1"/>
      <w:numFmt w:val="lowerLetter"/>
      <w:lvlText w:val="%1)"/>
      <w:lvlJc w:val="left"/>
      <w:pPr>
        <w:ind w:left="720" w:firstLine="360"/>
      </w:pPr>
      <w:rPr>
        <w:u w:val="none"/>
      </w:rPr>
    </w:lvl>
    <w:lvl w:ilvl="1">
      <w:start w:val="1"/>
      <w:numFmt w:val="lowerRoman"/>
      <w:lvlText w:val="%2)"/>
      <w:lvlJc w:val="right"/>
      <w:pPr>
        <w:ind w:left="1440" w:firstLine="1080"/>
      </w:pPr>
      <w:rPr>
        <w:u w:val="none"/>
      </w:rPr>
    </w:lvl>
    <w:lvl w:ilvl="2">
      <w:start w:val="1"/>
      <w:numFmt w:val="decimal"/>
      <w:lvlText w:val="%3)"/>
      <w:lvlJc w:val="left"/>
      <w:pPr>
        <w:ind w:left="2160" w:firstLine="1800"/>
      </w:pPr>
      <w:rPr>
        <w:u w:val="none"/>
      </w:rPr>
    </w:lvl>
    <w:lvl w:ilvl="3">
      <w:start w:val="1"/>
      <w:numFmt w:val="lowerLetter"/>
      <w:lvlText w:val="(%4)"/>
      <w:lvlJc w:val="left"/>
      <w:pPr>
        <w:ind w:left="2880" w:firstLine="2520"/>
      </w:pPr>
      <w:rPr>
        <w:u w:val="none"/>
      </w:rPr>
    </w:lvl>
    <w:lvl w:ilvl="4">
      <w:start w:val="1"/>
      <w:numFmt w:val="lowerRoman"/>
      <w:lvlText w:val="(%5)"/>
      <w:lvlJc w:val="right"/>
      <w:pPr>
        <w:ind w:left="3600" w:firstLine="3240"/>
      </w:pPr>
      <w:rPr>
        <w:u w:val="none"/>
      </w:rPr>
    </w:lvl>
    <w:lvl w:ilvl="5">
      <w:start w:val="1"/>
      <w:numFmt w:val="decimal"/>
      <w:lvlText w:val="(%6)"/>
      <w:lvlJc w:val="left"/>
      <w:pPr>
        <w:ind w:left="4320" w:firstLine="3960"/>
      </w:pPr>
      <w:rPr>
        <w:u w:val="none"/>
      </w:rPr>
    </w:lvl>
    <w:lvl w:ilvl="6">
      <w:start w:val="1"/>
      <w:numFmt w:val="lowerLetter"/>
      <w:lvlText w:val="%7."/>
      <w:lvlJc w:val="left"/>
      <w:pPr>
        <w:ind w:left="5040" w:firstLine="4680"/>
      </w:pPr>
      <w:rPr>
        <w:u w:val="none"/>
      </w:rPr>
    </w:lvl>
    <w:lvl w:ilvl="7">
      <w:start w:val="1"/>
      <w:numFmt w:val="lowerRoman"/>
      <w:lvlText w:val="%8."/>
      <w:lvlJc w:val="right"/>
      <w:pPr>
        <w:ind w:left="5760" w:firstLine="5400"/>
      </w:pPr>
      <w:rPr>
        <w:u w:val="none"/>
      </w:rPr>
    </w:lvl>
    <w:lvl w:ilvl="8">
      <w:start w:val="1"/>
      <w:numFmt w:val="decimal"/>
      <w:lvlText w:val="%9."/>
      <w:lvlJc w:val="left"/>
      <w:pPr>
        <w:ind w:left="6480" w:firstLine="6120"/>
      </w:pPr>
      <w:rPr>
        <w:u w:val="none"/>
      </w:rPr>
    </w:lvl>
  </w:abstractNum>
  <w:abstractNum w:abstractNumId="35">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6">
    <w:lvl w:ilvl="0">
      <w:start w:val="1"/>
      <w:numFmt w:val="upperLetter"/>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7">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9">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3">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pBdr/>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Bdr/>
      <w:spacing w:after="120" w:before="400" w:lineRule="auto"/>
      <w:contextualSpacing w:val="1"/>
    </w:pPr>
    <w:rPr>
      <w:sz w:val="40"/>
      <w:szCs w:val="40"/>
    </w:rPr>
  </w:style>
  <w:style w:type="paragraph" w:styleId="Heading2">
    <w:name w:val="heading 2"/>
    <w:basedOn w:val="Normal"/>
    <w:next w:val="Normal"/>
    <w:pPr>
      <w:keepNext w:val="1"/>
      <w:keepLines w:val="1"/>
      <w:pBdr/>
      <w:spacing w:after="120" w:before="360" w:lineRule="auto"/>
      <w:contextualSpacing w:val="1"/>
    </w:pPr>
    <w:rPr>
      <w:b w:val="0"/>
      <w:sz w:val="32"/>
      <w:szCs w:val="32"/>
    </w:rPr>
  </w:style>
  <w:style w:type="paragraph" w:styleId="Heading3">
    <w:name w:val="heading 3"/>
    <w:basedOn w:val="Normal"/>
    <w:next w:val="Normal"/>
    <w:pPr>
      <w:keepNext w:val="1"/>
      <w:keepLines w:val="1"/>
      <w:pBdr/>
      <w:spacing w:after="80" w:before="320" w:lineRule="auto"/>
      <w:contextualSpacing w:val="1"/>
    </w:pPr>
    <w:rPr>
      <w:b w:val="0"/>
      <w:color w:val="434343"/>
      <w:sz w:val="28"/>
      <w:szCs w:val="28"/>
    </w:rPr>
  </w:style>
  <w:style w:type="paragraph" w:styleId="Heading4">
    <w:name w:val="heading 4"/>
    <w:basedOn w:val="Normal"/>
    <w:next w:val="Normal"/>
    <w:pPr>
      <w:keepNext w:val="1"/>
      <w:keepLines w:val="1"/>
      <w:pBdr/>
      <w:spacing w:after="80" w:before="280" w:lineRule="auto"/>
      <w:contextualSpacing w:val="1"/>
    </w:pPr>
    <w:rPr>
      <w:color w:val="666666"/>
      <w:sz w:val="24"/>
      <w:szCs w:val="24"/>
    </w:rPr>
  </w:style>
  <w:style w:type="paragraph" w:styleId="Heading5">
    <w:name w:val="heading 5"/>
    <w:basedOn w:val="Normal"/>
    <w:next w:val="Normal"/>
    <w:pPr>
      <w:keepNext w:val="1"/>
      <w:keepLines w:val="1"/>
      <w:pBdr/>
      <w:spacing w:after="80" w:before="240" w:lineRule="auto"/>
      <w:contextualSpacing w:val="1"/>
    </w:pPr>
    <w:rPr>
      <w:color w:val="666666"/>
      <w:sz w:val="22"/>
      <w:szCs w:val="22"/>
    </w:rPr>
  </w:style>
  <w:style w:type="paragraph" w:styleId="Heading6">
    <w:name w:val="heading 6"/>
    <w:basedOn w:val="Normal"/>
    <w:next w:val="Normal"/>
    <w:pPr>
      <w:keepNext w:val="1"/>
      <w:keepLines w:val="1"/>
      <w:pBdr/>
      <w:spacing w:after="80" w:before="240" w:lineRule="auto"/>
      <w:contextualSpacing w:val="1"/>
    </w:pPr>
    <w:rPr>
      <w:i w:val="1"/>
      <w:color w:val="666666"/>
      <w:sz w:val="22"/>
      <w:szCs w:val="22"/>
    </w:rPr>
  </w:style>
  <w:style w:type="paragraph" w:styleId="Title">
    <w:name w:val="Title"/>
    <w:basedOn w:val="Normal"/>
    <w:next w:val="Normal"/>
    <w:pPr>
      <w:keepNext w:val="1"/>
      <w:keepLines w:val="1"/>
      <w:pBdr/>
      <w:spacing w:after="60" w:before="0" w:lineRule="auto"/>
      <w:contextualSpacing w:val="1"/>
    </w:pPr>
    <w:rPr>
      <w:sz w:val="52"/>
      <w:szCs w:val="52"/>
    </w:rPr>
  </w:style>
  <w:style w:type="paragraph" w:styleId="Subtitle">
    <w:name w:val="Subtitle"/>
    <w:basedOn w:val="Normal"/>
    <w:next w:val="Normal"/>
    <w:pPr>
      <w:keepNext w:val="1"/>
      <w:keepLines w:val="1"/>
      <w:pBdr/>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image" Target="media/image01.png"/></Relationships>
</file>