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0D0" w:rsidRPr="000740D0" w:rsidRDefault="000740D0" w:rsidP="000740D0">
      <w:pPr>
        <w:shd w:val="clear" w:color="auto" w:fill="FFFFFF"/>
        <w:spacing w:before="75" w:after="150" w:line="636" w:lineRule="atLeast"/>
        <w:outlineLvl w:val="1"/>
        <w:rPr>
          <w:rFonts w:ascii="Times New Roman" w:eastAsia="Times New Roman" w:hAnsi="Times New Roman" w:cs="Times New Roman"/>
          <w:b/>
          <w:bCs/>
          <w:color w:val="884433"/>
          <w:sz w:val="41"/>
          <w:szCs w:val="41"/>
          <w:lang w:eastAsia="en-CA"/>
        </w:rPr>
      </w:pPr>
      <w:r w:rsidRPr="000740D0">
        <w:rPr>
          <w:rFonts w:ascii="Times New Roman" w:eastAsia="Times New Roman" w:hAnsi="Times New Roman" w:cs="Times New Roman"/>
          <w:b/>
          <w:bCs/>
          <w:color w:val="884433"/>
          <w:sz w:val="41"/>
          <w:szCs w:val="41"/>
          <w:lang w:eastAsia="en-CA"/>
        </w:rPr>
        <w:t>Fundamental Freedoms</w:t>
      </w:r>
    </w:p>
    <w:p w:rsidR="000740D0" w:rsidRPr="000740D0" w:rsidRDefault="000740D0" w:rsidP="000740D0">
      <w:pPr>
        <w:shd w:val="clear" w:color="auto" w:fill="FFFFFF"/>
        <w:spacing w:before="75" w:after="150" w:line="240" w:lineRule="auto"/>
        <w:rPr>
          <w:rFonts w:ascii="Arial" w:eastAsia="Times New Roman" w:hAnsi="Arial" w:cs="Arial"/>
          <w:color w:val="333333"/>
          <w:sz w:val="29"/>
          <w:szCs w:val="29"/>
          <w:lang w:eastAsia="en-CA"/>
        </w:rPr>
      </w:pPr>
      <w:r w:rsidRPr="000740D0">
        <w:rPr>
          <w:rFonts w:ascii="Arial" w:eastAsia="Times New Roman" w:hAnsi="Arial" w:cs="Arial"/>
          <w:color w:val="333333"/>
          <w:sz w:val="29"/>
          <w:szCs w:val="29"/>
          <w:lang w:eastAsia="en-CA"/>
        </w:rPr>
        <w:t>“2. Everyone has the following fundamental freedoms:</w:t>
      </w:r>
    </w:p>
    <w:p w:rsidR="000740D0" w:rsidRPr="000740D0" w:rsidRDefault="000740D0" w:rsidP="000740D0">
      <w:pPr>
        <w:numPr>
          <w:ilvl w:val="0"/>
          <w:numId w:val="1"/>
        </w:numPr>
        <w:shd w:val="clear" w:color="auto" w:fill="FFFFFF"/>
        <w:spacing w:before="100" w:beforeAutospacing="1" w:after="0" w:line="240" w:lineRule="auto"/>
        <w:rPr>
          <w:rFonts w:ascii="Arial" w:eastAsia="Times New Roman" w:hAnsi="Arial" w:cs="Arial"/>
          <w:color w:val="333333"/>
          <w:sz w:val="29"/>
          <w:szCs w:val="29"/>
          <w:lang w:eastAsia="en-CA"/>
        </w:rPr>
      </w:pPr>
      <w:r w:rsidRPr="000740D0">
        <w:rPr>
          <w:rFonts w:ascii="Arial" w:eastAsia="Times New Roman" w:hAnsi="Arial" w:cs="Arial"/>
          <w:color w:val="333333"/>
          <w:sz w:val="29"/>
          <w:szCs w:val="29"/>
          <w:lang w:eastAsia="en-CA"/>
        </w:rPr>
        <w:t>freedom of conscience and religion;</w:t>
      </w:r>
    </w:p>
    <w:p w:rsidR="000740D0" w:rsidRPr="000740D0" w:rsidRDefault="000740D0" w:rsidP="000740D0">
      <w:pPr>
        <w:numPr>
          <w:ilvl w:val="0"/>
          <w:numId w:val="1"/>
        </w:numPr>
        <w:shd w:val="clear" w:color="auto" w:fill="FFFFFF"/>
        <w:spacing w:before="100" w:beforeAutospacing="1" w:after="0" w:line="240" w:lineRule="auto"/>
        <w:rPr>
          <w:rFonts w:ascii="Arial" w:eastAsia="Times New Roman" w:hAnsi="Arial" w:cs="Arial"/>
          <w:color w:val="333333"/>
          <w:sz w:val="29"/>
          <w:szCs w:val="29"/>
          <w:lang w:eastAsia="en-CA"/>
        </w:rPr>
      </w:pPr>
      <w:r w:rsidRPr="000740D0">
        <w:rPr>
          <w:rFonts w:ascii="Arial" w:eastAsia="Times New Roman" w:hAnsi="Arial" w:cs="Arial"/>
          <w:color w:val="333333"/>
          <w:sz w:val="29"/>
          <w:szCs w:val="29"/>
          <w:lang w:eastAsia="en-CA"/>
        </w:rPr>
        <w:t>freedom of thought, belief, opinion and expression, including freedom of the press and other media of communication;</w:t>
      </w:r>
    </w:p>
    <w:p w:rsidR="000740D0" w:rsidRPr="000740D0" w:rsidRDefault="000740D0" w:rsidP="000740D0">
      <w:pPr>
        <w:numPr>
          <w:ilvl w:val="0"/>
          <w:numId w:val="1"/>
        </w:numPr>
        <w:shd w:val="clear" w:color="auto" w:fill="FFFFFF"/>
        <w:spacing w:before="100" w:beforeAutospacing="1" w:after="0" w:line="240" w:lineRule="auto"/>
        <w:rPr>
          <w:rFonts w:ascii="Arial" w:eastAsia="Times New Roman" w:hAnsi="Arial" w:cs="Arial"/>
          <w:color w:val="333333"/>
          <w:sz w:val="29"/>
          <w:szCs w:val="29"/>
          <w:lang w:eastAsia="en-CA"/>
        </w:rPr>
      </w:pPr>
      <w:r w:rsidRPr="000740D0">
        <w:rPr>
          <w:rFonts w:ascii="Arial" w:eastAsia="Times New Roman" w:hAnsi="Arial" w:cs="Arial"/>
          <w:color w:val="333333"/>
          <w:sz w:val="29"/>
          <w:szCs w:val="29"/>
          <w:lang w:eastAsia="en-CA"/>
        </w:rPr>
        <w:t>freedom of peaceful assembly; and</w:t>
      </w:r>
    </w:p>
    <w:p w:rsidR="000740D0" w:rsidRPr="000740D0" w:rsidRDefault="000740D0" w:rsidP="000740D0">
      <w:pPr>
        <w:numPr>
          <w:ilvl w:val="0"/>
          <w:numId w:val="1"/>
        </w:numPr>
        <w:shd w:val="clear" w:color="auto" w:fill="FFFFFF"/>
        <w:spacing w:before="100" w:beforeAutospacing="1" w:after="0" w:line="240" w:lineRule="auto"/>
        <w:rPr>
          <w:rFonts w:ascii="Arial" w:eastAsia="Times New Roman" w:hAnsi="Arial" w:cs="Arial"/>
          <w:color w:val="333333"/>
          <w:sz w:val="29"/>
          <w:szCs w:val="29"/>
          <w:lang w:eastAsia="en-CA"/>
        </w:rPr>
      </w:pPr>
      <w:r w:rsidRPr="000740D0">
        <w:rPr>
          <w:rFonts w:ascii="Arial" w:eastAsia="Times New Roman" w:hAnsi="Arial" w:cs="Arial"/>
          <w:color w:val="333333"/>
          <w:sz w:val="29"/>
          <w:szCs w:val="29"/>
          <w:lang w:eastAsia="en-CA"/>
        </w:rPr>
        <w:t>freedom of association.”</w:t>
      </w:r>
    </w:p>
    <w:p w:rsidR="000740D0" w:rsidRPr="000740D0" w:rsidRDefault="000740D0" w:rsidP="000740D0">
      <w:pPr>
        <w:shd w:val="clear" w:color="auto" w:fill="FFFFFF"/>
        <w:spacing w:before="75" w:after="150" w:line="636" w:lineRule="atLeast"/>
        <w:outlineLvl w:val="1"/>
        <w:rPr>
          <w:rFonts w:ascii="Times New Roman" w:eastAsia="Times New Roman" w:hAnsi="Times New Roman" w:cs="Times New Roman"/>
          <w:b/>
          <w:bCs/>
          <w:color w:val="884433"/>
          <w:sz w:val="41"/>
          <w:szCs w:val="41"/>
          <w:lang w:eastAsia="en-CA"/>
        </w:rPr>
      </w:pPr>
      <w:r w:rsidRPr="000740D0">
        <w:rPr>
          <w:rFonts w:ascii="Times New Roman" w:eastAsia="Times New Roman" w:hAnsi="Times New Roman" w:cs="Times New Roman"/>
          <w:b/>
          <w:bCs/>
          <w:color w:val="884433"/>
          <w:sz w:val="41"/>
          <w:szCs w:val="41"/>
          <w:lang w:eastAsia="en-CA"/>
        </w:rPr>
        <w:t>Mobility Rights</w:t>
      </w:r>
    </w:p>
    <w:p w:rsidR="000740D0" w:rsidRPr="000740D0" w:rsidRDefault="000740D0" w:rsidP="000740D0">
      <w:pPr>
        <w:shd w:val="clear" w:color="auto" w:fill="FFFFFF"/>
        <w:spacing w:before="75" w:after="150" w:line="240" w:lineRule="auto"/>
        <w:rPr>
          <w:rFonts w:ascii="Arial" w:eastAsia="Times New Roman" w:hAnsi="Arial" w:cs="Arial"/>
          <w:color w:val="333333"/>
          <w:sz w:val="29"/>
          <w:szCs w:val="29"/>
          <w:lang w:eastAsia="en-CA"/>
        </w:rPr>
      </w:pPr>
      <w:r w:rsidRPr="000740D0">
        <w:rPr>
          <w:rFonts w:ascii="Arial" w:eastAsia="Times New Roman" w:hAnsi="Arial" w:cs="Arial"/>
          <w:color w:val="333333"/>
          <w:sz w:val="29"/>
          <w:szCs w:val="29"/>
          <w:lang w:eastAsia="en-CA"/>
        </w:rPr>
        <w:t>“6. (1) Every citizen of Canada has the right to enter, remain in and leave Canada.</w:t>
      </w:r>
    </w:p>
    <w:p w:rsidR="000740D0" w:rsidRPr="000740D0" w:rsidRDefault="000740D0" w:rsidP="000740D0">
      <w:pPr>
        <w:shd w:val="clear" w:color="auto" w:fill="FFFFFF"/>
        <w:spacing w:before="75" w:after="150" w:line="240" w:lineRule="auto"/>
        <w:rPr>
          <w:rFonts w:ascii="Arial" w:eastAsia="Times New Roman" w:hAnsi="Arial" w:cs="Arial"/>
          <w:color w:val="333333"/>
          <w:sz w:val="29"/>
          <w:szCs w:val="29"/>
          <w:lang w:eastAsia="en-CA"/>
        </w:rPr>
      </w:pPr>
      <w:r w:rsidRPr="000740D0">
        <w:rPr>
          <w:rFonts w:ascii="Arial" w:eastAsia="Times New Roman" w:hAnsi="Arial" w:cs="Arial"/>
          <w:color w:val="333333"/>
          <w:sz w:val="29"/>
          <w:szCs w:val="29"/>
          <w:lang w:eastAsia="en-CA"/>
        </w:rPr>
        <w:t>(2) Every citizen of Canada and every person who has the status of a permanent resident of Canada has the right</w:t>
      </w:r>
    </w:p>
    <w:p w:rsidR="000740D0" w:rsidRPr="000740D0" w:rsidRDefault="000740D0" w:rsidP="000740D0">
      <w:pPr>
        <w:numPr>
          <w:ilvl w:val="0"/>
          <w:numId w:val="2"/>
        </w:numPr>
        <w:shd w:val="clear" w:color="auto" w:fill="FFFFFF"/>
        <w:spacing w:before="100" w:beforeAutospacing="1" w:after="0" w:line="240" w:lineRule="auto"/>
        <w:rPr>
          <w:rFonts w:ascii="Arial" w:eastAsia="Times New Roman" w:hAnsi="Arial" w:cs="Arial"/>
          <w:color w:val="333333"/>
          <w:sz w:val="29"/>
          <w:szCs w:val="29"/>
          <w:lang w:eastAsia="en-CA"/>
        </w:rPr>
      </w:pPr>
      <w:r w:rsidRPr="000740D0">
        <w:rPr>
          <w:rFonts w:ascii="Arial" w:eastAsia="Times New Roman" w:hAnsi="Arial" w:cs="Arial"/>
          <w:color w:val="333333"/>
          <w:sz w:val="29"/>
          <w:szCs w:val="29"/>
          <w:lang w:eastAsia="en-CA"/>
        </w:rPr>
        <w:t>to move to and take up residence in any province; and</w:t>
      </w:r>
    </w:p>
    <w:p w:rsidR="000740D0" w:rsidRPr="000740D0" w:rsidRDefault="000740D0" w:rsidP="000740D0">
      <w:pPr>
        <w:numPr>
          <w:ilvl w:val="0"/>
          <w:numId w:val="2"/>
        </w:numPr>
        <w:shd w:val="clear" w:color="auto" w:fill="FFFFFF"/>
        <w:spacing w:before="100" w:beforeAutospacing="1" w:after="0" w:line="240" w:lineRule="auto"/>
        <w:rPr>
          <w:rFonts w:ascii="Arial" w:eastAsia="Times New Roman" w:hAnsi="Arial" w:cs="Arial"/>
          <w:color w:val="333333"/>
          <w:sz w:val="29"/>
          <w:szCs w:val="29"/>
          <w:lang w:eastAsia="en-CA"/>
        </w:rPr>
      </w:pPr>
      <w:r w:rsidRPr="000740D0">
        <w:rPr>
          <w:rFonts w:ascii="Arial" w:eastAsia="Times New Roman" w:hAnsi="Arial" w:cs="Arial"/>
          <w:color w:val="333333"/>
          <w:sz w:val="29"/>
          <w:szCs w:val="29"/>
          <w:lang w:eastAsia="en-CA"/>
        </w:rPr>
        <w:t>to pursue the gaining of a livelihood in any province.”</w:t>
      </w:r>
    </w:p>
    <w:p w:rsidR="000740D0" w:rsidRPr="000740D0" w:rsidRDefault="000740D0" w:rsidP="000740D0">
      <w:pPr>
        <w:shd w:val="clear" w:color="auto" w:fill="FFFFFF"/>
        <w:spacing w:before="75" w:after="150" w:line="636" w:lineRule="atLeast"/>
        <w:outlineLvl w:val="1"/>
        <w:rPr>
          <w:rFonts w:ascii="Times New Roman" w:eastAsia="Times New Roman" w:hAnsi="Times New Roman" w:cs="Times New Roman"/>
          <w:b/>
          <w:bCs/>
          <w:color w:val="884433"/>
          <w:sz w:val="41"/>
          <w:szCs w:val="41"/>
          <w:lang w:eastAsia="en-CA"/>
        </w:rPr>
      </w:pPr>
      <w:r w:rsidRPr="000740D0">
        <w:rPr>
          <w:rFonts w:ascii="Times New Roman" w:eastAsia="Times New Roman" w:hAnsi="Times New Roman" w:cs="Times New Roman"/>
          <w:b/>
          <w:bCs/>
          <w:color w:val="884433"/>
          <w:sz w:val="41"/>
          <w:szCs w:val="41"/>
          <w:lang w:eastAsia="en-CA"/>
        </w:rPr>
        <w:t>Equality Rights</w:t>
      </w:r>
    </w:p>
    <w:p w:rsidR="000740D0" w:rsidRPr="000740D0" w:rsidRDefault="000740D0" w:rsidP="000740D0">
      <w:pPr>
        <w:shd w:val="clear" w:color="auto" w:fill="FFFFFF"/>
        <w:spacing w:before="75" w:after="150" w:line="240" w:lineRule="auto"/>
        <w:rPr>
          <w:rFonts w:ascii="Arial" w:eastAsia="Times New Roman" w:hAnsi="Arial" w:cs="Arial"/>
          <w:color w:val="333333"/>
          <w:sz w:val="29"/>
          <w:szCs w:val="29"/>
          <w:lang w:eastAsia="en-CA"/>
        </w:rPr>
      </w:pPr>
      <w:r w:rsidRPr="000740D0">
        <w:rPr>
          <w:rFonts w:ascii="Arial" w:eastAsia="Times New Roman" w:hAnsi="Arial" w:cs="Arial"/>
          <w:color w:val="333333"/>
          <w:sz w:val="29"/>
          <w:szCs w:val="29"/>
          <w:lang w:eastAsia="en-CA"/>
        </w:rPr>
        <w:t>“15. (1)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w:t>
      </w:r>
    </w:p>
    <w:p w:rsidR="000740D0" w:rsidRPr="000740D0" w:rsidRDefault="000740D0" w:rsidP="000740D0">
      <w:pPr>
        <w:shd w:val="clear" w:color="auto" w:fill="FFFFFF"/>
        <w:spacing w:before="75" w:after="150" w:line="240" w:lineRule="auto"/>
        <w:rPr>
          <w:rFonts w:ascii="Arial" w:eastAsia="Times New Roman" w:hAnsi="Arial" w:cs="Arial"/>
          <w:color w:val="333333"/>
          <w:sz w:val="29"/>
          <w:szCs w:val="29"/>
          <w:lang w:eastAsia="en-CA"/>
        </w:rPr>
      </w:pPr>
      <w:r w:rsidRPr="000740D0">
        <w:rPr>
          <w:rFonts w:ascii="Arial" w:eastAsia="Times New Roman" w:hAnsi="Arial" w:cs="Arial"/>
          <w:color w:val="333333"/>
          <w:sz w:val="29"/>
          <w:szCs w:val="29"/>
          <w:lang w:eastAsia="en-CA"/>
        </w:rPr>
        <w:t>(2) Subsection (1) does not preclude any law, program or activity that has as its object the amelioration of conditions of disadvantaged individuals or groups including those that are disadvantaged because of race, national or ethnic origin, colour, religion, sex, age or mental or physical disability.”</w:t>
      </w:r>
    </w:p>
    <w:p w:rsidR="000740D0" w:rsidRPr="000740D0" w:rsidRDefault="000740D0" w:rsidP="000740D0">
      <w:pPr>
        <w:shd w:val="clear" w:color="auto" w:fill="FFFFFF"/>
        <w:spacing w:before="75" w:after="150" w:line="240" w:lineRule="auto"/>
        <w:rPr>
          <w:rFonts w:ascii="Arial" w:eastAsia="Times New Roman" w:hAnsi="Arial" w:cs="Arial"/>
          <w:color w:val="333333"/>
          <w:sz w:val="29"/>
          <w:szCs w:val="29"/>
          <w:lang w:eastAsia="en-CA"/>
        </w:rPr>
      </w:pPr>
      <w:r w:rsidRPr="000740D0">
        <w:rPr>
          <w:rFonts w:ascii="Arial" w:eastAsia="Times New Roman" w:hAnsi="Arial" w:cs="Arial"/>
          <w:color w:val="333333"/>
          <w:sz w:val="29"/>
          <w:szCs w:val="29"/>
          <w:lang w:eastAsia="en-CA"/>
        </w:rPr>
        <w:t>Notice the different wording and see that only section 2 may apply in favour of corporations, whereas sections 6 and 15 do not. Why is that?</w:t>
      </w:r>
    </w:p>
    <w:p w:rsidR="000740D0" w:rsidRPr="000740D0" w:rsidRDefault="000740D0" w:rsidP="000740D0">
      <w:pPr>
        <w:shd w:val="clear" w:color="auto" w:fill="FFFFFF"/>
        <w:spacing w:before="75" w:after="150" w:line="240" w:lineRule="auto"/>
        <w:rPr>
          <w:rFonts w:ascii="Arial" w:eastAsia="Times New Roman" w:hAnsi="Arial" w:cs="Arial"/>
          <w:color w:val="333333"/>
          <w:sz w:val="29"/>
          <w:szCs w:val="29"/>
          <w:lang w:eastAsia="en-CA"/>
        </w:rPr>
      </w:pPr>
      <w:r w:rsidRPr="000740D0">
        <w:rPr>
          <w:rFonts w:ascii="Arial" w:eastAsia="Times New Roman" w:hAnsi="Arial" w:cs="Arial"/>
          <w:color w:val="333333"/>
          <w:sz w:val="29"/>
          <w:szCs w:val="29"/>
          <w:lang w:eastAsia="en-CA"/>
        </w:rPr>
        <w:t>Look for the answer on page 16-17.</w:t>
      </w:r>
    </w:p>
    <w:p w:rsidR="00982C0D" w:rsidRDefault="00982C0D"/>
    <w:p w:rsidR="000740D0" w:rsidRDefault="000740D0"/>
    <w:p w:rsidR="000740D0" w:rsidRDefault="000740D0" w:rsidP="000740D0">
      <w:pPr>
        <w:pStyle w:val="Heading1"/>
        <w:spacing w:before="75" w:after="150" w:line="749" w:lineRule="atLeast"/>
      </w:pPr>
      <w:r>
        <w:lastRenderedPageBreak/>
        <w:t>Scope of the Charter</w:t>
      </w:r>
    </w:p>
    <w:p w:rsidR="000740D0" w:rsidRDefault="000740D0" w:rsidP="000740D0">
      <w:pPr>
        <w:pStyle w:val="NormalWeb"/>
        <w:spacing w:before="75" w:beforeAutospacing="0" w:after="150" w:afterAutospacing="0"/>
      </w:pPr>
      <w:r>
        <w:t>“</w:t>
      </w:r>
      <w:proofErr w:type="gramStart"/>
      <w:r>
        <w:t>32.(</w:t>
      </w:r>
      <w:proofErr w:type="gramEnd"/>
      <w:r>
        <w:t>1) This Charter applies</w:t>
      </w:r>
    </w:p>
    <w:p w:rsidR="000740D0" w:rsidRDefault="000740D0" w:rsidP="000740D0">
      <w:pPr>
        <w:numPr>
          <w:ilvl w:val="0"/>
          <w:numId w:val="3"/>
        </w:numPr>
        <w:spacing w:before="100" w:beforeAutospacing="1" w:after="0" w:line="240" w:lineRule="auto"/>
      </w:pPr>
      <w:r>
        <w:t>to the Parliament and government of Canada in respect of all matters within the authority of Parliament including all matters relating to the Yukon Territory and Northwest Territories; and</w:t>
      </w:r>
    </w:p>
    <w:p w:rsidR="000740D0" w:rsidRDefault="000740D0" w:rsidP="000740D0">
      <w:pPr>
        <w:numPr>
          <w:ilvl w:val="0"/>
          <w:numId w:val="3"/>
        </w:numPr>
        <w:spacing w:before="100" w:beforeAutospacing="1" w:after="0" w:line="240" w:lineRule="auto"/>
      </w:pPr>
      <w:r>
        <w:t>to the legislature and government of each province in respect of all matters within the authority of the legislature of each province.</w:t>
      </w:r>
    </w:p>
    <w:p w:rsidR="000740D0" w:rsidRDefault="000740D0" w:rsidP="000740D0">
      <w:pPr>
        <w:pStyle w:val="NormalWeb"/>
        <w:spacing w:before="75" w:beforeAutospacing="0" w:after="150" w:afterAutospacing="0"/>
      </w:pPr>
      <w:r>
        <w:t>(2) Notwithstanding subsection (1), section 15 shall not have effect until three years after this section comes into force."</w:t>
      </w:r>
    </w:p>
    <w:p w:rsidR="000740D0" w:rsidRDefault="000740D0" w:rsidP="000740D0">
      <w:pPr>
        <w:pStyle w:val="NormalWeb"/>
        <w:spacing w:before="75" w:beforeAutospacing="0" w:after="150" w:afterAutospacing="0"/>
      </w:pPr>
      <w:r>
        <w:t>The Charter therefore applies to both levels of government – federal and provincial.</w:t>
      </w:r>
    </w:p>
    <w:p w:rsidR="000740D0" w:rsidRDefault="000740D0" w:rsidP="000740D0">
      <w:pPr>
        <w:pStyle w:val="NormalWeb"/>
        <w:spacing w:before="75" w:beforeAutospacing="0" w:after="150" w:afterAutospacing="0"/>
      </w:pPr>
      <w:r>
        <w:t>What can be considered a “government” action that may be challenged under the Charter? Refer to page 16 for the answer.</w:t>
      </w:r>
    </w:p>
    <w:p w:rsidR="000740D0" w:rsidRDefault="000740D0" w:rsidP="000740D0">
      <w:pPr>
        <w:pStyle w:val="NormalWeb"/>
        <w:spacing w:before="75" w:beforeAutospacing="0" w:after="150" w:afterAutospacing="0"/>
      </w:pPr>
      <w:r>
        <w:t>What happens if a private corporation or individual violates a human right? If the Charter only applies against government action, the victim of a human right violation could not rely upon it when challenging a discriminatory policy in the workplace, for example. The victim could, however, challenge that policy by relying on provincial legislation protecting human rights. See for example the</w:t>
      </w:r>
      <w:r>
        <w:rPr>
          <w:rStyle w:val="apple-converted-space"/>
        </w:rPr>
        <w:t> </w:t>
      </w:r>
      <w:hyperlink r:id="rId5" w:tgtFrame="_des" w:history="1">
        <w:r>
          <w:rPr>
            <w:rStyle w:val="Hyperlink"/>
            <w:color w:val="007799"/>
          </w:rPr>
          <w:t>Ontario Human Rights Code</w:t>
        </w:r>
      </w:hyperlink>
      <w:r>
        <w:t>.</w:t>
      </w:r>
    </w:p>
    <w:p w:rsidR="000740D0" w:rsidRDefault="000740D0" w:rsidP="000740D0">
      <w:pPr>
        <w:rPr>
          <w:rStyle w:val="Hyperlink"/>
          <w:sz w:val="29"/>
          <w:szCs w:val="29"/>
          <w:u w:val="none"/>
        </w:rPr>
      </w:pPr>
      <w:r>
        <w:rPr>
          <w:sz w:val="29"/>
          <w:szCs w:val="29"/>
        </w:rPr>
        <w:fldChar w:fldCharType="begin"/>
      </w:r>
      <w:r>
        <w:rPr>
          <w:sz w:val="29"/>
          <w:szCs w:val="29"/>
        </w:rPr>
        <w:instrText xml:space="preserve"> HYPERLINK "javascript:void(0);" </w:instrText>
      </w:r>
      <w:r>
        <w:rPr>
          <w:sz w:val="29"/>
          <w:szCs w:val="29"/>
        </w:rPr>
        <w:fldChar w:fldCharType="separate"/>
      </w:r>
    </w:p>
    <w:p w:rsidR="000740D0" w:rsidRDefault="000740D0" w:rsidP="000740D0">
      <w:pPr>
        <w:pStyle w:val="Heading1"/>
        <w:shd w:val="clear" w:color="auto" w:fill="FFFFFF"/>
        <w:spacing w:before="75" w:after="150" w:line="749" w:lineRule="atLeast"/>
        <w:rPr>
          <w:color w:val="333333"/>
        </w:rPr>
      </w:pPr>
      <w:r>
        <w:rPr>
          <w:color w:val="0000FF"/>
          <w:sz w:val="29"/>
          <w:szCs w:val="29"/>
        </w:rPr>
        <w:br/>
      </w:r>
      <w:r>
        <w:rPr>
          <w:sz w:val="29"/>
          <w:szCs w:val="29"/>
        </w:rPr>
        <w:fldChar w:fldCharType="end"/>
      </w:r>
      <w:r>
        <w:rPr>
          <w:color w:val="333333"/>
        </w:rPr>
        <w:t>Restriction of Charter Rights</w:t>
      </w:r>
    </w:p>
    <w:p w:rsidR="000740D0" w:rsidRDefault="000740D0" w:rsidP="000740D0">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b/>
          <w:bCs/>
          <w:color w:val="333333"/>
          <w:sz w:val="29"/>
          <w:szCs w:val="29"/>
        </w:rPr>
        <w:t>Rights and freedoms in Canada</w:t>
      </w:r>
    </w:p>
    <w:p w:rsidR="000740D0" w:rsidRDefault="000740D0" w:rsidP="000740D0">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“1. The Canadian Charter of Rights and Freedoms guarantees the rights and freedoms set out in it subject only to such reasonable limits prescribed by law as can be demonstrably justified in a free and democratic society.”</w:t>
      </w:r>
    </w:p>
    <w:p w:rsidR="000740D0" w:rsidRDefault="000740D0" w:rsidP="000740D0">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“33. (1) Exception where express declaration</w:t>
      </w:r>
    </w:p>
    <w:p w:rsidR="00334297" w:rsidRDefault="000740D0" w:rsidP="00334297">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Parliament or the legislature of a province may expressly declare in an Act of Parliament or of the legislature, as the case may be, that the Act or a provision thereof shall operate notwithstanding a provision included in section 2 or sections 7 to 15 of this Charter.”</w:t>
      </w:r>
    </w:p>
    <w:p w:rsidR="00556401" w:rsidRDefault="00556401" w:rsidP="00334297">
      <w:pPr>
        <w:pStyle w:val="NormalWeb"/>
        <w:shd w:val="clear" w:color="auto" w:fill="FFFFFF"/>
        <w:spacing w:before="75" w:beforeAutospacing="0" w:after="150" w:afterAutospacing="0"/>
        <w:rPr>
          <w:color w:val="353535"/>
          <w:shd w:val="clear" w:color="auto" w:fill="FFFFFF"/>
        </w:rPr>
      </w:pPr>
      <w:r>
        <w:rPr>
          <w:color w:val="353535"/>
          <w:shd w:val="clear" w:color="auto" w:fill="FFFFFF"/>
        </w:rPr>
        <w:t>s. 6(2) of the Charter, namely the right (a) to move to and take up residence in</w:t>
      </w:r>
      <w:r>
        <w:rPr>
          <w:rStyle w:val="apple-converted-space"/>
          <w:color w:val="353535"/>
          <w:shd w:val="clear" w:color="auto" w:fill="FFFFFF"/>
        </w:rPr>
        <w:t> </w:t>
      </w:r>
      <w:r>
        <w:rPr>
          <w:color w:val="353535"/>
          <w:u w:val="single"/>
          <w:bdr w:val="none" w:sz="0" w:space="0" w:color="auto" w:frame="1"/>
          <w:shd w:val="clear" w:color="auto" w:fill="FFFFFF"/>
        </w:rPr>
        <w:t>any</w:t>
      </w:r>
      <w:r>
        <w:rPr>
          <w:rStyle w:val="apple-converted-space"/>
          <w:color w:val="353535"/>
          <w:u w:val="single"/>
          <w:bdr w:val="none" w:sz="0" w:space="0" w:color="auto" w:frame="1"/>
          <w:shd w:val="clear" w:color="auto" w:fill="FFFFFF"/>
        </w:rPr>
        <w:t> </w:t>
      </w:r>
      <w:r>
        <w:rPr>
          <w:color w:val="353535"/>
          <w:shd w:val="clear" w:color="auto" w:fill="FFFFFF"/>
        </w:rPr>
        <w:t>province; and (b) to pursue the gaining of a livelihood in</w:t>
      </w:r>
      <w:r>
        <w:rPr>
          <w:rStyle w:val="apple-converted-space"/>
          <w:color w:val="353535"/>
          <w:shd w:val="clear" w:color="auto" w:fill="FFFFFF"/>
        </w:rPr>
        <w:t> </w:t>
      </w:r>
      <w:r>
        <w:rPr>
          <w:color w:val="353535"/>
          <w:u w:val="single"/>
          <w:bdr w:val="none" w:sz="0" w:space="0" w:color="auto" w:frame="1"/>
          <w:shd w:val="clear" w:color="auto" w:fill="FFFFFF"/>
        </w:rPr>
        <w:t>any</w:t>
      </w:r>
      <w:r>
        <w:rPr>
          <w:rStyle w:val="apple-converted-space"/>
          <w:color w:val="353535"/>
          <w:shd w:val="clear" w:color="auto" w:fill="FFFFFF"/>
        </w:rPr>
        <w:t> </w:t>
      </w:r>
      <w:r>
        <w:rPr>
          <w:color w:val="353535"/>
          <w:shd w:val="clear" w:color="auto" w:fill="FFFFFF"/>
        </w:rPr>
        <w:t>province.</w:t>
      </w:r>
    </w:p>
    <w:p w:rsidR="00334297" w:rsidRDefault="00334297" w:rsidP="00334297">
      <w:pPr>
        <w:pStyle w:val="NormalWeb"/>
        <w:shd w:val="clear" w:color="auto" w:fill="FFFFFF"/>
        <w:spacing w:before="75" w:beforeAutospacing="0" w:after="150" w:afterAutospacing="0"/>
        <w:rPr>
          <w:color w:val="353535"/>
          <w:shd w:val="clear" w:color="auto" w:fill="FFFFFF"/>
        </w:rPr>
      </w:pPr>
      <w:r>
        <w:rPr>
          <w:color w:val="353535"/>
          <w:shd w:val="clear" w:color="auto" w:fill="FFFFFF"/>
        </w:rPr>
        <w:lastRenderedPageBreak/>
        <w:t xml:space="preserve">Week 2 </w:t>
      </w:r>
    </w:p>
    <w:p w:rsidR="00334297" w:rsidRDefault="00334297" w:rsidP="00334297">
      <w:pPr>
        <w:pStyle w:val="NormalWeb"/>
        <w:shd w:val="clear" w:color="auto" w:fill="FFFFFF"/>
        <w:spacing w:before="75" w:beforeAutospacing="0" w:after="150" w:afterAutospacing="0"/>
        <w:rPr>
          <w:color w:val="353535"/>
          <w:shd w:val="clear" w:color="auto" w:fill="FFFFFF"/>
        </w:rPr>
      </w:pPr>
    </w:p>
    <w:p w:rsidR="00334297" w:rsidRDefault="00334297" w:rsidP="00334297">
      <w:pPr>
        <w:pStyle w:val="Heading1"/>
        <w:shd w:val="clear" w:color="auto" w:fill="FFFFFF"/>
        <w:spacing w:before="75" w:after="150" w:line="749" w:lineRule="atLeast"/>
        <w:rPr>
          <w:color w:val="333333"/>
        </w:rPr>
      </w:pPr>
      <w:r>
        <w:rPr>
          <w:color w:val="333333"/>
        </w:rPr>
        <w:t>Alternative Compensation Schemes in Tort Law</w:t>
      </w:r>
    </w:p>
    <w:p w:rsidR="00334297" w:rsidRDefault="00334297" w:rsidP="00334297">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By alternative compensation schemes we mean</w:t>
      </w:r>
      <w:r>
        <w:rPr>
          <w:rStyle w:val="apple-converted-space"/>
          <w:rFonts w:ascii="Arial" w:hAnsi="Arial" w:cs="Arial"/>
          <w:color w:val="333333"/>
          <w:sz w:val="29"/>
          <w:szCs w:val="29"/>
        </w:rPr>
        <w:t> </w:t>
      </w:r>
      <w:r>
        <w:rPr>
          <w:rFonts w:ascii="Arial" w:hAnsi="Arial" w:cs="Arial"/>
          <w:b/>
          <w:bCs/>
          <w:color w:val="333333"/>
          <w:sz w:val="29"/>
          <w:szCs w:val="29"/>
        </w:rPr>
        <w:t>sources of compensation outside of tort law</w:t>
      </w:r>
      <w:r>
        <w:rPr>
          <w:rFonts w:ascii="Arial" w:hAnsi="Arial" w:cs="Arial"/>
          <w:color w:val="333333"/>
          <w:sz w:val="29"/>
          <w:szCs w:val="29"/>
        </w:rPr>
        <w:t>.</w:t>
      </w:r>
    </w:p>
    <w:p w:rsidR="00334297" w:rsidRDefault="00334297" w:rsidP="00334297">
      <w:pPr>
        <w:numPr>
          <w:ilvl w:val="0"/>
          <w:numId w:val="4"/>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they provide compensation based on injury rather than wrong</w:t>
      </w:r>
    </w:p>
    <w:p w:rsidR="00334297" w:rsidRDefault="00334297" w:rsidP="00334297">
      <w:pPr>
        <w:numPr>
          <w:ilvl w:val="0"/>
          <w:numId w:val="4"/>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 xml:space="preserve">compensation is paid by central fund rather than </w:t>
      </w:r>
      <w:proofErr w:type="spellStart"/>
      <w:r>
        <w:rPr>
          <w:rFonts w:ascii="Arial" w:hAnsi="Arial" w:cs="Arial"/>
          <w:color w:val="333333"/>
          <w:sz w:val="29"/>
          <w:szCs w:val="29"/>
        </w:rPr>
        <w:t>tortfeasor</w:t>
      </w:r>
      <w:proofErr w:type="spellEnd"/>
    </w:p>
    <w:p w:rsidR="00334297" w:rsidRDefault="00334297" w:rsidP="00334297">
      <w:pPr>
        <w:numPr>
          <w:ilvl w:val="1"/>
          <w:numId w:val="4"/>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examples</w:t>
      </w:r>
    </w:p>
    <w:p w:rsidR="00334297" w:rsidRDefault="00334297" w:rsidP="00334297">
      <w:pPr>
        <w:numPr>
          <w:ilvl w:val="2"/>
          <w:numId w:val="4"/>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workers’ compensation schemes (all provinces)</w:t>
      </w:r>
    </w:p>
    <w:tbl>
      <w:tblPr>
        <w:tblpPr w:leftFromText="180" w:rightFromText="180" w:vertAnchor="page" w:horzAnchor="margin" w:tblpY="7246"/>
        <w:tblW w:w="10055" w:type="dxa"/>
        <w:tblBorders>
          <w:top w:val="outset" w:sz="6" w:space="0" w:color="auto"/>
          <w:left w:val="outset" w:sz="6" w:space="0" w:color="auto"/>
          <w:bottom w:val="outset" w:sz="6" w:space="0" w:color="auto"/>
          <w:right w:val="outset" w:sz="6" w:space="0" w:color="auto"/>
        </w:tblBorders>
        <w:shd w:val="clear" w:color="auto" w:fill="FFFFFF"/>
        <w:tblCellMar>
          <w:left w:w="45" w:type="dxa"/>
          <w:right w:w="45" w:type="dxa"/>
        </w:tblCellMar>
        <w:tblLook w:val="04A0" w:firstRow="1" w:lastRow="0" w:firstColumn="1" w:lastColumn="0" w:noHBand="0" w:noVBand="1"/>
      </w:tblPr>
      <w:tblGrid>
        <w:gridCol w:w="5027"/>
        <w:gridCol w:w="5028"/>
      </w:tblGrid>
      <w:tr w:rsidR="00334297" w:rsidTr="00334297">
        <w:trPr>
          <w:trHeight w:val="121"/>
          <w:tblHeader/>
        </w:trPr>
        <w:tc>
          <w:tcPr>
            <w:tcW w:w="5027" w:type="dxa"/>
            <w:tcBorders>
              <w:top w:val="single" w:sz="6" w:space="0" w:color="666666"/>
              <w:left w:val="single" w:sz="6" w:space="0" w:color="666666"/>
              <w:bottom w:val="single" w:sz="6" w:space="0" w:color="666666"/>
              <w:right w:val="single" w:sz="6" w:space="0" w:color="666666"/>
            </w:tcBorders>
            <w:shd w:val="clear" w:color="auto" w:fill="FFFFFF"/>
            <w:tcMar>
              <w:top w:w="45" w:type="dxa"/>
              <w:left w:w="45" w:type="dxa"/>
              <w:bottom w:w="45" w:type="dxa"/>
              <w:right w:w="45" w:type="dxa"/>
            </w:tcMar>
            <w:vAlign w:val="center"/>
            <w:hideMark/>
          </w:tcPr>
          <w:p w:rsidR="00334297" w:rsidRDefault="00334297" w:rsidP="00334297">
            <w:pPr>
              <w:jc w:val="center"/>
              <w:rPr>
                <w:rFonts w:ascii="Arial" w:hAnsi="Arial" w:cs="Arial"/>
                <w:b/>
                <w:bCs/>
                <w:color w:val="333333"/>
                <w:sz w:val="29"/>
                <w:szCs w:val="29"/>
              </w:rPr>
            </w:pPr>
            <w:r>
              <w:rPr>
                <w:rFonts w:ascii="Arial" w:hAnsi="Arial" w:cs="Arial"/>
                <w:b/>
                <w:bCs/>
                <w:color w:val="333333"/>
                <w:sz w:val="29"/>
                <w:szCs w:val="29"/>
              </w:rPr>
              <w:t>Alternative compensation schemes</w:t>
            </w:r>
          </w:p>
        </w:tc>
        <w:tc>
          <w:tcPr>
            <w:tcW w:w="5028" w:type="dxa"/>
            <w:tcBorders>
              <w:top w:val="single" w:sz="6" w:space="0" w:color="666666"/>
              <w:left w:val="single" w:sz="6" w:space="0" w:color="666666"/>
              <w:bottom w:val="single" w:sz="6" w:space="0" w:color="666666"/>
              <w:right w:val="single" w:sz="6" w:space="0" w:color="666666"/>
            </w:tcBorders>
            <w:shd w:val="clear" w:color="auto" w:fill="FFFFFF"/>
            <w:tcMar>
              <w:top w:w="45" w:type="dxa"/>
              <w:left w:w="45" w:type="dxa"/>
              <w:bottom w:w="45" w:type="dxa"/>
              <w:right w:w="45" w:type="dxa"/>
            </w:tcMar>
            <w:vAlign w:val="center"/>
            <w:hideMark/>
          </w:tcPr>
          <w:p w:rsidR="00334297" w:rsidRDefault="00334297" w:rsidP="00334297">
            <w:pPr>
              <w:jc w:val="center"/>
              <w:rPr>
                <w:rFonts w:ascii="Arial" w:hAnsi="Arial" w:cs="Arial"/>
                <w:b/>
                <w:bCs/>
                <w:color w:val="333333"/>
                <w:sz w:val="29"/>
                <w:szCs w:val="29"/>
              </w:rPr>
            </w:pPr>
            <w:r>
              <w:rPr>
                <w:rFonts w:ascii="Arial" w:hAnsi="Arial" w:cs="Arial"/>
                <w:b/>
                <w:bCs/>
                <w:color w:val="333333"/>
                <w:sz w:val="29"/>
                <w:szCs w:val="29"/>
              </w:rPr>
              <w:t>Tort Law</w:t>
            </w:r>
          </w:p>
        </w:tc>
      </w:tr>
      <w:tr w:rsidR="00334297" w:rsidTr="00334297">
        <w:trPr>
          <w:trHeight w:val="683"/>
        </w:trPr>
        <w:tc>
          <w:tcPr>
            <w:tcW w:w="5027" w:type="dxa"/>
            <w:tcBorders>
              <w:top w:val="single" w:sz="6" w:space="0" w:color="666666"/>
              <w:left w:val="single" w:sz="6" w:space="0" w:color="666666"/>
              <w:bottom w:val="single" w:sz="6" w:space="0" w:color="666666"/>
              <w:right w:val="single" w:sz="6" w:space="0" w:color="666666"/>
            </w:tcBorders>
            <w:shd w:val="clear" w:color="auto" w:fill="FFFFFF"/>
            <w:tcMar>
              <w:top w:w="45" w:type="dxa"/>
              <w:left w:w="45" w:type="dxa"/>
              <w:bottom w:w="45" w:type="dxa"/>
              <w:right w:w="45" w:type="dxa"/>
            </w:tcMar>
            <w:hideMark/>
          </w:tcPr>
          <w:p w:rsidR="00334297" w:rsidRDefault="00334297" w:rsidP="00334297">
            <w:pPr>
              <w:pStyle w:val="NormalWeb"/>
              <w:spacing w:before="75" w:beforeAutospacing="0" w:after="150" w:afterAutospacing="0"/>
              <w:rPr>
                <w:rFonts w:ascii="Arial" w:hAnsi="Arial" w:cs="Arial"/>
                <w:color w:val="333333"/>
                <w:sz w:val="29"/>
                <w:szCs w:val="29"/>
              </w:rPr>
            </w:pPr>
            <w:r>
              <w:rPr>
                <w:rFonts w:ascii="Arial" w:hAnsi="Arial" w:cs="Arial"/>
                <w:b/>
                <w:bCs/>
                <w:color w:val="333333"/>
                <w:sz w:val="29"/>
                <w:szCs w:val="29"/>
              </w:rPr>
              <w:t>advantages</w:t>
            </w:r>
          </w:p>
          <w:p w:rsidR="00334297" w:rsidRDefault="00334297" w:rsidP="00334297">
            <w:pPr>
              <w:numPr>
                <w:ilvl w:val="0"/>
                <w:numId w:val="5"/>
              </w:numPr>
              <w:spacing w:before="100" w:beforeAutospacing="1" w:after="0" w:line="240" w:lineRule="auto"/>
              <w:ind w:left="375"/>
              <w:rPr>
                <w:rFonts w:ascii="Arial" w:hAnsi="Arial" w:cs="Arial"/>
                <w:color w:val="333333"/>
                <w:sz w:val="29"/>
                <w:szCs w:val="29"/>
              </w:rPr>
            </w:pPr>
            <w:r>
              <w:rPr>
                <w:rFonts w:ascii="Arial" w:hAnsi="Arial" w:cs="Arial"/>
                <w:color w:val="333333"/>
                <w:sz w:val="29"/>
                <w:szCs w:val="29"/>
              </w:rPr>
              <w:t>compensation available without proof of wrong</w:t>
            </w:r>
          </w:p>
          <w:p w:rsidR="00334297" w:rsidRDefault="00334297" w:rsidP="00334297">
            <w:pPr>
              <w:numPr>
                <w:ilvl w:val="0"/>
                <w:numId w:val="5"/>
              </w:numPr>
              <w:spacing w:before="100" w:beforeAutospacing="1" w:after="0" w:line="240" w:lineRule="auto"/>
              <w:ind w:left="375"/>
              <w:rPr>
                <w:rFonts w:ascii="Arial" w:hAnsi="Arial" w:cs="Arial"/>
                <w:color w:val="333333"/>
                <w:sz w:val="29"/>
                <w:szCs w:val="29"/>
              </w:rPr>
            </w:pPr>
            <w:r>
              <w:rPr>
                <w:rFonts w:ascii="Arial" w:hAnsi="Arial" w:cs="Arial"/>
                <w:color w:val="333333"/>
                <w:sz w:val="29"/>
                <w:szCs w:val="29"/>
              </w:rPr>
              <w:t>quicker and less expensive process</w:t>
            </w:r>
          </w:p>
        </w:tc>
        <w:tc>
          <w:tcPr>
            <w:tcW w:w="5028" w:type="dxa"/>
            <w:tcBorders>
              <w:top w:val="single" w:sz="6" w:space="0" w:color="666666"/>
              <w:left w:val="single" w:sz="6" w:space="0" w:color="666666"/>
              <w:bottom w:val="single" w:sz="6" w:space="0" w:color="666666"/>
              <w:right w:val="single" w:sz="6" w:space="0" w:color="666666"/>
            </w:tcBorders>
            <w:shd w:val="clear" w:color="auto" w:fill="FFFFFF"/>
            <w:tcMar>
              <w:top w:w="45" w:type="dxa"/>
              <w:left w:w="45" w:type="dxa"/>
              <w:bottom w:w="45" w:type="dxa"/>
              <w:right w:w="45" w:type="dxa"/>
            </w:tcMar>
            <w:hideMark/>
          </w:tcPr>
          <w:p w:rsidR="00334297" w:rsidRDefault="00334297" w:rsidP="00334297">
            <w:pPr>
              <w:pStyle w:val="NormalWeb"/>
              <w:spacing w:before="75" w:beforeAutospacing="0" w:after="150" w:afterAutospacing="0"/>
              <w:rPr>
                <w:rFonts w:ascii="Arial" w:hAnsi="Arial" w:cs="Arial"/>
                <w:color w:val="333333"/>
                <w:sz w:val="29"/>
                <w:szCs w:val="29"/>
              </w:rPr>
            </w:pPr>
            <w:r>
              <w:rPr>
                <w:rFonts w:ascii="Arial" w:hAnsi="Arial" w:cs="Arial"/>
                <w:b/>
                <w:bCs/>
                <w:color w:val="333333"/>
                <w:sz w:val="29"/>
                <w:szCs w:val="29"/>
              </w:rPr>
              <w:t>advantages</w:t>
            </w:r>
          </w:p>
          <w:p w:rsidR="00334297" w:rsidRDefault="00334297" w:rsidP="00334297">
            <w:pPr>
              <w:numPr>
                <w:ilvl w:val="0"/>
                <w:numId w:val="6"/>
              </w:numPr>
              <w:spacing w:before="100" w:beforeAutospacing="1" w:after="0" w:line="240" w:lineRule="auto"/>
              <w:ind w:left="375"/>
              <w:rPr>
                <w:rFonts w:ascii="Arial" w:hAnsi="Arial" w:cs="Arial"/>
                <w:color w:val="333333"/>
                <w:sz w:val="29"/>
                <w:szCs w:val="29"/>
              </w:rPr>
            </w:pPr>
            <w:r>
              <w:rPr>
                <w:rFonts w:ascii="Arial" w:hAnsi="Arial" w:cs="Arial"/>
                <w:color w:val="333333"/>
                <w:sz w:val="29"/>
                <w:szCs w:val="29"/>
              </w:rPr>
              <w:t>full compensation for wrongful losses</w:t>
            </w:r>
          </w:p>
          <w:p w:rsidR="00334297" w:rsidRDefault="00334297" w:rsidP="00334297">
            <w:pPr>
              <w:numPr>
                <w:ilvl w:val="0"/>
                <w:numId w:val="6"/>
              </w:numPr>
              <w:spacing w:before="100" w:beforeAutospacing="1" w:after="0" w:line="240" w:lineRule="auto"/>
              <w:ind w:left="375"/>
              <w:rPr>
                <w:rFonts w:ascii="Arial" w:hAnsi="Arial" w:cs="Arial"/>
                <w:color w:val="333333"/>
                <w:sz w:val="29"/>
                <w:szCs w:val="29"/>
              </w:rPr>
            </w:pPr>
            <w:r>
              <w:rPr>
                <w:rFonts w:ascii="Arial" w:hAnsi="Arial" w:cs="Arial"/>
                <w:color w:val="333333"/>
                <w:sz w:val="29"/>
                <w:szCs w:val="29"/>
              </w:rPr>
              <w:t>deterrence: misconduct identified and blamed</w:t>
            </w:r>
          </w:p>
        </w:tc>
      </w:tr>
      <w:tr w:rsidR="00334297" w:rsidTr="00334297">
        <w:trPr>
          <w:trHeight w:val="858"/>
        </w:trPr>
        <w:tc>
          <w:tcPr>
            <w:tcW w:w="5027" w:type="dxa"/>
            <w:tcBorders>
              <w:top w:val="single" w:sz="6" w:space="0" w:color="666666"/>
              <w:left w:val="single" w:sz="6" w:space="0" w:color="666666"/>
              <w:bottom w:val="single" w:sz="6" w:space="0" w:color="666666"/>
              <w:right w:val="single" w:sz="6" w:space="0" w:color="666666"/>
            </w:tcBorders>
            <w:shd w:val="clear" w:color="auto" w:fill="FFFFFF"/>
            <w:tcMar>
              <w:top w:w="45" w:type="dxa"/>
              <w:left w:w="45" w:type="dxa"/>
              <w:bottom w:w="45" w:type="dxa"/>
              <w:right w:w="45" w:type="dxa"/>
            </w:tcMar>
            <w:hideMark/>
          </w:tcPr>
          <w:p w:rsidR="00334297" w:rsidRDefault="00334297" w:rsidP="00334297">
            <w:pPr>
              <w:pStyle w:val="NormalWeb"/>
              <w:spacing w:before="75" w:beforeAutospacing="0" w:after="150" w:afterAutospacing="0"/>
              <w:rPr>
                <w:rFonts w:ascii="Arial" w:hAnsi="Arial" w:cs="Arial"/>
                <w:color w:val="333333"/>
                <w:sz w:val="29"/>
                <w:szCs w:val="29"/>
              </w:rPr>
            </w:pPr>
            <w:r>
              <w:rPr>
                <w:rFonts w:ascii="Arial" w:hAnsi="Arial" w:cs="Arial"/>
                <w:b/>
                <w:bCs/>
                <w:color w:val="333333"/>
                <w:sz w:val="29"/>
                <w:szCs w:val="29"/>
              </w:rPr>
              <w:t>disadvantages</w:t>
            </w:r>
          </w:p>
          <w:p w:rsidR="00334297" w:rsidRDefault="00334297" w:rsidP="00334297">
            <w:pPr>
              <w:numPr>
                <w:ilvl w:val="0"/>
                <w:numId w:val="7"/>
              </w:numPr>
              <w:spacing w:before="100" w:beforeAutospacing="1" w:after="0" w:line="240" w:lineRule="auto"/>
              <w:ind w:left="375"/>
              <w:rPr>
                <w:rFonts w:ascii="Arial" w:hAnsi="Arial" w:cs="Arial"/>
                <w:color w:val="333333"/>
                <w:sz w:val="29"/>
                <w:szCs w:val="29"/>
              </w:rPr>
            </w:pPr>
            <w:proofErr w:type="gramStart"/>
            <w:r>
              <w:rPr>
                <w:rFonts w:ascii="Arial" w:hAnsi="Arial" w:cs="Arial"/>
                <w:color w:val="333333"/>
                <w:sz w:val="29"/>
                <w:szCs w:val="29"/>
              </w:rPr>
              <w:t>generally</w:t>
            </w:r>
            <w:proofErr w:type="gramEnd"/>
            <w:r>
              <w:rPr>
                <w:rFonts w:ascii="Arial" w:hAnsi="Arial" w:cs="Arial"/>
                <w:color w:val="333333"/>
                <w:sz w:val="29"/>
                <w:szCs w:val="29"/>
              </w:rPr>
              <w:t xml:space="preserve"> less than full compensation</w:t>
            </w:r>
          </w:p>
          <w:p w:rsidR="00334297" w:rsidRDefault="00334297" w:rsidP="00334297">
            <w:pPr>
              <w:numPr>
                <w:ilvl w:val="0"/>
                <w:numId w:val="7"/>
              </w:numPr>
              <w:spacing w:before="100" w:beforeAutospacing="1" w:after="0" w:line="240" w:lineRule="auto"/>
              <w:ind w:left="375"/>
              <w:rPr>
                <w:rFonts w:ascii="Arial" w:hAnsi="Arial" w:cs="Arial"/>
                <w:color w:val="333333"/>
                <w:sz w:val="29"/>
                <w:szCs w:val="29"/>
              </w:rPr>
            </w:pPr>
            <w:r>
              <w:rPr>
                <w:rFonts w:ascii="Arial" w:hAnsi="Arial" w:cs="Arial"/>
                <w:color w:val="333333"/>
                <w:sz w:val="29"/>
                <w:szCs w:val="29"/>
              </w:rPr>
              <w:t>no deterrence of blameworthy behaviour</w:t>
            </w:r>
          </w:p>
        </w:tc>
        <w:tc>
          <w:tcPr>
            <w:tcW w:w="5028" w:type="dxa"/>
            <w:tcBorders>
              <w:top w:val="single" w:sz="6" w:space="0" w:color="666666"/>
              <w:left w:val="single" w:sz="6" w:space="0" w:color="666666"/>
              <w:bottom w:val="single" w:sz="6" w:space="0" w:color="666666"/>
              <w:right w:val="single" w:sz="6" w:space="0" w:color="666666"/>
            </w:tcBorders>
            <w:shd w:val="clear" w:color="auto" w:fill="FFFFFF"/>
            <w:tcMar>
              <w:top w:w="45" w:type="dxa"/>
              <w:left w:w="45" w:type="dxa"/>
              <w:bottom w:w="45" w:type="dxa"/>
              <w:right w:w="45" w:type="dxa"/>
            </w:tcMar>
            <w:hideMark/>
          </w:tcPr>
          <w:p w:rsidR="00334297" w:rsidRDefault="00334297" w:rsidP="00334297">
            <w:pPr>
              <w:pStyle w:val="NormalWeb"/>
              <w:spacing w:before="75" w:beforeAutospacing="0" w:after="150" w:afterAutospacing="0"/>
              <w:rPr>
                <w:rFonts w:ascii="Arial" w:hAnsi="Arial" w:cs="Arial"/>
                <w:color w:val="333333"/>
                <w:sz w:val="29"/>
                <w:szCs w:val="29"/>
              </w:rPr>
            </w:pPr>
            <w:r>
              <w:rPr>
                <w:rFonts w:ascii="Arial" w:hAnsi="Arial" w:cs="Arial"/>
                <w:b/>
                <w:bCs/>
                <w:color w:val="333333"/>
                <w:sz w:val="29"/>
                <w:szCs w:val="29"/>
              </w:rPr>
              <w:t>disadvantages</w:t>
            </w:r>
          </w:p>
          <w:p w:rsidR="00334297" w:rsidRDefault="00334297" w:rsidP="00334297">
            <w:pPr>
              <w:numPr>
                <w:ilvl w:val="0"/>
                <w:numId w:val="8"/>
              </w:numPr>
              <w:spacing w:before="100" w:beforeAutospacing="1" w:after="0" w:line="240" w:lineRule="auto"/>
              <w:ind w:left="375"/>
              <w:rPr>
                <w:rFonts w:ascii="Arial" w:hAnsi="Arial" w:cs="Arial"/>
                <w:color w:val="333333"/>
                <w:sz w:val="29"/>
                <w:szCs w:val="29"/>
              </w:rPr>
            </w:pPr>
            <w:r>
              <w:rPr>
                <w:rFonts w:ascii="Arial" w:hAnsi="Arial" w:cs="Arial"/>
                <w:color w:val="333333"/>
                <w:sz w:val="29"/>
                <w:szCs w:val="29"/>
              </w:rPr>
              <w:t>compensation limited to wrongfully occurring losses</w:t>
            </w:r>
          </w:p>
          <w:p w:rsidR="00334297" w:rsidRDefault="00334297" w:rsidP="00334297">
            <w:pPr>
              <w:numPr>
                <w:ilvl w:val="0"/>
                <w:numId w:val="8"/>
              </w:numPr>
              <w:spacing w:before="100" w:beforeAutospacing="1" w:after="0" w:line="240" w:lineRule="auto"/>
              <w:ind w:left="375"/>
              <w:rPr>
                <w:rFonts w:ascii="Arial" w:hAnsi="Arial" w:cs="Arial"/>
                <w:color w:val="333333"/>
                <w:sz w:val="29"/>
                <w:szCs w:val="29"/>
              </w:rPr>
            </w:pPr>
            <w:r>
              <w:rPr>
                <w:rFonts w:ascii="Arial" w:hAnsi="Arial" w:cs="Arial"/>
                <w:color w:val="333333"/>
                <w:sz w:val="29"/>
                <w:szCs w:val="29"/>
              </w:rPr>
              <w:t>expensive and time-consuming process</w:t>
            </w:r>
          </w:p>
          <w:p w:rsidR="00334297" w:rsidRDefault="00334297" w:rsidP="00334297">
            <w:pPr>
              <w:numPr>
                <w:ilvl w:val="0"/>
                <w:numId w:val="8"/>
              </w:numPr>
              <w:spacing w:before="100" w:beforeAutospacing="1" w:after="0" w:line="240" w:lineRule="auto"/>
              <w:ind w:left="375"/>
              <w:rPr>
                <w:rFonts w:ascii="Arial" w:hAnsi="Arial" w:cs="Arial"/>
                <w:color w:val="333333"/>
                <w:sz w:val="29"/>
                <w:szCs w:val="29"/>
              </w:rPr>
            </w:pPr>
            <w:r>
              <w:rPr>
                <w:rFonts w:ascii="Arial" w:hAnsi="Arial" w:cs="Arial"/>
                <w:color w:val="333333"/>
                <w:sz w:val="29"/>
                <w:szCs w:val="29"/>
              </w:rPr>
              <w:t>payment not guaranteed</w:t>
            </w:r>
          </w:p>
        </w:tc>
      </w:tr>
    </w:tbl>
    <w:p w:rsidR="00334297" w:rsidRDefault="00334297" w:rsidP="00334297">
      <w:pPr>
        <w:numPr>
          <w:ilvl w:val="2"/>
          <w:numId w:val="4"/>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automobile accident schemes (some provinces)</w:t>
      </w:r>
    </w:p>
    <w:p w:rsidR="00334297" w:rsidRDefault="00334297" w:rsidP="00334297">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Here is a summary of the advantages and the disadvantages of alternative compensation scheme compared with tort law litigation:</w:t>
      </w:r>
    </w:p>
    <w:p w:rsidR="00334297" w:rsidRDefault="00334297" w:rsidP="00334297">
      <w:pPr>
        <w:pStyle w:val="NormalWeb"/>
        <w:shd w:val="clear" w:color="auto" w:fill="FFFFFF"/>
        <w:spacing w:before="75" w:beforeAutospacing="0" w:after="150" w:afterAutospacing="0"/>
        <w:rPr>
          <w:rFonts w:ascii="Arial" w:hAnsi="Arial" w:cs="Arial"/>
          <w:color w:val="333333"/>
          <w:sz w:val="29"/>
          <w:szCs w:val="29"/>
        </w:rPr>
      </w:pPr>
    </w:p>
    <w:p w:rsidR="00AA746A" w:rsidRDefault="00AA746A" w:rsidP="00334297">
      <w:pPr>
        <w:pStyle w:val="NormalWeb"/>
        <w:shd w:val="clear" w:color="auto" w:fill="FFFFFF"/>
        <w:spacing w:before="75" w:beforeAutospacing="0" w:after="150" w:afterAutospacing="0"/>
        <w:rPr>
          <w:rFonts w:ascii="Arial" w:hAnsi="Arial" w:cs="Arial"/>
          <w:color w:val="333333"/>
          <w:sz w:val="29"/>
          <w:szCs w:val="29"/>
        </w:rPr>
      </w:pPr>
    </w:p>
    <w:p w:rsidR="00AA746A" w:rsidRDefault="00AA746A" w:rsidP="00334297">
      <w:pPr>
        <w:pStyle w:val="NormalWeb"/>
        <w:shd w:val="clear" w:color="auto" w:fill="FFFFFF"/>
        <w:spacing w:before="75" w:beforeAutospacing="0" w:after="150" w:afterAutospacing="0"/>
        <w:rPr>
          <w:rFonts w:ascii="Arial" w:hAnsi="Arial" w:cs="Arial"/>
          <w:color w:val="333333"/>
          <w:sz w:val="29"/>
          <w:szCs w:val="29"/>
        </w:rPr>
      </w:pPr>
    </w:p>
    <w:p w:rsidR="00AA746A" w:rsidRDefault="00AA746A" w:rsidP="00334297">
      <w:pPr>
        <w:pStyle w:val="NormalWeb"/>
        <w:shd w:val="clear" w:color="auto" w:fill="FFFFFF"/>
        <w:spacing w:before="75" w:beforeAutospacing="0" w:after="150" w:afterAutospacing="0"/>
        <w:rPr>
          <w:rFonts w:ascii="Arial" w:hAnsi="Arial" w:cs="Arial"/>
          <w:color w:val="333333"/>
          <w:sz w:val="29"/>
          <w:szCs w:val="29"/>
        </w:rPr>
      </w:pPr>
    </w:p>
    <w:p w:rsidR="00AA746A" w:rsidRDefault="00AA746A" w:rsidP="00334297">
      <w:pPr>
        <w:pStyle w:val="NormalWeb"/>
        <w:shd w:val="clear" w:color="auto" w:fill="FFFFFF"/>
        <w:spacing w:before="75" w:beforeAutospacing="0" w:after="150" w:afterAutospacing="0"/>
        <w:rPr>
          <w:rFonts w:ascii="Arial" w:hAnsi="Arial" w:cs="Arial"/>
          <w:color w:val="333333"/>
          <w:sz w:val="29"/>
          <w:szCs w:val="29"/>
        </w:rPr>
      </w:pPr>
    </w:p>
    <w:p w:rsidR="00AA746A" w:rsidRPr="00AA746A" w:rsidRDefault="00AA746A" w:rsidP="00AA746A">
      <w:pPr>
        <w:shd w:val="clear" w:color="auto" w:fill="FFFFFF"/>
        <w:spacing w:before="75" w:after="150" w:line="240" w:lineRule="auto"/>
        <w:rPr>
          <w:rFonts w:ascii="Arial" w:eastAsia="Times New Roman" w:hAnsi="Arial" w:cs="Arial"/>
          <w:color w:val="333333"/>
          <w:sz w:val="29"/>
          <w:szCs w:val="29"/>
          <w:lang w:eastAsia="en-CA"/>
        </w:rPr>
      </w:pPr>
      <w:r w:rsidRPr="00AA746A">
        <w:rPr>
          <w:rFonts w:ascii="Arial" w:eastAsia="Times New Roman" w:hAnsi="Arial" w:cs="Arial"/>
          <w:b/>
          <w:bCs/>
          <w:color w:val="333333"/>
          <w:sz w:val="29"/>
          <w:szCs w:val="29"/>
          <w:lang w:eastAsia="en-CA"/>
        </w:rPr>
        <w:lastRenderedPageBreak/>
        <w:t>Decision of the Ontario Court of Appeal (per Sharpe JA): </w:t>
      </w:r>
      <w:r w:rsidRPr="00AA746A">
        <w:rPr>
          <w:rFonts w:ascii="Arial" w:eastAsia="Times New Roman" w:hAnsi="Arial" w:cs="Arial"/>
          <w:color w:val="333333"/>
          <w:sz w:val="29"/>
          <w:szCs w:val="29"/>
          <w:lang w:eastAsia="en-CA"/>
        </w:rPr>
        <w:t>The Court accepted the American classification of four different privacy torts, each of which has different elements and protects different interests. The four torts that protect the right to privacy are:</w:t>
      </w:r>
    </w:p>
    <w:p w:rsidR="00AA746A" w:rsidRPr="00AA746A" w:rsidRDefault="00AA746A" w:rsidP="00AA746A">
      <w:pPr>
        <w:numPr>
          <w:ilvl w:val="0"/>
          <w:numId w:val="9"/>
        </w:numPr>
        <w:shd w:val="clear" w:color="auto" w:fill="FFFFFF"/>
        <w:spacing w:before="100" w:beforeAutospacing="1" w:after="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Intrusion upon the plaintiff’s seclusion or solitude, or into his or her private affairs.</w:t>
      </w:r>
    </w:p>
    <w:p w:rsidR="00AA746A" w:rsidRPr="00AA746A" w:rsidRDefault="00AA746A" w:rsidP="00AA746A">
      <w:pPr>
        <w:numPr>
          <w:ilvl w:val="0"/>
          <w:numId w:val="9"/>
        </w:numPr>
        <w:shd w:val="clear" w:color="auto" w:fill="FFFFFF"/>
        <w:spacing w:before="100" w:beforeAutospacing="1" w:after="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Public disclosure of embarrassing private facts about the plaintiff.</w:t>
      </w:r>
    </w:p>
    <w:p w:rsidR="00AA746A" w:rsidRPr="00AA746A" w:rsidRDefault="00AA746A" w:rsidP="00AA746A">
      <w:pPr>
        <w:numPr>
          <w:ilvl w:val="0"/>
          <w:numId w:val="9"/>
        </w:numPr>
        <w:shd w:val="clear" w:color="auto" w:fill="FFFFFF"/>
        <w:spacing w:before="100" w:beforeAutospacing="1" w:after="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Publicity which places the plaintiff in a false light in the public eye.</w:t>
      </w:r>
    </w:p>
    <w:p w:rsidR="00AA746A" w:rsidRPr="00AA746A" w:rsidRDefault="00AA746A" w:rsidP="00AA746A">
      <w:pPr>
        <w:numPr>
          <w:ilvl w:val="0"/>
          <w:numId w:val="9"/>
        </w:numPr>
        <w:shd w:val="clear" w:color="auto" w:fill="FFFFFF"/>
        <w:spacing w:before="100" w:beforeAutospacing="1" w:after="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Appropriation, for the defendant’s advantage, of the plaintiff’s name or likeness.</w:t>
      </w:r>
    </w:p>
    <w:p w:rsidR="00AA746A" w:rsidRPr="00AA746A" w:rsidRDefault="00AA746A" w:rsidP="00AA746A">
      <w:pPr>
        <w:shd w:val="clear" w:color="auto" w:fill="FFFFFF"/>
        <w:spacing w:before="75" w:after="15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The Court focused its attention on the first tort, intrusion upon seclusion, and asked whether the common law recognizes a cause of action for invasion of privacy in this regard. It concluded that Ontario has already accepted the tort of the appropriation of personality (which is discussed in the textbook), the fourth type of tort outlined above. It further held that the time has come to recognize that the tort of intrusion upon seclusion does exist at common law.</w:t>
      </w:r>
    </w:p>
    <w:p w:rsidR="00AA746A" w:rsidRPr="00AA746A" w:rsidRDefault="00AA746A" w:rsidP="00AA746A">
      <w:pPr>
        <w:shd w:val="clear" w:color="auto" w:fill="FFFFFF"/>
        <w:spacing w:before="75" w:after="15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The Court noted that there has not been a definitive statement from an appellate court in Canada about whether there is a common law cause of action for the tort of intrusion upon seclusion, although there has been a clear trend to leave open the possibility that such a tort does exist. Moreover, the common law has historically protected privacy in various guises, and Canadian </w:t>
      </w:r>
      <w:r w:rsidRPr="00AA746A">
        <w:rPr>
          <w:rFonts w:ascii="Arial" w:eastAsia="Times New Roman" w:hAnsi="Arial" w:cs="Arial"/>
          <w:i/>
          <w:iCs/>
          <w:color w:val="333333"/>
          <w:sz w:val="29"/>
          <w:szCs w:val="29"/>
          <w:lang w:eastAsia="en-CA"/>
        </w:rPr>
        <w:t>Charter </w:t>
      </w:r>
      <w:r w:rsidRPr="00AA746A">
        <w:rPr>
          <w:rFonts w:ascii="Arial" w:eastAsia="Times New Roman" w:hAnsi="Arial" w:cs="Arial"/>
          <w:color w:val="333333"/>
          <w:sz w:val="29"/>
          <w:szCs w:val="29"/>
          <w:lang w:eastAsia="en-CA"/>
        </w:rPr>
        <w:t>jurisprudence recognizes that privacy is a right that underpins many of the rights and freedoms recognized in the </w:t>
      </w:r>
      <w:r w:rsidRPr="00AA746A">
        <w:rPr>
          <w:rFonts w:ascii="Arial" w:eastAsia="Times New Roman" w:hAnsi="Arial" w:cs="Arial"/>
          <w:i/>
          <w:iCs/>
          <w:color w:val="333333"/>
          <w:sz w:val="29"/>
          <w:szCs w:val="29"/>
          <w:lang w:eastAsia="en-CA"/>
        </w:rPr>
        <w:t>Charter.</w:t>
      </w:r>
      <w:r w:rsidRPr="00AA746A">
        <w:rPr>
          <w:rFonts w:ascii="Arial" w:eastAsia="Times New Roman" w:hAnsi="Arial" w:cs="Arial"/>
          <w:color w:val="333333"/>
          <w:sz w:val="29"/>
          <w:szCs w:val="29"/>
          <w:lang w:eastAsia="en-CA"/>
        </w:rPr>
        <w:t> Major technological changes in society now pose a “novel threat” to privacy, as highly personal information is routinely collected, aggregated and accessible in electronic form.</w:t>
      </w:r>
    </w:p>
    <w:p w:rsidR="00AA746A" w:rsidRPr="00AA746A" w:rsidRDefault="00AA746A" w:rsidP="00AA746A">
      <w:pPr>
        <w:shd w:val="clear" w:color="auto" w:fill="FFFFFF"/>
        <w:spacing w:before="75" w:after="15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 xml:space="preserve">The Court was also influenced by the facts of the case itself. The Court stated that the facts of this case “cry out for a remedy” (para. 69). The Court characterized Tsige’s actions as “deliberate, prolonged and shocking” and held that anyone in </w:t>
      </w:r>
      <w:proofErr w:type="spellStart"/>
      <w:r w:rsidRPr="00AA746A">
        <w:rPr>
          <w:rFonts w:ascii="Arial" w:eastAsia="Times New Roman" w:hAnsi="Arial" w:cs="Arial"/>
          <w:color w:val="333333"/>
          <w:sz w:val="29"/>
          <w:szCs w:val="29"/>
          <w:lang w:eastAsia="en-CA"/>
        </w:rPr>
        <w:t>Jone’s</w:t>
      </w:r>
      <w:proofErr w:type="spellEnd"/>
      <w:r w:rsidRPr="00AA746A">
        <w:rPr>
          <w:rFonts w:ascii="Arial" w:eastAsia="Times New Roman" w:hAnsi="Arial" w:cs="Arial"/>
          <w:color w:val="333333"/>
          <w:sz w:val="29"/>
          <w:szCs w:val="29"/>
          <w:lang w:eastAsia="en-CA"/>
        </w:rPr>
        <w:t xml:space="preserve"> position would be </w:t>
      </w:r>
      <w:proofErr w:type="gramStart"/>
      <w:r w:rsidRPr="00AA746A">
        <w:rPr>
          <w:rFonts w:ascii="Arial" w:eastAsia="Times New Roman" w:hAnsi="Arial" w:cs="Arial"/>
          <w:color w:val="333333"/>
          <w:sz w:val="29"/>
          <w:szCs w:val="29"/>
          <w:lang w:eastAsia="en-CA"/>
        </w:rPr>
        <w:t>“ profoundly</w:t>
      </w:r>
      <w:proofErr w:type="gramEnd"/>
      <w:r w:rsidRPr="00AA746A">
        <w:rPr>
          <w:rFonts w:ascii="Arial" w:eastAsia="Times New Roman" w:hAnsi="Arial" w:cs="Arial"/>
          <w:color w:val="333333"/>
          <w:sz w:val="29"/>
          <w:szCs w:val="29"/>
          <w:lang w:eastAsia="en-CA"/>
        </w:rPr>
        <w:t xml:space="preserve"> disturbed by the significant intrusion into her highly personal information” (para. 69). While Tsige had been disciplined by BMO, this discipline fell within the realm of employment law and did not respond to the wrong suffered by Jones. The Court held that Ontario law would be “sadly </w:t>
      </w:r>
      <w:r w:rsidRPr="00AA746A">
        <w:rPr>
          <w:rFonts w:ascii="Arial" w:eastAsia="Times New Roman" w:hAnsi="Arial" w:cs="Arial"/>
          <w:color w:val="333333"/>
          <w:sz w:val="29"/>
          <w:szCs w:val="29"/>
          <w:lang w:eastAsia="en-CA"/>
        </w:rPr>
        <w:lastRenderedPageBreak/>
        <w:t>deficient” if Jones did not receive a legal remedy under the circumstances (para. 69).</w:t>
      </w:r>
    </w:p>
    <w:p w:rsidR="00AA746A" w:rsidRPr="00AA746A" w:rsidRDefault="00AA746A" w:rsidP="00AA746A">
      <w:pPr>
        <w:shd w:val="clear" w:color="auto" w:fill="FFFFFF"/>
        <w:spacing w:before="75" w:after="15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In terms of the elements of the tort of inclusion upon seclusion, the Court adopted the elements of this tort that are set out in the American </w:t>
      </w:r>
      <w:r w:rsidRPr="00AA746A">
        <w:rPr>
          <w:rFonts w:ascii="Arial" w:eastAsia="Times New Roman" w:hAnsi="Arial" w:cs="Arial"/>
          <w:i/>
          <w:iCs/>
          <w:color w:val="333333"/>
          <w:sz w:val="29"/>
          <w:szCs w:val="29"/>
          <w:lang w:eastAsia="en-CA"/>
        </w:rPr>
        <w:t>Restatement (Second) of Torts </w:t>
      </w:r>
      <w:r w:rsidRPr="00AA746A">
        <w:rPr>
          <w:rFonts w:ascii="Arial" w:eastAsia="Times New Roman" w:hAnsi="Arial" w:cs="Arial"/>
          <w:color w:val="333333"/>
          <w:sz w:val="29"/>
          <w:szCs w:val="29"/>
          <w:lang w:eastAsia="en-CA"/>
        </w:rPr>
        <w:t>(2010):</w:t>
      </w:r>
    </w:p>
    <w:p w:rsidR="00AA746A" w:rsidRPr="00AA746A" w:rsidRDefault="00AA746A" w:rsidP="00AA746A">
      <w:pPr>
        <w:shd w:val="clear" w:color="auto" w:fill="FFFFFF"/>
        <w:spacing w:before="75" w:after="15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One who intentionally intrudes, physically or otherwise, upon the seclusion of another or his private affairs or concerns, is subject to liability to the other for invasion of his privacy, if the invasion would be highly offensive to a reasonable person. (Para. 70)</w:t>
      </w:r>
    </w:p>
    <w:p w:rsidR="00AA746A" w:rsidRPr="00AA746A" w:rsidRDefault="00AA746A" w:rsidP="00AA746A">
      <w:pPr>
        <w:shd w:val="clear" w:color="auto" w:fill="FFFFFF"/>
        <w:spacing w:before="75" w:after="15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The key features of the tort of inclusion upon seclusion are:</w:t>
      </w:r>
    </w:p>
    <w:p w:rsidR="00AA746A" w:rsidRPr="00AA746A" w:rsidRDefault="00AA746A" w:rsidP="00AA746A">
      <w:pPr>
        <w:numPr>
          <w:ilvl w:val="0"/>
          <w:numId w:val="10"/>
        </w:numPr>
        <w:shd w:val="clear" w:color="auto" w:fill="FFFFFF"/>
        <w:spacing w:before="100" w:beforeAutospacing="1" w:after="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The defendant’s actions were intentional or reckless;</w:t>
      </w:r>
    </w:p>
    <w:p w:rsidR="00AA746A" w:rsidRPr="00AA746A" w:rsidRDefault="00AA746A" w:rsidP="00AA746A">
      <w:pPr>
        <w:numPr>
          <w:ilvl w:val="0"/>
          <w:numId w:val="10"/>
        </w:numPr>
        <w:shd w:val="clear" w:color="auto" w:fill="FFFFFF"/>
        <w:spacing w:before="100" w:beforeAutospacing="1" w:after="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The defendant has invaded the plaintiff’s private affairs or concerns without lawful justification; and</w:t>
      </w:r>
    </w:p>
    <w:p w:rsidR="00AA746A" w:rsidRPr="00AA746A" w:rsidRDefault="00AA746A" w:rsidP="00AA746A">
      <w:pPr>
        <w:numPr>
          <w:ilvl w:val="0"/>
          <w:numId w:val="10"/>
        </w:numPr>
        <w:shd w:val="clear" w:color="auto" w:fill="FFFFFF"/>
        <w:spacing w:before="100" w:beforeAutospacing="1" w:after="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A reasonable person would regard the invasion as highly offensive, causing distress, humiliation or anguish.</w:t>
      </w:r>
    </w:p>
    <w:p w:rsidR="00AA746A" w:rsidRPr="00AA746A" w:rsidRDefault="00AA746A" w:rsidP="00AA746A">
      <w:pPr>
        <w:shd w:val="clear" w:color="auto" w:fill="FFFFFF"/>
        <w:spacing w:before="75" w:after="15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The Court made clear that</w:t>
      </w:r>
      <w:r w:rsidRPr="00AA746A">
        <w:rPr>
          <w:rFonts w:ascii="Arial" w:eastAsia="Times New Roman" w:hAnsi="Arial" w:cs="Arial"/>
          <w:b/>
          <w:bCs/>
          <w:color w:val="333333"/>
          <w:sz w:val="29"/>
          <w:szCs w:val="29"/>
          <w:lang w:eastAsia="en-CA"/>
        </w:rPr>
        <w:t> it is not necessary to establish that there has been harm </w:t>
      </w:r>
      <w:r w:rsidRPr="00AA746A">
        <w:rPr>
          <w:rFonts w:ascii="Arial" w:eastAsia="Times New Roman" w:hAnsi="Arial" w:cs="Arial"/>
          <w:color w:val="333333"/>
          <w:sz w:val="29"/>
          <w:szCs w:val="29"/>
          <w:lang w:eastAsia="en-CA"/>
        </w:rPr>
        <w:t>to a recognized economic interest in order to establish a cause of action for the tort of intrusion of seclusion. However, the Court also held that given the intangible nature of the interest that this tort protects (i.e., privacy), damages for the tort will usually be “measured by a modest conventional sum” which the court capped at $20,000 (para. 71).</w:t>
      </w:r>
    </w:p>
    <w:p w:rsidR="00AA746A" w:rsidRPr="00AA746A" w:rsidRDefault="00AA746A" w:rsidP="00AA746A">
      <w:pPr>
        <w:shd w:val="clear" w:color="auto" w:fill="FFFFFF"/>
        <w:spacing w:before="75" w:after="150" w:line="240" w:lineRule="auto"/>
        <w:rPr>
          <w:rFonts w:ascii="Arial" w:eastAsia="Times New Roman" w:hAnsi="Arial" w:cs="Arial"/>
          <w:color w:val="333333"/>
          <w:sz w:val="29"/>
          <w:szCs w:val="29"/>
          <w:lang w:eastAsia="en-CA"/>
        </w:rPr>
      </w:pPr>
      <w:r w:rsidRPr="00AA746A">
        <w:rPr>
          <w:rFonts w:ascii="Arial" w:eastAsia="Times New Roman" w:hAnsi="Arial" w:cs="Arial"/>
          <w:color w:val="333333"/>
          <w:sz w:val="29"/>
          <w:szCs w:val="29"/>
          <w:lang w:eastAsia="en-CA"/>
        </w:rPr>
        <w:t>The right to privacy that is protected by the tort of intrusion upon seclusion is not an absolute right. The right may have to be balanced against competing claims, such as the freedom of expression and freedom of the press. In those cases, the court will have to balance the claims and, in some cases, the right to privacy may have to yield to competing rights.</w:t>
      </w:r>
    </w:p>
    <w:p w:rsidR="00AA746A" w:rsidRDefault="00AA746A" w:rsidP="00334297">
      <w:pPr>
        <w:pStyle w:val="NormalWeb"/>
        <w:shd w:val="clear" w:color="auto" w:fill="FFFFFF"/>
        <w:spacing w:before="75" w:beforeAutospacing="0" w:after="150" w:afterAutospacing="0"/>
        <w:rPr>
          <w:rFonts w:ascii="Arial" w:hAnsi="Arial" w:cs="Arial"/>
          <w:color w:val="333333"/>
          <w:sz w:val="29"/>
          <w:szCs w:val="29"/>
        </w:rPr>
      </w:pPr>
    </w:p>
    <w:p w:rsidR="008259E7" w:rsidRDefault="008259E7" w:rsidP="00334297">
      <w:pPr>
        <w:pStyle w:val="NormalWeb"/>
        <w:shd w:val="clear" w:color="auto" w:fill="FFFFFF"/>
        <w:spacing w:before="75" w:beforeAutospacing="0" w:after="150" w:afterAutospacing="0"/>
        <w:rPr>
          <w:rFonts w:ascii="Arial" w:hAnsi="Arial" w:cs="Arial"/>
          <w:color w:val="333333"/>
          <w:sz w:val="29"/>
          <w:szCs w:val="29"/>
        </w:rPr>
      </w:pPr>
    </w:p>
    <w:p w:rsidR="008259E7" w:rsidRDefault="008259E7" w:rsidP="00334297">
      <w:pPr>
        <w:pStyle w:val="NormalWeb"/>
        <w:shd w:val="clear" w:color="auto" w:fill="FFFFFF"/>
        <w:spacing w:before="75" w:beforeAutospacing="0" w:after="150" w:afterAutospacing="0"/>
        <w:rPr>
          <w:rFonts w:ascii="Arial" w:hAnsi="Arial" w:cs="Arial"/>
          <w:color w:val="333333"/>
          <w:sz w:val="29"/>
          <w:szCs w:val="29"/>
        </w:rPr>
      </w:pPr>
    </w:p>
    <w:p w:rsidR="008259E7" w:rsidRDefault="008259E7" w:rsidP="00334297">
      <w:pPr>
        <w:pStyle w:val="NormalWeb"/>
        <w:shd w:val="clear" w:color="auto" w:fill="FFFFFF"/>
        <w:spacing w:before="75" w:beforeAutospacing="0" w:after="150" w:afterAutospacing="0"/>
        <w:rPr>
          <w:rFonts w:ascii="Arial" w:hAnsi="Arial" w:cs="Arial"/>
          <w:color w:val="333333"/>
          <w:sz w:val="29"/>
          <w:szCs w:val="29"/>
        </w:rPr>
      </w:pPr>
    </w:p>
    <w:p w:rsidR="008259E7" w:rsidRDefault="008259E7" w:rsidP="00334297">
      <w:pPr>
        <w:pStyle w:val="NormalWeb"/>
        <w:shd w:val="clear" w:color="auto" w:fill="FFFFFF"/>
        <w:spacing w:before="75" w:beforeAutospacing="0" w:after="150" w:afterAutospacing="0"/>
        <w:rPr>
          <w:rFonts w:ascii="Arial" w:hAnsi="Arial" w:cs="Arial"/>
          <w:color w:val="333333"/>
          <w:sz w:val="29"/>
          <w:szCs w:val="29"/>
        </w:rPr>
      </w:pPr>
    </w:p>
    <w:p w:rsidR="008259E7" w:rsidRDefault="008259E7" w:rsidP="00334297">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lastRenderedPageBreak/>
        <w:t xml:space="preserve">Week 3 </w:t>
      </w:r>
    </w:p>
    <w:p w:rsidR="008259E7" w:rsidRDefault="008259E7" w:rsidP="00334297">
      <w:pPr>
        <w:pStyle w:val="NormalWeb"/>
        <w:shd w:val="clear" w:color="auto" w:fill="FFFFFF"/>
        <w:spacing w:before="75" w:beforeAutospacing="0" w:after="150" w:afterAutospacing="0"/>
        <w:rPr>
          <w:rFonts w:ascii="Arial" w:hAnsi="Arial" w:cs="Arial"/>
          <w:color w:val="333333"/>
          <w:sz w:val="29"/>
          <w:szCs w:val="29"/>
        </w:rPr>
      </w:pPr>
    </w:p>
    <w:p w:rsidR="008259E7" w:rsidRPr="008259E7" w:rsidRDefault="008259E7" w:rsidP="008259E7">
      <w:pPr>
        <w:shd w:val="clear" w:color="auto" w:fill="FFFFFF"/>
        <w:spacing w:before="75" w:after="150" w:line="240" w:lineRule="auto"/>
        <w:rPr>
          <w:rFonts w:ascii="Arial" w:eastAsia="Times New Roman" w:hAnsi="Arial" w:cs="Arial"/>
          <w:color w:val="333333"/>
          <w:sz w:val="29"/>
          <w:szCs w:val="29"/>
          <w:lang w:eastAsia="en-CA"/>
        </w:rPr>
      </w:pPr>
      <w:r w:rsidRPr="008259E7">
        <w:rPr>
          <w:rFonts w:ascii="Arial" w:eastAsia="Times New Roman" w:hAnsi="Arial" w:cs="Arial"/>
          <w:b/>
          <w:bCs/>
          <w:color w:val="333333"/>
          <w:sz w:val="29"/>
          <w:szCs w:val="29"/>
          <w:lang w:eastAsia="en-CA"/>
        </w:rPr>
        <w:t>Occupiers’ Liability Act (Ontario):</w:t>
      </w:r>
    </w:p>
    <w:p w:rsidR="008259E7" w:rsidRPr="008259E7" w:rsidRDefault="008259E7" w:rsidP="008259E7">
      <w:pPr>
        <w:numPr>
          <w:ilvl w:val="0"/>
          <w:numId w:val="11"/>
        </w:numPr>
        <w:shd w:val="clear" w:color="auto" w:fill="FFFFFF"/>
        <w:spacing w:before="100" w:beforeAutospacing="1" w:after="0" w:line="240" w:lineRule="auto"/>
        <w:rPr>
          <w:rFonts w:ascii="Arial" w:eastAsia="Times New Roman" w:hAnsi="Arial" w:cs="Arial"/>
          <w:color w:val="333333"/>
          <w:sz w:val="29"/>
          <w:szCs w:val="29"/>
          <w:lang w:eastAsia="en-CA"/>
        </w:rPr>
      </w:pPr>
      <w:r w:rsidRPr="008259E7">
        <w:rPr>
          <w:rFonts w:ascii="Arial" w:eastAsia="Times New Roman" w:hAnsi="Arial" w:cs="Arial"/>
          <w:color w:val="333333"/>
          <w:sz w:val="29"/>
          <w:szCs w:val="29"/>
          <w:lang w:eastAsia="en-CA"/>
        </w:rPr>
        <w:t>the duty applies to the condition of the premises and activities on premises</w:t>
      </w:r>
    </w:p>
    <w:p w:rsidR="008259E7" w:rsidRPr="008259E7" w:rsidRDefault="008259E7" w:rsidP="008259E7">
      <w:pPr>
        <w:numPr>
          <w:ilvl w:val="0"/>
          <w:numId w:val="11"/>
        </w:numPr>
        <w:shd w:val="clear" w:color="auto" w:fill="FFFFFF"/>
        <w:spacing w:before="100" w:beforeAutospacing="1" w:after="0" w:line="240" w:lineRule="auto"/>
        <w:rPr>
          <w:rFonts w:ascii="Arial" w:eastAsia="Times New Roman" w:hAnsi="Arial" w:cs="Arial"/>
          <w:color w:val="333333"/>
          <w:sz w:val="29"/>
          <w:szCs w:val="29"/>
          <w:lang w:eastAsia="en-CA"/>
        </w:rPr>
      </w:pPr>
      <w:r w:rsidRPr="008259E7">
        <w:rPr>
          <w:rFonts w:ascii="Arial" w:eastAsia="Times New Roman" w:hAnsi="Arial" w:cs="Arial"/>
          <w:color w:val="333333"/>
          <w:sz w:val="29"/>
          <w:szCs w:val="29"/>
          <w:lang w:eastAsia="en-CA"/>
        </w:rPr>
        <w:t>the Act imposes a duty of reasonable care for </w:t>
      </w:r>
      <w:r w:rsidRPr="008259E7">
        <w:rPr>
          <w:rFonts w:ascii="Arial" w:eastAsia="Times New Roman" w:hAnsi="Arial" w:cs="Arial"/>
          <w:b/>
          <w:bCs/>
          <w:color w:val="333333"/>
          <w:sz w:val="29"/>
          <w:szCs w:val="29"/>
          <w:lang w:eastAsia="en-CA"/>
        </w:rPr>
        <w:t>all visitors.</w:t>
      </w:r>
    </w:p>
    <w:p w:rsidR="008259E7" w:rsidRPr="008259E7" w:rsidRDefault="008259E7" w:rsidP="008259E7">
      <w:pPr>
        <w:numPr>
          <w:ilvl w:val="0"/>
          <w:numId w:val="11"/>
        </w:numPr>
        <w:shd w:val="clear" w:color="auto" w:fill="FFFFFF"/>
        <w:spacing w:before="100" w:beforeAutospacing="1" w:after="0" w:line="240" w:lineRule="auto"/>
        <w:rPr>
          <w:rFonts w:ascii="Arial" w:eastAsia="Times New Roman" w:hAnsi="Arial" w:cs="Arial"/>
          <w:color w:val="333333"/>
          <w:sz w:val="29"/>
          <w:szCs w:val="29"/>
          <w:lang w:eastAsia="en-CA"/>
        </w:rPr>
      </w:pPr>
      <w:r w:rsidRPr="008259E7">
        <w:rPr>
          <w:rFonts w:ascii="Arial" w:eastAsia="Times New Roman" w:hAnsi="Arial" w:cs="Arial"/>
          <w:color w:val="333333"/>
          <w:sz w:val="29"/>
          <w:szCs w:val="29"/>
          <w:lang w:eastAsia="en-CA"/>
        </w:rPr>
        <w:t>when risks are willingly assumed:</w:t>
      </w:r>
    </w:p>
    <w:p w:rsidR="008259E7" w:rsidRPr="008259E7" w:rsidRDefault="008259E7" w:rsidP="008259E7">
      <w:pPr>
        <w:numPr>
          <w:ilvl w:val="1"/>
          <w:numId w:val="11"/>
        </w:numPr>
        <w:shd w:val="clear" w:color="auto" w:fill="FFFFFF"/>
        <w:spacing w:before="100" w:beforeAutospacing="1" w:after="0" w:line="240" w:lineRule="auto"/>
        <w:rPr>
          <w:rFonts w:ascii="Arial" w:eastAsia="Times New Roman" w:hAnsi="Arial" w:cs="Arial"/>
          <w:color w:val="333333"/>
          <w:sz w:val="29"/>
          <w:szCs w:val="29"/>
          <w:lang w:eastAsia="en-CA"/>
        </w:rPr>
      </w:pPr>
      <w:r w:rsidRPr="008259E7">
        <w:rPr>
          <w:rFonts w:ascii="Arial" w:eastAsia="Times New Roman" w:hAnsi="Arial" w:cs="Arial"/>
          <w:color w:val="333333"/>
          <w:sz w:val="29"/>
          <w:szCs w:val="29"/>
          <w:lang w:eastAsia="en-CA"/>
        </w:rPr>
        <w:t>the duty of reasonable care does not apply but the occupier still owes a duty to not create a danger with the </w:t>
      </w:r>
      <w:r w:rsidRPr="008259E7">
        <w:rPr>
          <w:rFonts w:ascii="Arial" w:eastAsia="Times New Roman" w:hAnsi="Arial" w:cs="Arial"/>
          <w:b/>
          <w:bCs/>
          <w:color w:val="333333"/>
          <w:sz w:val="29"/>
          <w:szCs w:val="29"/>
          <w:lang w:eastAsia="en-CA"/>
        </w:rPr>
        <w:t>deliberate intent</w:t>
      </w:r>
      <w:r w:rsidRPr="008259E7">
        <w:rPr>
          <w:rFonts w:ascii="Arial" w:eastAsia="Times New Roman" w:hAnsi="Arial" w:cs="Arial"/>
          <w:color w:val="333333"/>
          <w:sz w:val="29"/>
          <w:szCs w:val="29"/>
          <w:lang w:eastAsia="en-CA"/>
        </w:rPr>
        <w:t> of doing harm or damage, and to not act with </w:t>
      </w:r>
      <w:r w:rsidRPr="008259E7">
        <w:rPr>
          <w:rFonts w:ascii="Arial" w:eastAsia="Times New Roman" w:hAnsi="Arial" w:cs="Arial"/>
          <w:b/>
          <w:bCs/>
          <w:color w:val="333333"/>
          <w:sz w:val="29"/>
          <w:szCs w:val="29"/>
          <w:lang w:eastAsia="en-CA"/>
        </w:rPr>
        <w:t>reckless disregard.</w:t>
      </w:r>
    </w:p>
    <w:p w:rsidR="008259E7" w:rsidRDefault="008259E7"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Week 4</w:t>
      </w: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CA0954" w:rsidRPr="00CA0954" w:rsidRDefault="00CA0954" w:rsidP="00CA0954">
      <w:pPr>
        <w:shd w:val="clear" w:color="auto" w:fill="FFFFFF"/>
        <w:spacing w:before="75" w:after="150" w:line="636" w:lineRule="atLeast"/>
        <w:outlineLvl w:val="1"/>
        <w:rPr>
          <w:rFonts w:ascii="Times New Roman" w:eastAsia="Times New Roman" w:hAnsi="Times New Roman" w:cs="Times New Roman"/>
          <w:b/>
          <w:bCs/>
          <w:color w:val="664433"/>
          <w:sz w:val="41"/>
          <w:szCs w:val="41"/>
          <w:lang w:eastAsia="en-CA"/>
        </w:rPr>
      </w:pPr>
      <w:r w:rsidRPr="00CA0954">
        <w:rPr>
          <w:rFonts w:ascii="Times New Roman" w:eastAsia="Times New Roman" w:hAnsi="Times New Roman" w:cs="Times New Roman"/>
          <w:b/>
          <w:bCs/>
          <w:color w:val="664433"/>
          <w:sz w:val="41"/>
          <w:szCs w:val="41"/>
          <w:lang w:eastAsia="en-CA"/>
        </w:rPr>
        <w:t>Negligent Statements</w:t>
      </w:r>
    </w:p>
    <w:p w:rsidR="00CA0954" w:rsidRPr="00CA0954" w:rsidRDefault="00CA0954" w:rsidP="00CA0954">
      <w:pPr>
        <w:shd w:val="clear" w:color="auto" w:fill="FFFFFF"/>
        <w:spacing w:before="75" w:after="150" w:line="240" w:lineRule="auto"/>
        <w:rPr>
          <w:rFonts w:ascii="Arial" w:eastAsia="Times New Roman" w:hAnsi="Arial" w:cs="Arial"/>
          <w:color w:val="333333"/>
          <w:sz w:val="29"/>
          <w:szCs w:val="29"/>
          <w:lang w:eastAsia="en-CA"/>
        </w:rPr>
      </w:pPr>
      <w:r w:rsidRPr="00CA0954">
        <w:rPr>
          <w:rFonts w:ascii="Arial" w:eastAsia="Times New Roman" w:hAnsi="Arial" w:cs="Arial"/>
          <w:color w:val="333333"/>
          <w:sz w:val="29"/>
          <w:szCs w:val="29"/>
          <w:lang w:eastAsia="en-CA"/>
        </w:rPr>
        <w:t>Some special rules apply to negligent statements. Courts are more reluctant to impose a duty of care if the plaintiff’s complaint is that the defendant’s careless statement (as opposed to careless action) caused a pure economic loss (as opposed to physical harm). Therefore, there are some additional requirements for establishing a tort claim based on a negligent statement.</w:t>
      </w:r>
    </w:p>
    <w:p w:rsidR="00CA0954" w:rsidRPr="00CA0954" w:rsidRDefault="00CA0954" w:rsidP="00CA0954">
      <w:pPr>
        <w:shd w:val="clear" w:color="auto" w:fill="FFFFFF"/>
        <w:spacing w:before="75" w:after="150" w:line="240" w:lineRule="auto"/>
        <w:rPr>
          <w:rFonts w:ascii="Arial" w:eastAsia="Times New Roman" w:hAnsi="Arial" w:cs="Arial"/>
          <w:color w:val="333333"/>
          <w:sz w:val="29"/>
          <w:szCs w:val="29"/>
          <w:lang w:eastAsia="en-CA"/>
        </w:rPr>
      </w:pPr>
      <w:r w:rsidRPr="00CA0954">
        <w:rPr>
          <w:rFonts w:ascii="Arial" w:eastAsia="Times New Roman" w:hAnsi="Arial" w:cs="Arial"/>
          <w:color w:val="333333"/>
          <w:sz w:val="29"/>
          <w:szCs w:val="29"/>
          <w:lang w:eastAsia="en-CA"/>
        </w:rPr>
        <w:t>Liability for negligent statements is more likely if</w:t>
      </w:r>
    </w:p>
    <w:p w:rsidR="00CA0954" w:rsidRPr="00CA0954" w:rsidRDefault="00CA0954" w:rsidP="00CA0954">
      <w:pPr>
        <w:numPr>
          <w:ilvl w:val="0"/>
          <w:numId w:val="12"/>
        </w:numPr>
        <w:shd w:val="clear" w:color="auto" w:fill="FFFFFF"/>
        <w:spacing w:before="100" w:beforeAutospacing="1" w:after="0" w:line="240" w:lineRule="auto"/>
        <w:rPr>
          <w:rFonts w:ascii="Arial" w:eastAsia="Times New Roman" w:hAnsi="Arial" w:cs="Arial"/>
          <w:color w:val="333333"/>
          <w:sz w:val="29"/>
          <w:szCs w:val="29"/>
          <w:lang w:eastAsia="en-CA"/>
        </w:rPr>
      </w:pPr>
      <w:r w:rsidRPr="00CA0954">
        <w:rPr>
          <w:rFonts w:ascii="Arial" w:eastAsia="Times New Roman" w:hAnsi="Arial" w:cs="Arial"/>
          <w:color w:val="333333"/>
          <w:sz w:val="29"/>
          <w:szCs w:val="29"/>
          <w:lang w:eastAsia="en-CA"/>
        </w:rPr>
        <w:t>defendant claimed </w:t>
      </w:r>
      <w:r w:rsidRPr="00CA0954">
        <w:rPr>
          <w:rFonts w:ascii="Arial" w:eastAsia="Times New Roman" w:hAnsi="Arial" w:cs="Arial"/>
          <w:i/>
          <w:iCs/>
          <w:color w:val="333333"/>
          <w:sz w:val="29"/>
          <w:szCs w:val="29"/>
          <w:lang w:eastAsia="en-CA"/>
        </w:rPr>
        <w:t>special knowledge</w:t>
      </w:r>
    </w:p>
    <w:p w:rsidR="00CA0954" w:rsidRPr="00CA0954" w:rsidRDefault="00CA0954" w:rsidP="00CA0954">
      <w:pPr>
        <w:numPr>
          <w:ilvl w:val="0"/>
          <w:numId w:val="12"/>
        </w:numPr>
        <w:shd w:val="clear" w:color="auto" w:fill="FFFFFF"/>
        <w:spacing w:before="100" w:beforeAutospacing="1" w:after="0" w:line="240" w:lineRule="auto"/>
        <w:rPr>
          <w:rFonts w:ascii="Arial" w:eastAsia="Times New Roman" w:hAnsi="Arial" w:cs="Arial"/>
          <w:color w:val="333333"/>
          <w:sz w:val="29"/>
          <w:szCs w:val="29"/>
          <w:lang w:eastAsia="en-CA"/>
        </w:rPr>
      </w:pPr>
      <w:r w:rsidRPr="00CA0954">
        <w:rPr>
          <w:rFonts w:ascii="Arial" w:eastAsia="Times New Roman" w:hAnsi="Arial" w:cs="Arial"/>
          <w:color w:val="333333"/>
          <w:sz w:val="29"/>
          <w:szCs w:val="29"/>
          <w:lang w:eastAsia="en-CA"/>
        </w:rPr>
        <w:t>statement communicated on serious occasion</w:t>
      </w:r>
    </w:p>
    <w:p w:rsidR="00CA0954" w:rsidRPr="00CA0954" w:rsidRDefault="00CA0954" w:rsidP="00CA0954">
      <w:pPr>
        <w:numPr>
          <w:ilvl w:val="0"/>
          <w:numId w:val="12"/>
        </w:numPr>
        <w:shd w:val="clear" w:color="auto" w:fill="FFFFFF"/>
        <w:spacing w:before="100" w:beforeAutospacing="1" w:after="0" w:line="240" w:lineRule="auto"/>
        <w:rPr>
          <w:rFonts w:ascii="Arial" w:eastAsia="Times New Roman" w:hAnsi="Arial" w:cs="Arial"/>
          <w:color w:val="333333"/>
          <w:sz w:val="29"/>
          <w:szCs w:val="29"/>
          <w:lang w:eastAsia="en-CA"/>
        </w:rPr>
      </w:pPr>
      <w:r w:rsidRPr="00CA0954">
        <w:rPr>
          <w:rFonts w:ascii="Arial" w:eastAsia="Times New Roman" w:hAnsi="Arial" w:cs="Arial"/>
          <w:color w:val="333333"/>
          <w:sz w:val="29"/>
          <w:szCs w:val="29"/>
          <w:lang w:eastAsia="en-CA"/>
        </w:rPr>
        <w:t>statement made in response to inquiry</w:t>
      </w:r>
    </w:p>
    <w:p w:rsidR="00CA0954" w:rsidRPr="00CA0954" w:rsidRDefault="00CA0954" w:rsidP="00CA0954">
      <w:pPr>
        <w:numPr>
          <w:ilvl w:val="0"/>
          <w:numId w:val="12"/>
        </w:numPr>
        <w:shd w:val="clear" w:color="auto" w:fill="FFFFFF"/>
        <w:spacing w:before="100" w:beforeAutospacing="1" w:after="0" w:line="240" w:lineRule="auto"/>
        <w:rPr>
          <w:rFonts w:ascii="Arial" w:eastAsia="Times New Roman" w:hAnsi="Arial" w:cs="Arial"/>
          <w:color w:val="333333"/>
          <w:sz w:val="29"/>
          <w:szCs w:val="29"/>
          <w:lang w:eastAsia="en-CA"/>
        </w:rPr>
      </w:pPr>
      <w:r w:rsidRPr="00CA0954">
        <w:rPr>
          <w:rFonts w:ascii="Arial" w:eastAsia="Times New Roman" w:hAnsi="Arial" w:cs="Arial"/>
          <w:color w:val="333333"/>
          <w:sz w:val="29"/>
          <w:szCs w:val="29"/>
          <w:lang w:eastAsia="en-CA"/>
        </w:rPr>
        <w:t>defendant received </w:t>
      </w:r>
      <w:r w:rsidRPr="00CA0954">
        <w:rPr>
          <w:rFonts w:ascii="Arial" w:eastAsia="Times New Roman" w:hAnsi="Arial" w:cs="Arial"/>
          <w:i/>
          <w:iCs/>
          <w:color w:val="333333"/>
          <w:sz w:val="29"/>
          <w:szCs w:val="29"/>
          <w:lang w:eastAsia="en-CA"/>
        </w:rPr>
        <w:t>financial benefit</w:t>
      </w:r>
    </w:p>
    <w:p w:rsidR="00CA0954" w:rsidRPr="00CA0954" w:rsidRDefault="00CA0954" w:rsidP="00CA0954">
      <w:pPr>
        <w:numPr>
          <w:ilvl w:val="0"/>
          <w:numId w:val="12"/>
        </w:numPr>
        <w:shd w:val="clear" w:color="auto" w:fill="FFFFFF"/>
        <w:spacing w:before="100" w:beforeAutospacing="1" w:after="0" w:line="240" w:lineRule="auto"/>
        <w:rPr>
          <w:rFonts w:ascii="Arial" w:eastAsia="Times New Roman" w:hAnsi="Arial" w:cs="Arial"/>
          <w:color w:val="333333"/>
          <w:sz w:val="29"/>
          <w:szCs w:val="29"/>
          <w:lang w:eastAsia="en-CA"/>
        </w:rPr>
      </w:pPr>
      <w:r w:rsidRPr="00CA0954">
        <w:rPr>
          <w:rFonts w:ascii="Arial" w:eastAsia="Times New Roman" w:hAnsi="Arial" w:cs="Arial"/>
          <w:color w:val="333333"/>
          <w:sz w:val="29"/>
          <w:szCs w:val="29"/>
          <w:lang w:eastAsia="en-CA"/>
        </w:rPr>
        <w:t>statement of fact rather than pure opinion</w:t>
      </w:r>
    </w:p>
    <w:p w:rsidR="00CA0954" w:rsidRPr="00CA0954" w:rsidRDefault="00CA0954" w:rsidP="00CA0954">
      <w:pPr>
        <w:shd w:val="clear" w:color="auto" w:fill="FFFFFF"/>
        <w:spacing w:before="75" w:after="150" w:line="240" w:lineRule="auto"/>
        <w:rPr>
          <w:rFonts w:ascii="Arial" w:eastAsia="Times New Roman" w:hAnsi="Arial" w:cs="Arial"/>
          <w:color w:val="333333"/>
          <w:sz w:val="29"/>
          <w:szCs w:val="29"/>
          <w:lang w:eastAsia="en-CA"/>
        </w:rPr>
      </w:pPr>
      <w:r w:rsidRPr="00CA0954">
        <w:rPr>
          <w:rFonts w:ascii="Arial" w:eastAsia="Times New Roman" w:hAnsi="Arial" w:cs="Arial"/>
          <w:color w:val="333333"/>
          <w:sz w:val="29"/>
          <w:szCs w:val="29"/>
          <w:lang w:eastAsia="en-CA"/>
        </w:rPr>
        <w:t>Liability less likely if</w:t>
      </w:r>
    </w:p>
    <w:p w:rsidR="00CA0954" w:rsidRPr="00CA0954" w:rsidRDefault="00CA0954" w:rsidP="00CA0954">
      <w:pPr>
        <w:numPr>
          <w:ilvl w:val="0"/>
          <w:numId w:val="13"/>
        </w:numPr>
        <w:shd w:val="clear" w:color="auto" w:fill="FFFFFF"/>
        <w:spacing w:before="100" w:beforeAutospacing="1" w:after="0" w:line="240" w:lineRule="auto"/>
        <w:rPr>
          <w:rFonts w:ascii="Arial" w:eastAsia="Times New Roman" w:hAnsi="Arial" w:cs="Arial"/>
          <w:color w:val="333333"/>
          <w:sz w:val="29"/>
          <w:szCs w:val="29"/>
          <w:lang w:eastAsia="en-CA"/>
        </w:rPr>
      </w:pPr>
      <w:r w:rsidRPr="00CA0954">
        <w:rPr>
          <w:rFonts w:ascii="Arial" w:eastAsia="Times New Roman" w:hAnsi="Arial" w:cs="Arial"/>
          <w:color w:val="333333"/>
          <w:sz w:val="29"/>
          <w:szCs w:val="29"/>
          <w:lang w:eastAsia="en-CA"/>
        </w:rPr>
        <w:t>statement accompanied by </w:t>
      </w:r>
      <w:r w:rsidRPr="00CA0954">
        <w:rPr>
          <w:rFonts w:ascii="Arial" w:eastAsia="Times New Roman" w:hAnsi="Arial" w:cs="Arial"/>
          <w:i/>
          <w:iCs/>
          <w:color w:val="333333"/>
          <w:sz w:val="29"/>
          <w:szCs w:val="29"/>
          <w:lang w:eastAsia="en-CA"/>
        </w:rPr>
        <w:t>disclaimer</w:t>
      </w:r>
    </w:p>
    <w:p w:rsidR="00CA0954" w:rsidRPr="00CA0954" w:rsidRDefault="00CA0954" w:rsidP="00CA0954">
      <w:pPr>
        <w:shd w:val="clear" w:color="auto" w:fill="FFFFFF"/>
        <w:spacing w:before="75" w:after="150" w:line="240" w:lineRule="auto"/>
        <w:rPr>
          <w:rFonts w:ascii="Arial" w:eastAsia="Times New Roman" w:hAnsi="Arial" w:cs="Arial"/>
          <w:color w:val="333333"/>
          <w:sz w:val="29"/>
          <w:szCs w:val="29"/>
          <w:lang w:eastAsia="en-CA"/>
        </w:rPr>
      </w:pPr>
      <w:r w:rsidRPr="00CA0954">
        <w:rPr>
          <w:rFonts w:ascii="Arial" w:eastAsia="Times New Roman" w:hAnsi="Arial" w:cs="Arial"/>
          <w:b/>
          <w:bCs/>
          <w:color w:val="333333"/>
          <w:sz w:val="29"/>
          <w:szCs w:val="29"/>
          <w:lang w:eastAsia="en-CA"/>
        </w:rPr>
        <w:t>Test for duty of care</w:t>
      </w:r>
      <w:r w:rsidRPr="00CA0954">
        <w:rPr>
          <w:rFonts w:ascii="Arial" w:eastAsia="Times New Roman" w:hAnsi="Arial" w:cs="Arial"/>
          <w:color w:val="333333"/>
          <w:sz w:val="29"/>
          <w:szCs w:val="29"/>
          <w:lang w:eastAsia="en-CA"/>
        </w:rPr>
        <w:t> (</w:t>
      </w:r>
      <w:r w:rsidRPr="00CA0954">
        <w:rPr>
          <w:rFonts w:ascii="Arial" w:eastAsia="Times New Roman" w:hAnsi="Arial" w:cs="Arial"/>
          <w:i/>
          <w:iCs/>
          <w:color w:val="333333"/>
          <w:sz w:val="29"/>
          <w:szCs w:val="29"/>
          <w:lang w:eastAsia="en-CA"/>
        </w:rPr>
        <w:t>Hercules Management Ltd v Ernst &amp; Young):</w:t>
      </w:r>
    </w:p>
    <w:p w:rsidR="00CA0954" w:rsidRPr="00CA0954" w:rsidRDefault="00CA0954" w:rsidP="00CA0954">
      <w:pPr>
        <w:numPr>
          <w:ilvl w:val="0"/>
          <w:numId w:val="14"/>
        </w:numPr>
        <w:shd w:val="clear" w:color="auto" w:fill="FFFFFF"/>
        <w:spacing w:before="100" w:beforeAutospacing="1" w:after="0" w:line="240" w:lineRule="auto"/>
        <w:rPr>
          <w:rFonts w:ascii="Arial" w:eastAsia="Times New Roman" w:hAnsi="Arial" w:cs="Arial"/>
          <w:color w:val="333333"/>
          <w:sz w:val="29"/>
          <w:szCs w:val="29"/>
          <w:lang w:eastAsia="en-CA"/>
        </w:rPr>
      </w:pPr>
      <w:r w:rsidRPr="00CA0954">
        <w:rPr>
          <w:rFonts w:ascii="Arial" w:eastAsia="Times New Roman" w:hAnsi="Arial" w:cs="Arial"/>
          <w:color w:val="333333"/>
          <w:sz w:val="29"/>
          <w:szCs w:val="29"/>
          <w:lang w:eastAsia="en-CA"/>
        </w:rPr>
        <w:t>reasonable foreseeability of reliance</w:t>
      </w:r>
    </w:p>
    <w:p w:rsidR="00CA0954" w:rsidRPr="00CA0954" w:rsidRDefault="00CA0954" w:rsidP="00CA0954">
      <w:pPr>
        <w:numPr>
          <w:ilvl w:val="1"/>
          <w:numId w:val="14"/>
        </w:numPr>
        <w:shd w:val="clear" w:color="auto" w:fill="FFFFFF"/>
        <w:spacing w:before="100" w:beforeAutospacing="1" w:after="0" w:line="240" w:lineRule="auto"/>
        <w:rPr>
          <w:rFonts w:ascii="Arial" w:eastAsia="Times New Roman" w:hAnsi="Arial" w:cs="Arial"/>
          <w:color w:val="333333"/>
          <w:sz w:val="29"/>
          <w:szCs w:val="29"/>
          <w:lang w:eastAsia="en-CA"/>
        </w:rPr>
      </w:pPr>
      <w:r w:rsidRPr="00CA0954">
        <w:rPr>
          <w:rFonts w:ascii="Arial" w:eastAsia="Times New Roman" w:hAnsi="Arial" w:cs="Arial"/>
          <w:color w:val="333333"/>
          <w:sz w:val="29"/>
          <w:szCs w:val="29"/>
          <w:lang w:eastAsia="en-CA"/>
        </w:rPr>
        <w:t>foreseeability of individual plaintiff</w:t>
      </w:r>
    </w:p>
    <w:p w:rsidR="00CA0954" w:rsidRPr="00CA0954" w:rsidRDefault="00CA0954" w:rsidP="00CA0954">
      <w:pPr>
        <w:numPr>
          <w:ilvl w:val="1"/>
          <w:numId w:val="14"/>
        </w:numPr>
        <w:shd w:val="clear" w:color="auto" w:fill="FFFFFF"/>
        <w:spacing w:before="100" w:beforeAutospacing="1" w:after="0" w:line="240" w:lineRule="auto"/>
        <w:rPr>
          <w:rFonts w:ascii="Arial" w:eastAsia="Times New Roman" w:hAnsi="Arial" w:cs="Arial"/>
          <w:color w:val="333333"/>
          <w:sz w:val="29"/>
          <w:szCs w:val="29"/>
          <w:lang w:eastAsia="en-CA"/>
        </w:rPr>
      </w:pPr>
      <w:r w:rsidRPr="00CA0954">
        <w:rPr>
          <w:rFonts w:ascii="Arial" w:eastAsia="Times New Roman" w:hAnsi="Arial" w:cs="Arial"/>
          <w:color w:val="333333"/>
          <w:sz w:val="29"/>
          <w:szCs w:val="29"/>
          <w:lang w:eastAsia="en-CA"/>
        </w:rPr>
        <w:t>foreseeability of defined group including plaintiff</w:t>
      </w:r>
    </w:p>
    <w:p w:rsidR="00CA0954" w:rsidRPr="00CA0954" w:rsidRDefault="00CA0954" w:rsidP="00CA0954">
      <w:pPr>
        <w:numPr>
          <w:ilvl w:val="0"/>
          <w:numId w:val="14"/>
        </w:numPr>
        <w:shd w:val="clear" w:color="auto" w:fill="FFFFFF"/>
        <w:spacing w:before="100" w:beforeAutospacing="1" w:after="0" w:line="240" w:lineRule="auto"/>
        <w:rPr>
          <w:rFonts w:ascii="Arial" w:eastAsia="Times New Roman" w:hAnsi="Arial" w:cs="Arial"/>
          <w:color w:val="333333"/>
          <w:sz w:val="29"/>
          <w:szCs w:val="29"/>
          <w:lang w:eastAsia="en-CA"/>
        </w:rPr>
      </w:pPr>
      <w:r w:rsidRPr="00CA0954">
        <w:rPr>
          <w:rFonts w:ascii="Arial" w:eastAsia="Times New Roman" w:hAnsi="Arial" w:cs="Arial"/>
          <w:color w:val="333333"/>
          <w:sz w:val="29"/>
          <w:szCs w:val="29"/>
          <w:lang w:eastAsia="en-CA"/>
        </w:rPr>
        <w:t>reasonable reliance </w:t>
      </w:r>
      <w:r w:rsidRPr="00CA0954">
        <w:rPr>
          <w:rFonts w:ascii="Arial" w:eastAsia="Times New Roman" w:hAnsi="Arial" w:cs="Arial"/>
          <w:b/>
          <w:bCs/>
          <w:color w:val="333333"/>
          <w:sz w:val="29"/>
          <w:szCs w:val="29"/>
          <w:lang w:eastAsia="en-CA"/>
        </w:rPr>
        <w:t>for intended purpose</w:t>
      </w:r>
    </w:p>
    <w:p w:rsidR="00CA0954" w:rsidRDefault="00CA0954" w:rsidP="00334297">
      <w:pPr>
        <w:pStyle w:val="NormalWeb"/>
        <w:shd w:val="clear" w:color="auto" w:fill="FFFFFF"/>
        <w:spacing w:before="75" w:beforeAutospacing="0" w:after="150" w:afterAutospacing="0"/>
        <w:rPr>
          <w:rFonts w:ascii="Arial" w:hAnsi="Arial" w:cs="Arial"/>
          <w:color w:val="333333"/>
          <w:sz w:val="29"/>
          <w:szCs w:val="29"/>
        </w:rPr>
      </w:pPr>
    </w:p>
    <w:p w:rsidR="008E5A71" w:rsidRDefault="008E5A71" w:rsidP="00334297">
      <w:pPr>
        <w:pStyle w:val="NormalWeb"/>
        <w:shd w:val="clear" w:color="auto" w:fill="FFFFFF"/>
        <w:spacing w:before="75" w:beforeAutospacing="0" w:after="150" w:afterAutospacing="0"/>
        <w:rPr>
          <w:rFonts w:ascii="Arial" w:hAnsi="Arial" w:cs="Arial"/>
          <w:color w:val="333333"/>
          <w:sz w:val="29"/>
          <w:szCs w:val="29"/>
        </w:rPr>
      </w:pPr>
    </w:p>
    <w:p w:rsidR="008E5A71" w:rsidRDefault="008E5A71" w:rsidP="00334297">
      <w:pPr>
        <w:pStyle w:val="NormalWeb"/>
        <w:shd w:val="clear" w:color="auto" w:fill="FFFFFF"/>
        <w:spacing w:before="75" w:beforeAutospacing="0" w:after="150" w:afterAutospacing="0"/>
        <w:rPr>
          <w:rFonts w:ascii="Arial" w:hAnsi="Arial" w:cs="Arial"/>
          <w:color w:val="333333"/>
          <w:sz w:val="29"/>
          <w:szCs w:val="29"/>
        </w:rPr>
      </w:pPr>
    </w:p>
    <w:p w:rsidR="008E5A71" w:rsidRDefault="008E5A71" w:rsidP="00334297">
      <w:pPr>
        <w:pStyle w:val="NormalWeb"/>
        <w:shd w:val="clear" w:color="auto" w:fill="FFFFFF"/>
        <w:spacing w:before="75" w:beforeAutospacing="0" w:after="150" w:afterAutospacing="0"/>
        <w:rPr>
          <w:rFonts w:ascii="Arial" w:hAnsi="Arial" w:cs="Arial"/>
          <w:color w:val="333333"/>
          <w:sz w:val="29"/>
          <w:szCs w:val="29"/>
        </w:rPr>
      </w:pPr>
    </w:p>
    <w:p w:rsidR="008E5A71" w:rsidRDefault="008E5A71" w:rsidP="00334297">
      <w:pPr>
        <w:pStyle w:val="NormalWeb"/>
        <w:shd w:val="clear" w:color="auto" w:fill="FFFFFF"/>
        <w:spacing w:before="75" w:beforeAutospacing="0" w:after="150" w:afterAutospacing="0"/>
        <w:rPr>
          <w:rFonts w:ascii="Arial" w:hAnsi="Arial" w:cs="Arial"/>
          <w:color w:val="333333"/>
          <w:sz w:val="29"/>
          <w:szCs w:val="29"/>
        </w:rPr>
      </w:pPr>
    </w:p>
    <w:p w:rsidR="008E5A71" w:rsidRDefault="008E5A71" w:rsidP="00334297">
      <w:pPr>
        <w:pStyle w:val="NormalWeb"/>
        <w:shd w:val="clear" w:color="auto" w:fill="FFFFFF"/>
        <w:spacing w:before="75" w:beforeAutospacing="0" w:after="150" w:afterAutospacing="0"/>
        <w:rPr>
          <w:rFonts w:ascii="Arial" w:hAnsi="Arial" w:cs="Arial"/>
          <w:color w:val="333333"/>
          <w:sz w:val="29"/>
          <w:szCs w:val="29"/>
        </w:rPr>
      </w:pPr>
    </w:p>
    <w:p w:rsidR="008E5A71" w:rsidRDefault="008E5A71" w:rsidP="00334297">
      <w:pPr>
        <w:pStyle w:val="NormalWeb"/>
        <w:shd w:val="clear" w:color="auto" w:fill="FFFFFF"/>
        <w:spacing w:before="75" w:beforeAutospacing="0" w:after="150" w:afterAutospacing="0"/>
        <w:rPr>
          <w:rFonts w:ascii="Arial" w:hAnsi="Arial" w:cs="Arial"/>
          <w:color w:val="333333"/>
          <w:sz w:val="29"/>
          <w:szCs w:val="29"/>
        </w:rPr>
      </w:pPr>
    </w:p>
    <w:p w:rsidR="008E5A71" w:rsidRDefault="008E5A71" w:rsidP="00334297">
      <w:pPr>
        <w:pStyle w:val="NormalWeb"/>
        <w:shd w:val="clear" w:color="auto" w:fill="FFFFFF"/>
        <w:spacing w:before="75" w:beforeAutospacing="0" w:after="150" w:afterAutospacing="0"/>
        <w:rPr>
          <w:rFonts w:ascii="Arial" w:hAnsi="Arial" w:cs="Arial"/>
          <w:color w:val="333333"/>
          <w:sz w:val="29"/>
          <w:szCs w:val="29"/>
        </w:rPr>
      </w:pPr>
    </w:p>
    <w:p w:rsidR="008E5A71" w:rsidRDefault="008E5A71" w:rsidP="00334297">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 xml:space="preserve">Module 6 </w:t>
      </w:r>
    </w:p>
    <w:p w:rsidR="008E5A71" w:rsidRDefault="008E5A71" w:rsidP="008E5A71">
      <w:pPr>
        <w:pStyle w:val="Heading1"/>
        <w:shd w:val="clear" w:color="auto" w:fill="FFFFFF"/>
        <w:spacing w:before="75" w:after="150" w:line="749" w:lineRule="atLeast"/>
        <w:rPr>
          <w:color w:val="333333"/>
        </w:rPr>
      </w:pPr>
      <w:r>
        <w:rPr>
          <w:color w:val="333333"/>
        </w:rPr>
        <w:t>Assignments</w:t>
      </w:r>
    </w:p>
    <w:p w:rsidR="008E5A71" w:rsidRDefault="008E5A71" w:rsidP="008E5A71">
      <w:pPr>
        <w:pStyle w:val="Heading2"/>
        <w:shd w:val="clear" w:color="auto" w:fill="FFFFFF"/>
        <w:spacing w:before="75" w:beforeAutospacing="0" w:after="150" w:afterAutospacing="0" w:line="636" w:lineRule="atLeast"/>
        <w:rPr>
          <w:color w:val="664433"/>
          <w:sz w:val="41"/>
          <w:szCs w:val="41"/>
        </w:rPr>
      </w:pPr>
      <w:r>
        <w:rPr>
          <w:color w:val="664433"/>
          <w:sz w:val="41"/>
          <w:szCs w:val="41"/>
        </w:rPr>
        <w:t>Defining Assignment</w:t>
      </w:r>
    </w:p>
    <w:p w:rsidR="008E5A71" w:rsidRDefault="008E5A71" w:rsidP="008E5A71">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An assignment is</w:t>
      </w:r>
      <w:r>
        <w:rPr>
          <w:rStyle w:val="apple-converted-space"/>
          <w:rFonts w:ascii="Arial" w:hAnsi="Arial" w:cs="Arial"/>
          <w:color w:val="333333"/>
          <w:sz w:val="29"/>
          <w:szCs w:val="29"/>
        </w:rPr>
        <w:t> </w:t>
      </w:r>
      <w:r>
        <w:rPr>
          <w:rFonts w:ascii="Arial" w:hAnsi="Arial" w:cs="Arial"/>
          <w:b/>
          <w:bCs/>
          <w:color w:val="333333"/>
          <w:sz w:val="29"/>
          <w:szCs w:val="29"/>
        </w:rPr>
        <w:t>a process of transferring rights</w:t>
      </w:r>
      <w:r>
        <w:rPr>
          <w:rFonts w:ascii="Arial" w:hAnsi="Arial" w:cs="Arial"/>
          <w:color w:val="333333"/>
          <w:sz w:val="29"/>
          <w:szCs w:val="29"/>
        </w:rPr>
        <w:t>.</w:t>
      </w:r>
    </w:p>
    <w:p w:rsidR="008E5A71" w:rsidRDefault="008E5A71" w:rsidP="008E5A71">
      <w:pPr>
        <w:numPr>
          <w:ilvl w:val="0"/>
          <w:numId w:val="15"/>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parties to assignment</w:t>
      </w:r>
    </w:p>
    <w:p w:rsidR="008E5A71" w:rsidRDefault="008E5A71" w:rsidP="008E5A71">
      <w:pPr>
        <w:numPr>
          <w:ilvl w:val="1"/>
          <w:numId w:val="15"/>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assignor = party transferring rights</w:t>
      </w:r>
    </w:p>
    <w:p w:rsidR="008E5A71" w:rsidRDefault="008E5A71" w:rsidP="008E5A71">
      <w:pPr>
        <w:numPr>
          <w:ilvl w:val="1"/>
          <w:numId w:val="15"/>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assignee = party receiving rights</w:t>
      </w:r>
    </w:p>
    <w:p w:rsidR="008E5A71" w:rsidRDefault="008E5A71" w:rsidP="008E5A71">
      <w:pPr>
        <w:numPr>
          <w:ilvl w:val="1"/>
          <w:numId w:val="15"/>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debtor = party owing obligation</w:t>
      </w:r>
    </w:p>
    <w:p w:rsidR="008E5A71" w:rsidRDefault="008E5A71" w:rsidP="008E5A71">
      <w:pPr>
        <w:numPr>
          <w:ilvl w:val="0"/>
          <w:numId w:val="15"/>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forms of assignment</w:t>
      </w:r>
    </w:p>
    <w:p w:rsidR="008E5A71" w:rsidRDefault="008E5A71" w:rsidP="008E5A71">
      <w:pPr>
        <w:numPr>
          <w:ilvl w:val="1"/>
          <w:numId w:val="15"/>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equitable assignment</w:t>
      </w:r>
    </w:p>
    <w:p w:rsidR="008E5A71" w:rsidRDefault="008E5A71" w:rsidP="008E5A71">
      <w:pPr>
        <w:numPr>
          <w:ilvl w:val="1"/>
          <w:numId w:val="15"/>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statutory assignment</w:t>
      </w:r>
    </w:p>
    <w:p w:rsidR="008E5A71" w:rsidRDefault="008E5A71" w:rsidP="008E5A71">
      <w:pPr>
        <w:numPr>
          <w:ilvl w:val="1"/>
          <w:numId w:val="15"/>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assignment by operation of law</w:t>
      </w:r>
    </w:p>
    <w:p w:rsidR="008E5A71" w:rsidRDefault="008E5A71" w:rsidP="008E5A71">
      <w:pPr>
        <w:pStyle w:val="Heading2"/>
        <w:shd w:val="clear" w:color="auto" w:fill="FFFFFF"/>
        <w:spacing w:before="75" w:beforeAutospacing="0" w:after="150" w:afterAutospacing="0" w:line="636" w:lineRule="atLeast"/>
        <w:rPr>
          <w:color w:val="664433"/>
          <w:sz w:val="41"/>
          <w:szCs w:val="41"/>
        </w:rPr>
      </w:pPr>
      <w:r>
        <w:rPr>
          <w:color w:val="664433"/>
          <w:sz w:val="41"/>
          <w:szCs w:val="41"/>
        </w:rPr>
        <w:t>Equitable Assignment</w:t>
      </w:r>
    </w:p>
    <w:p w:rsidR="008E5A71" w:rsidRDefault="008E5A71" w:rsidP="008E5A71">
      <w:pPr>
        <w:pStyle w:val="NormalWeb"/>
        <w:shd w:val="clear" w:color="auto" w:fill="FFFFFF"/>
        <w:spacing w:before="75" w:beforeAutospacing="0" w:after="150" w:afterAutospacing="0"/>
        <w:rPr>
          <w:rFonts w:ascii="Arial" w:hAnsi="Arial" w:cs="Arial"/>
          <w:color w:val="333333"/>
          <w:sz w:val="29"/>
          <w:szCs w:val="29"/>
        </w:rPr>
      </w:pPr>
      <w:proofErr w:type="gramStart"/>
      <w:r>
        <w:rPr>
          <w:rFonts w:ascii="Arial" w:hAnsi="Arial" w:cs="Arial"/>
          <w:color w:val="333333"/>
          <w:sz w:val="29"/>
          <w:szCs w:val="29"/>
        </w:rPr>
        <w:t>A</w:t>
      </w:r>
      <w:proofErr w:type="gramEnd"/>
      <w:r>
        <w:rPr>
          <w:rFonts w:ascii="Arial" w:hAnsi="Arial" w:cs="Arial"/>
          <w:color w:val="333333"/>
          <w:sz w:val="29"/>
          <w:szCs w:val="29"/>
        </w:rPr>
        <w:t xml:space="preserve"> equitable assignment is enforced by equity</w:t>
      </w:r>
    </w:p>
    <w:p w:rsidR="008E5A71" w:rsidRDefault="008E5A71" w:rsidP="008E5A71">
      <w:pPr>
        <w:numPr>
          <w:ilvl w:val="0"/>
          <w:numId w:val="16"/>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requirements for equitable assignment</w:t>
      </w:r>
    </w:p>
    <w:p w:rsidR="008E5A71" w:rsidRDefault="008E5A71" w:rsidP="008E5A71">
      <w:pPr>
        <w:numPr>
          <w:ilvl w:val="1"/>
          <w:numId w:val="16"/>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oral or written</w:t>
      </w:r>
    </w:p>
    <w:p w:rsidR="008E5A71" w:rsidRDefault="008E5A71" w:rsidP="008E5A71">
      <w:pPr>
        <w:numPr>
          <w:ilvl w:val="2"/>
          <w:numId w:val="16"/>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but it would be better to write for risk management</w:t>
      </w:r>
    </w:p>
    <w:p w:rsidR="008E5A71" w:rsidRDefault="008E5A71" w:rsidP="008E5A71">
      <w:pPr>
        <w:numPr>
          <w:ilvl w:val="1"/>
          <w:numId w:val="16"/>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with or without notice to debtor</w:t>
      </w:r>
    </w:p>
    <w:p w:rsidR="008E5A71" w:rsidRDefault="008E5A71" w:rsidP="008E5A71">
      <w:pPr>
        <w:numPr>
          <w:ilvl w:val="2"/>
          <w:numId w:val="16"/>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but it would be better to give notice for risk management</w:t>
      </w:r>
    </w:p>
    <w:p w:rsidR="008E5A71" w:rsidRDefault="008E5A71" w:rsidP="008E5A71">
      <w:pPr>
        <w:numPr>
          <w:ilvl w:val="2"/>
          <w:numId w:val="16"/>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same contract: all claims regardless of notice</w:t>
      </w:r>
    </w:p>
    <w:p w:rsidR="008E5A71" w:rsidRDefault="008E5A71" w:rsidP="008E5A71">
      <w:pPr>
        <w:numPr>
          <w:ilvl w:val="0"/>
          <w:numId w:val="16"/>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taking subject to the equities</w:t>
      </w:r>
    </w:p>
    <w:p w:rsidR="008E5A71" w:rsidRDefault="008E5A71" w:rsidP="008E5A71">
      <w:pPr>
        <w:numPr>
          <w:ilvl w:val="1"/>
          <w:numId w:val="16"/>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assignee and assignor subject to debtor’s claims</w:t>
      </w:r>
    </w:p>
    <w:p w:rsidR="008E5A71" w:rsidRDefault="008E5A71" w:rsidP="008E5A71">
      <w:pPr>
        <w:numPr>
          <w:ilvl w:val="1"/>
          <w:numId w:val="16"/>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different contract: only claims arising before notice</w:t>
      </w:r>
    </w:p>
    <w:p w:rsidR="008E5A71" w:rsidRDefault="008E5A71" w:rsidP="008E5A71">
      <w:pPr>
        <w:pStyle w:val="Heading6"/>
        <w:shd w:val="clear" w:color="auto" w:fill="FFFFFF"/>
        <w:spacing w:before="75" w:after="150" w:line="412" w:lineRule="atLeast"/>
        <w:rPr>
          <w:rFonts w:ascii="Times New Roman" w:hAnsi="Times New Roman" w:cs="Times New Roman"/>
          <w:color w:val="333333"/>
          <w:sz w:val="32"/>
          <w:szCs w:val="32"/>
        </w:rPr>
      </w:pPr>
      <w:r>
        <w:rPr>
          <w:color w:val="333333"/>
          <w:sz w:val="32"/>
          <w:szCs w:val="32"/>
        </w:rPr>
        <w:t>Case Study</w:t>
      </w:r>
    </w:p>
    <w:p w:rsidR="008E5A71" w:rsidRDefault="008E5A71" w:rsidP="008E5A71">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Have a look at Business Decisions 8.1 and 8.2 on page 197 and answer the questions there.</w:t>
      </w:r>
    </w:p>
    <w:p w:rsidR="008E5A71" w:rsidRDefault="008E5A71" w:rsidP="008E5A71">
      <w:pPr>
        <w:pStyle w:val="Heading6"/>
        <w:shd w:val="clear" w:color="auto" w:fill="FFFFFF"/>
        <w:spacing w:before="75" w:after="150" w:line="412" w:lineRule="atLeast"/>
        <w:rPr>
          <w:rFonts w:ascii="Times New Roman" w:hAnsi="Times New Roman" w:cs="Times New Roman"/>
          <w:color w:val="333333"/>
          <w:sz w:val="32"/>
          <w:szCs w:val="32"/>
        </w:rPr>
      </w:pPr>
      <w:r>
        <w:rPr>
          <w:color w:val="333333"/>
          <w:sz w:val="32"/>
          <w:szCs w:val="32"/>
        </w:rPr>
        <w:lastRenderedPageBreak/>
        <w:t>Pause and Reflect</w:t>
      </w:r>
    </w:p>
    <w:p w:rsidR="008E5A71" w:rsidRDefault="008E5A71" w:rsidP="008E5A71">
      <w:pPr>
        <w:pStyle w:val="Heading3"/>
        <w:shd w:val="clear" w:color="auto" w:fill="FFFFFF"/>
        <w:spacing w:before="75" w:after="150" w:line="562" w:lineRule="atLeast"/>
        <w:rPr>
          <w:color w:val="885522"/>
          <w:sz w:val="44"/>
          <w:szCs w:val="44"/>
        </w:rPr>
      </w:pPr>
      <w:r>
        <w:rPr>
          <w:color w:val="885522"/>
          <w:sz w:val="44"/>
          <w:szCs w:val="44"/>
        </w:rPr>
        <w:t>Check Your Answer</w:t>
      </w:r>
    </w:p>
    <w:p w:rsidR="008E5A71" w:rsidRDefault="008E5A71" w:rsidP="008E5A71">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An assignment is subject to the equities. That means that the debtor can generally use against the assignee the same defences and counterclaims that it could use against the assignor.</w:t>
      </w:r>
    </w:p>
    <w:p w:rsidR="008E5A71" w:rsidRDefault="008E5A71" w:rsidP="008E5A71">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In the first case (8.1), a defence or counterclaim arises out of the same transaction that was the subject of the assignment. In such cases, the debtor can use the defence or counterclaim regardless of whether or not it arose before the assignee notified the debtor of the assignment. Consequently, Ahmad will only be liable to pay $20,000. Although he is indebted under the contract for $60,000, he enjoys a $40,000 counterclaim that arose under the same contract as a result of Stetson’s shoddy performance.</w:t>
      </w:r>
    </w:p>
    <w:p w:rsidR="008E5A71" w:rsidRDefault="008E5A71" w:rsidP="008E5A71">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In the second case (8.2), the defence or counterclaim in question did not arise in connection with the same transaction that is the subject of the assignment, but rather in connection with a separate transaction. In that situation, the debtor can use the defence or counterclaim against the assignee only if the defence or counterclaim arose before the assignee provided the debtor with notice of the assignment.</w:t>
      </w:r>
    </w:p>
    <w:p w:rsidR="008E5A71" w:rsidRDefault="008E5A71" w:rsidP="008E5A71">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Consequently, if the assignee gave notice to White (the debtor) before Citron (the assignor) became indebted to White for the receipt of the paper products, you would be entitled to demand the full $7,000 from White. White would not be entitled to off-set the $5,000 rights that is subsequently acquired against Citron as a result of the paper product transaction.</w:t>
      </w:r>
    </w:p>
    <w:p w:rsidR="008E5A71" w:rsidRDefault="008E5A71" w:rsidP="008E5A71">
      <w:pPr>
        <w:pStyle w:val="Heading2"/>
        <w:shd w:val="clear" w:color="auto" w:fill="FFFFFF"/>
        <w:spacing w:before="75" w:beforeAutospacing="0" w:after="150" w:afterAutospacing="0" w:line="636" w:lineRule="atLeast"/>
        <w:rPr>
          <w:color w:val="664433"/>
          <w:sz w:val="41"/>
          <w:szCs w:val="41"/>
        </w:rPr>
      </w:pPr>
      <w:r>
        <w:rPr>
          <w:color w:val="664433"/>
          <w:sz w:val="41"/>
          <w:szCs w:val="41"/>
        </w:rPr>
        <w:t>Statutory Assignment</w:t>
      </w:r>
    </w:p>
    <w:p w:rsidR="008E5A71" w:rsidRDefault="008E5A71" w:rsidP="008E5A71">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A statutory assignment is created under statute.</w:t>
      </w:r>
    </w:p>
    <w:p w:rsidR="008E5A71" w:rsidRDefault="008E5A71" w:rsidP="008E5A71">
      <w:pPr>
        <w:numPr>
          <w:ilvl w:val="0"/>
          <w:numId w:val="17"/>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requirements for statutory assignment</w:t>
      </w:r>
    </w:p>
    <w:p w:rsidR="008E5A71" w:rsidRDefault="008E5A71" w:rsidP="008E5A71">
      <w:pPr>
        <w:numPr>
          <w:ilvl w:val="1"/>
          <w:numId w:val="17"/>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must be written</w:t>
      </w:r>
    </w:p>
    <w:p w:rsidR="008E5A71" w:rsidRDefault="008E5A71" w:rsidP="008E5A71">
      <w:pPr>
        <w:numPr>
          <w:ilvl w:val="1"/>
          <w:numId w:val="17"/>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must provide debtor with written notice</w:t>
      </w:r>
    </w:p>
    <w:p w:rsidR="008E5A71" w:rsidRDefault="008E5A71" w:rsidP="008E5A71">
      <w:pPr>
        <w:numPr>
          <w:ilvl w:val="1"/>
          <w:numId w:val="17"/>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must be absolute</w:t>
      </w:r>
    </w:p>
    <w:p w:rsidR="008E5A71" w:rsidRDefault="008E5A71" w:rsidP="008E5A71">
      <w:pPr>
        <w:numPr>
          <w:ilvl w:val="2"/>
          <w:numId w:val="17"/>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unconditional: not dependent upon future event</w:t>
      </w:r>
    </w:p>
    <w:p w:rsidR="008E5A71" w:rsidRDefault="008E5A71" w:rsidP="008E5A71">
      <w:pPr>
        <w:numPr>
          <w:ilvl w:val="2"/>
          <w:numId w:val="17"/>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complete: all of existing debt</w:t>
      </w:r>
    </w:p>
    <w:p w:rsidR="008E5A71" w:rsidRDefault="008E5A71" w:rsidP="008E5A71">
      <w:pPr>
        <w:numPr>
          <w:ilvl w:val="0"/>
          <w:numId w:val="17"/>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lastRenderedPageBreak/>
        <w:t>if requirements not met – the assignment may still be valid as equitable assignment</w:t>
      </w:r>
    </w:p>
    <w:p w:rsidR="008E5A71" w:rsidRDefault="008E5A71" w:rsidP="008E5A71">
      <w:pPr>
        <w:pStyle w:val="Heading2"/>
        <w:shd w:val="clear" w:color="auto" w:fill="FFFFFF"/>
        <w:spacing w:before="75" w:beforeAutospacing="0" w:after="150" w:afterAutospacing="0" w:line="636" w:lineRule="atLeast"/>
        <w:rPr>
          <w:color w:val="664433"/>
          <w:sz w:val="41"/>
          <w:szCs w:val="41"/>
        </w:rPr>
      </w:pPr>
      <w:r>
        <w:rPr>
          <w:color w:val="664433"/>
          <w:sz w:val="41"/>
          <w:szCs w:val="41"/>
        </w:rPr>
        <w:t>Assignment by Operation of Law</w:t>
      </w:r>
    </w:p>
    <w:p w:rsidR="008E5A71" w:rsidRDefault="008E5A71" w:rsidP="008E5A71">
      <w:pPr>
        <w:numPr>
          <w:ilvl w:val="0"/>
          <w:numId w:val="18"/>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most assignments arise from intention</w:t>
      </w:r>
    </w:p>
    <w:p w:rsidR="008E5A71" w:rsidRDefault="008E5A71" w:rsidP="008E5A71">
      <w:pPr>
        <w:numPr>
          <w:ilvl w:val="0"/>
          <w:numId w:val="18"/>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some assignments arise by operation of law</w:t>
      </w:r>
    </w:p>
    <w:p w:rsidR="008E5A71" w:rsidRDefault="008E5A71" w:rsidP="008E5A71">
      <w:pPr>
        <w:numPr>
          <w:ilvl w:val="1"/>
          <w:numId w:val="18"/>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bankruptcy: assignment to trustee in bankruptcy</w:t>
      </w:r>
    </w:p>
    <w:p w:rsidR="008E5A71" w:rsidRDefault="008E5A71" w:rsidP="008E5A71">
      <w:pPr>
        <w:numPr>
          <w:ilvl w:val="1"/>
          <w:numId w:val="18"/>
        </w:numPr>
        <w:shd w:val="clear" w:color="auto" w:fill="FFFFFF"/>
        <w:spacing w:before="100" w:beforeAutospacing="1" w:after="0" w:line="240" w:lineRule="auto"/>
        <w:rPr>
          <w:rFonts w:ascii="Arial" w:hAnsi="Arial" w:cs="Arial"/>
          <w:color w:val="333333"/>
          <w:sz w:val="29"/>
          <w:szCs w:val="29"/>
        </w:rPr>
      </w:pPr>
      <w:r>
        <w:rPr>
          <w:rFonts w:ascii="Arial" w:hAnsi="Arial" w:cs="Arial"/>
          <w:color w:val="333333"/>
          <w:sz w:val="29"/>
          <w:szCs w:val="29"/>
        </w:rPr>
        <w:t>death: assignment to personal representative</w:t>
      </w:r>
    </w:p>
    <w:p w:rsidR="008E5A71" w:rsidRDefault="008E5A71" w:rsidP="00334297">
      <w:pPr>
        <w:pStyle w:val="NormalWeb"/>
        <w:shd w:val="clear" w:color="auto" w:fill="FFFFFF"/>
        <w:spacing w:before="75" w:beforeAutospacing="0" w:after="150" w:afterAutospacing="0"/>
        <w:rPr>
          <w:rFonts w:ascii="Arial" w:hAnsi="Arial" w:cs="Arial"/>
          <w:color w:val="333333"/>
          <w:sz w:val="29"/>
          <w:szCs w:val="29"/>
        </w:rPr>
      </w:pPr>
    </w:p>
    <w:p w:rsidR="005A3C8F" w:rsidRDefault="005A3C8F" w:rsidP="00334297">
      <w:pPr>
        <w:pStyle w:val="NormalWeb"/>
        <w:shd w:val="clear" w:color="auto" w:fill="FFFFFF"/>
        <w:spacing w:before="75" w:beforeAutospacing="0" w:after="150" w:afterAutospacing="0"/>
        <w:rPr>
          <w:rFonts w:ascii="Arial" w:hAnsi="Arial" w:cs="Arial"/>
          <w:color w:val="333333"/>
          <w:sz w:val="29"/>
          <w:szCs w:val="29"/>
        </w:rPr>
      </w:pPr>
    </w:p>
    <w:p w:rsidR="005A3C8F" w:rsidRDefault="005A3C8F" w:rsidP="00334297">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WEEK 7</w:t>
      </w:r>
    </w:p>
    <w:p w:rsidR="005A3C8F" w:rsidRPr="005A3C8F" w:rsidRDefault="005A3C8F" w:rsidP="005A3C8F">
      <w:pPr>
        <w:shd w:val="clear" w:color="auto" w:fill="FFFFFF"/>
        <w:spacing w:before="75" w:after="150" w:line="636" w:lineRule="atLeast"/>
        <w:outlineLvl w:val="1"/>
        <w:rPr>
          <w:rFonts w:ascii="Times New Roman" w:eastAsia="Times New Roman" w:hAnsi="Times New Roman" w:cs="Times New Roman"/>
          <w:b/>
          <w:bCs/>
          <w:color w:val="664433"/>
          <w:sz w:val="41"/>
          <w:szCs w:val="41"/>
          <w:lang w:eastAsia="en-CA"/>
        </w:rPr>
      </w:pPr>
      <w:r w:rsidRPr="005A3C8F">
        <w:rPr>
          <w:rFonts w:ascii="Times New Roman" w:eastAsia="Times New Roman" w:hAnsi="Times New Roman" w:cs="Times New Roman"/>
          <w:b/>
          <w:bCs/>
          <w:color w:val="664433"/>
          <w:sz w:val="41"/>
          <w:szCs w:val="41"/>
          <w:lang w:eastAsia="en-CA"/>
        </w:rPr>
        <w:t>Silence as Misrepresentation</w:t>
      </w:r>
    </w:p>
    <w:p w:rsidR="005A3C8F" w:rsidRPr="005A3C8F" w:rsidRDefault="005A3C8F" w:rsidP="005A3C8F">
      <w:pPr>
        <w:shd w:val="clear" w:color="auto" w:fill="FFFFFF"/>
        <w:spacing w:before="75" w:after="150" w:line="240" w:lineRule="auto"/>
        <w:rPr>
          <w:rFonts w:ascii="Arial" w:eastAsia="Times New Roman" w:hAnsi="Arial" w:cs="Arial"/>
          <w:color w:val="333333"/>
          <w:sz w:val="29"/>
          <w:szCs w:val="29"/>
          <w:lang w:eastAsia="en-CA"/>
        </w:rPr>
      </w:pPr>
      <w:r w:rsidRPr="005A3C8F">
        <w:rPr>
          <w:rFonts w:ascii="Arial" w:eastAsia="Times New Roman" w:hAnsi="Arial" w:cs="Arial"/>
          <w:color w:val="333333"/>
          <w:sz w:val="29"/>
          <w:szCs w:val="29"/>
          <w:lang w:eastAsia="en-CA"/>
        </w:rPr>
        <w:t>Silence cannot be misrepresentation – unless:</w:t>
      </w:r>
    </w:p>
    <w:p w:rsidR="005A3C8F" w:rsidRPr="005A3C8F" w:rsidRDefault="005A3C8F" w:rsidP="005A3C8F">
      <w:pPr>
        <w:numPr>
          <w:ilvl w:val="0"/>
          <w:numId w:val="19"/>
        </w:numPr>
        <w:shd w:val="clear" w:color="auto" w:fill="FFFFFF"/>
        <w:spacing w:before="100" w:beforeAutospacing="1" w:after="0" w:line="240" w:lineRule="auto"/>
        <w:rPr>
          <w:rFonts w:ascii="Arial" w:eastAsia="Times New Roman" w:hAnsi="Arial" w:cs="Arial"/>
          <w:color w:val="333333"/>
          <w:sz w:val="29"/>
          <w:szCs w:val="29"/>
          <w:lang w:eastAsia="en-CA"/>
        </w:rPr>
      </w:pPr>
      <w:r w:rsidRPr="005A3C8F">
        <w:rPr>
          <w:rFonts w:ascii="Arial" w:eastAsia="Times New Roman" w:hAnsi="Arial" w:cs="Arial"/>
          <w:color w:val="333333"/>
          <w:sz w:val="29"/>
          <w:szCs w:val="29"/>
          <w:lang w:eastAsia="en-CA"/>
        </w:rPr>
        <w:t>it distorts previous statement</w:t>
      </w:r>
    </w:p>
    <w:p w:rsidR="005A3C8F" w:rsidRPr="005A3C8F" w:rsidRDefault="005A3C8F" w:rsidP="005A3C8F">
      <w:pPr>
        <w:numPr>
          <w:ilvl w:val="0"/>
          <w:numId w:val="19"/>
        </w:numPr>
        <w:shd w:val="clear" w:color="auto" w:fill="FFFFFF"/>
        <w:spacing w:before="100" w:beforeAutospacing="1" w:after="0" w:line="240" w:lineRule="auto"/>
        <w:rPr>
          <w:rFonts w:ascii="Arial" w:eastAsia="Times New Roman" w:hAnsi="Arial" w:cs="Arial"/>
          <w:color w:val="333333"/>
          <w:sz w:val="29"/>
          <w:szCs w:val="29"/>
          <w:lang w:eastAsia="en-CA"/>
        </w:rPr>
      </w:pPr>
      <w:r w:rsidRPr="005A3C8F">
        <w:rPr>
          <w:rFonts w:ascii="Arial" w:eastAsia="Times New Roman" w:hAnsi="Arial" w:cs="Arial"/>
          <w:color w:val="333333"/>
          <w:sz w:val="29"/>
          <w:szCs w:val="29"/>
          <w:lang w:eastAsia="en-CA"/>
        </w:rPr>
        <w:t>conditions have changed and statement no longer true</w:t>
      </w:r>
    </w:p>
    <w:p w:rsidR="005A3C8F" w:rsidRPr="005A3C8F" w:rsidRDefault="005A3C8F" w:rsidP="005A3C8F">
      <w:pPr>
        <w:numPr>
          <w:ilvl w:val="0"/>
          <w:numId w:val="19"/>
        </w:numPr>
        <w:shd w:val="clear" w:color="auto" w:fill="FFFFFF"/>
        <w:spacing w:before="100" w:beforeAutospacing="1" w:after="0" w:line="240" w:lineRule="auto"/>
        <w:rPr>
          <w:rFonts w:ascii="Arial" w:eastAsia="Times New Roman" w:hAnsi="Arial" w:cs="Arial"/>
          <w:color w:val="333333"/>
          <w:sz w:val="29"/>
          <w:szCs w:val="29"/>
          <w:lang w:eastAsia="en-CA"/>
        </w:rPr>
      </w:pPr>
      <w:r w:rsidRPr="005A3C8F">
        <w:rPr>
          <w:rFonts w:ascii="Arial" w:eastAsia="Times New Roman" w:hAnsi="Arial" w:cs="Arial"/>
          <w:color w:val="333333"/>
          <w:sz w:val="29"/>
          <w:szCs w:val="29"/>
          <w:lang w:eastAsia="en-CA"/>
        </w:rPr>
        <w:t>in situation of utmost good faith (e.g. insurance customer must disclose illness)</w:t>
      </w:r>
    </w:p>
    <w:p w:rsidR="005A3C8F" w:rsidRPr="005A3C8F" w:rsidRDefault="005A3C8F" w:rsidP="005A3C8F">
      <w:pPr>
        <w:numPr>
          <w:ilvl w:val="0"/>
          <w:numId w:val="19"/>
        </w:numPr>
        <w:shd w:val="clear" w:color="auto" w:fill="FFFFFF"/>
        <w:spacing w:before="100" w:beforeAutospacing="1" w:after="0" w:line="240" w:lineRule="auto"/>
        <w:rPr>
          <w:rFonts w:ascii="Arial" w:eastAsia="Times New Roman" w:hAnsi="Arial" w:cs="Arial"/>
          <w:color w:val="333333"/>
          <w:sz w:val="29"/>
          <w:szCs w:val="29"/>
          <w:lang w:eastAsia="en-CA"/>
        </w:rPr>
      </w:pPr>
      <w:r w:rsidRPr="005A3C8F">
        <w:rPr>
          <w:rFonts w:ascii="Arial" w:eastAsia="Times New Roman" w:hAnsi="Arial" w:cs="Arial"/>
          <w:color w:val="333333"/>
          <w:sz w:val="29"/>
          <w:szCs w:val="29"/>
          <w:lang w:eastAsia="en-CA"/>
        </w:rPr>
        <w:t>situation where only the customer has access to relevant information</w:t>
      </w:r>
    </w:p>
    <w:p w:rsidR="005A3C8F" w:rsidRPr="005A3C8F" w:rsidRDefault="005A3C8F" w:rsidP="005A3C8F">
      <w:pPr>
        <w:numPr>
          <w:ilvl w:val="0"/>
          <w:numId w:val="19"/>
        </w:numPr>
        <w:shd w:val="clear" w:color="auto" w:fill="FFFFFF"/>
        <w:spacing w:before="100" w:beforeAutospacing="1" w:after="0" w:line="240" w:lineRule="auto"/>
        <w:rPr>
          <w:rFonts w:ascii="Arial" w:eastAsia="Times New Roman" w:hAnsi="Arial" w:cs="Arial"/>
          <w:color w:val="333333"/>
          <w:sz w:val="29"/>
          <w:szCs w:val="29"/>
          <w:lang w:eastAsia="en-CA"/>
        </w:rPr>
      </w:pPr>
      <w:r w:rsidRPr="005A3C8F">
        <w:rPr>
          <w:rFonts w:ascii="Arial" w:eastAsia="Times New Roman" w:hAnsi="Arial" w:cs="Arial"/>
          <w:color w:val="333333"/>
          <w:sz w:val="29"/>
          <w:szCs w:val="29"/>
          <w:lang w:eastAsia="en-CA"/>
        </w:rPr>
        <w:t>in special relationships of trust and confidence (e.g. lawyer selling house to client, where the lawyer may exercise great influence over client</w:t>
      </w:r>
    </w:p>
    <w:p w:rsidR="005A3C8F" w:rsidRPr="005A3C8F" w:rsidRDefault="005A3C8F" w:rsidP="005A3C8F">
      <w:pPr>
        <w:numPr>
          <w:ilvl w:val="0"/>
          <w:numId w:val="19"/>
        </w:numPr>
        <w:shd w:val="clear" w:color="auto" w:fill="FFFFFF"/>
        <w:spacing w:before="100" w:beforeAutospacing="1" w:after="0" w:line="240" w:lineRule="auto"/>
        <w:rPr>
          <w:rFonts w:ascii="Arial" w:eastAsia="Times New Roman" w:hAnsi="Arial" w:cs="Arial"/>
          <w:color w:val="333333"/>
          <w:sz w:val="29"/>
          <w:szCs w:val="29"/>
          <w:lang w:eastAsia="en-CA"/>
        </w:rPr>
      </w:pPr>
      <w:r w:rsidRPr="005A3C8F">
        <w:rPr>
          <w:rFonts w:ascii="Arial" w:eastAsia="Times New Roman" w:hAnsi="Arial" w:cs="Arial"/>
          <w:color w:val="333333"/>
          <w:sz w:val="29"/>
          <w:szCs w:val="29"/>
          <w:lang w:eastAsia="en-CA"/>
        </w:rPr>
        <w:t>there exists a statutory requirement of disclosure (e.g. division of domestic property upon separation)</w:t>
      </w:r>
    </w:p>
    <w:p w:rsidR="005A3C8F" w:rsidRDefault="005A3C8F" w:rsidP="00334297">
      <w:pPr>
        <w:pStyle w:val="NormalWeb"/>
        <w:shd w:val="clear" w:color="auto" w:fill="FFFFFF"/>
        <w:spacing w:before="75" w:beforeAutospacing="0" w:after="150" w:afterAutospacing="0"/>
        <w:rPr>
          <w:rFonts w:ascii="Arial" w:hAnsi="Arial" w:cs="Arial"/>
          <w:color w:val="333333"/>
          <w:sz w:val="29"/>
          <w:szCs w:val="29"/>
        </w:rPr>
      </w:pPr>
    </w:p>
    <w:p w:rsidR="006E6461" w:rsidRDefault="006E6461" w:rsidP="00334297">
      <w:pPr>
        <w:pStyle w:val="NormalWeb"/>
        <w:shd w:val="clear" w:color="auto" w:fill="FFFFFF"/>
        <w:spacing w:before="75" w:beforeAutospacing="0" w:after="150" w:afterAutospacing="0"/>
        <w:rPr>
          <w:rFonts w:ascii="Arial" w:hAnsi="Arial" w:cs="Arial"/>
          <w:color w:val="333333"/>
          <w:sz w:val="29"/>
          <w:szCs w:val="29"/>
        </w:rPr>
      </w:pPr>
    </w:p>
    <w:p w:rsidR="006E6461" w:rsidRDefault="006E6461" w:rsidP="00334297">
      <w:pPr>
        <w:pStyle w:val="NormalWeb"/>
        <w:shd w:val="clear" w:color="auto" w:fill="FFFFFF"/>
        <w:spacing w:before="75" w:beforeAutospacing="0" w:after="150" w:afterAutospacing="0"/>
        <w:rPr>
          <w:rFonts w:ascii="Arial" w:hAnsi="Arial" w:cs="Arial"/>
          <w:color w:val="333333"/>
          <w:sz w:val="29"/>
          <w:szCs w:val="29"/>
        </w:rPr>
      </w:pPr>
    </w:p>
    <w:p w:rsidR="006E6461" w:rsidRDefault="006E6461" w:rsidP="00334297">
      <w:pPr>
        <w:pStyle w:val="NormalWeb"/>
        <w:shd w:val="clear" w:color="auto" w:fill="FFFFFF"/>
        <w:spacing w:before="75" w:beforeAutospacing="0" w:after="150" w:afterAutospacing="0"/>
        <w:rPr>
          <w:rFonts w:ascii="Arial" w:hAnsi="Arial" w:cs="Arial"/>
          <w:color w:val="333333"/>
          <w:sz w:val="29"/>
          <w:szCs w:val="29"/>
        </w:rPr>
      </w:pPr>
    </w:p>
    <w:p w:rsidR="006E6461" w:rsidRDefault="006E6461" w:rsidP="00334297">
      <w:pPr>
        <w:pStyle w:val="NormalWeb"/>
        <w:shd w:val="clear" w:color="auto" w:fill="FFFFFF"/>
        <w:spacing w:before="75" w:beforeAutospacing="0" w:after="150" w:afterAutospacing="0"/>
        <w:rPr>
          <w:rFonts w:ascii="Arial" w:hAnsi="Arial" w:cs="Arial"/>
          <w:color w:val="333333"/>
          <w:sz w:val="29"/>
          <w:szCs w:val="29"/>
        </w:rPr>
      </w:pPr>
    </w:p>
    <w:p w:rsidR="006E6461" w:rsidRDefault="006E6461" w:rsidP="00334297">
      <w:pPr>
        <w:pStyle w:val="NormalWeb"/>
        <w:shd w:val="clear" w:color="auto" w:fill="FFFFFF"/>
        <w:spacing w:before="75" w:beforeAutospacing="0" w:after="150" w:afterAutospacing="0"/>
        <w:rPr>
          <w:rFonts w:ascii="Arial" w:hAnsi="Arial" w:cs="Arial"/>
          <w:color w:val="333333"/>
          <w:sz w:val="29"/>
          <w:szCs w:val="29"/>
        </w:rPr>
      </w:pPr>
    </w:p>
    <w:p w:rsidR="006E6461" w:rsidRDefault="006E6461" w:rsidP="00334297">
      <w:pPr>
        <w:pStyle w:val="NormalWeb"/>
        <w:shd w:val="clear" w:color="auto" w:fill="FFFFFF"/>
        <w:spacing w:before="75" w:beforeAutospacing="0" w:after="150" w:afterAutospacing="0"/>
        <w:rPr>
          <w:rFonts w:ascii="Arial" w:hAnsi="Arial" w:cs="Arial"/>
          <w:color w:val="333333"/>
          <w:sz w:val="29"/>
          <w:szCs w:val="29"/>
        </w:rPr>
      </w:pPr>
    </w:p>
    <w:p w:rsidR="006E6461" w:rsidRPr="006E6461" w:rsidRDefault="006E6461" w:rsidP="006E6461">
      <w:pPr>
        <w:shd w:val="clear" w:color="auto" w:fill="FFFFFF"/>
        <w:spacing w:before="75" w:after="150" w:line="636" w:lineRule="atLeast"/>
        <w:outlineLvl w:val="1"/>
        <w:rPr>
          <w:rFonts w:ascii="Times New Roman" w:eastAsia="Times New Roman" w:hAnsi="Times New Roman" w:cs="Times New Roman"/>
          <w:b/>
          <w:bCs/>
          <w:color w:val="664433"/>
          <w:sz w:val="41"/>
          <w:szCs w:val="41"/>
          <w:lang w:eastAsia="en-CA"/>
        </w:rPr>
      </w:pPr>
      <w:r w:rsidRPr="006E6461">
        <w:rPr>
          <w:rFonts w:ascii="Times New Roman" w:eastAsia="Times New Roman" w:hAnsi="Times New Roman" w:cs="Times New Roman"/>
          <w:b/>
          <w:bCs/>
          <w:color w:val="664433"/>
          <w:sz w:val="41"/>
          <w:szCs w:val="41"/>
          <w:lang w:eastAsia="en-CA"/>
        </w:rPr>
        <w:lastRenderedPageBreak/>
        <w:t>Terms Implied by Court</w:t>
      </w:r>
    </w:p>
    <w:p w:rsidR="006E6461" w:rsidRPr="006E6461" w:rsidRDefault="006E6461" w:rsidP="006E6461">
      <w:pPr>
        <w:shd w:val="clear" w:color="auto" w:fill="FFFFFF"/>
        <w:spacing w:before="75" w:after="150" w:line="240" w:lineRule="auto"/>
        <w:rPr>
          <w:rFonts w:ascii="Arial" w:eastAsia="Times New Roman" w:hAnsi="Arial" w:cs="Arial"/>
          <w:color w:val="333333"/>
          <w:sz w:val="29"/>
          <w:szCs w:val="29"/>
          <w:lang w:eastAsia="en-CA"/>
        </w:rPr>
      </w:pPr>
      <w:r w:rsidRPr="006E6461">
        <w:rPr>
          <w:rFonts w:ascii="Arial" w:eastAsia="Times New Roman" w:hAnsi="Arial" w:cs="Arial"/>
          <w:color w:val="333333"/>
          <w:sz w:val="29"/>
          <w:szCs w:val="29"/>
          <w:lang w:eastAsia="en-CA"/>
        </w:rPr>
        <w:t>A term will not be implied by the court merely to improve contract quality. A term will be implied only when necessary to parties’ intentions:</w:t>
      </w:r>
    </w:p>
    <w:p w:rsidR="006E6461" w:rsidRPr="006E6461" w:rsidRDefault="006E6461" w:rsidP="006E6461">
      <w:pPr>
        <w:numPr>
          <w:ilvl w:val="0"/>
          <w:numId w:val="20"/>
        </w:numPr>
        <w:shd w:val="clear" w:color="auto" w:fill="FFFFFF"/>
        <w:spacing w:before="100" w:beforeAutospacing="1" w:after="0" w:line="240" w:lineRule="auto"/>
        <w:rPr>
          <w:rFonts w:ascii="Arial" w:eastAsia="Times New Roman" w:hAnsi="Arial" w:cs="Arial"/>
          <w:color w:val="333333"/>
          <w:sz w:val="29"/>
          <w:szCs w:val="29"/>
          <w:lang w:eastAsia="en-CA"/>
        </w:rPr>
      </w:pPr>
      <w:r w:rsidRPr="006E6461">
        <w:rPr>
          <w:rFonts w:ascii="Arial" w:eastAsia="Times New Roman" w:hAnsi="Arial" w:cs="Arial"/>
          <w:color w:val="333333"/>
          <w:sz w:val="29"/>
          <w:szCs w:val="29"/>
          <w:lang w:eastAsia="en-CA"/>
        </w:rPr>
        <w:t>business efficacy test</w:t>
      </w:r>
    </w:p>
    <w:p w:rsidR="006E6461" w:rsidRPr="006E6461" w:rsidRDefault="006E6461" w:rsidP="006E6461">
      <w:pPr>
        <w:numPr>
          <w:ilvl w:val="1"/>
          <w:numId w:val="20"/>
        </w:numPr>
        <w:shd w:val="clear" w:color="auto" w:fill="FFFFFF"/>
        <w:spacing w:before="100" w:beforeAutospacing="1" w:after="0" w:line="240" w:lineRule="auto"/>
        <w:rPr>
          <w:rFonts w:ascii="Arial" w:eastAsia="Times New Roman" w:hAnsi="Arial" w:cs="Arial"/>
          <w:color w:val="333333"/>
          <w:sz w:val="29"/>
          <w:szCs w:val="29"/>
          <w:lang w:eastAsia="en-CA"/>
        </w:rPr>
      </w:pPr>
      <w:r w:rsidRPr="006E6461">
        <w:rPr>
          <w:rFonts w:ascii="Arial" w:eastAsia="Times New Roman" w:hAnsi="Arial" w:cs="Arial"/>
          <w:color w:val="333333"/>
          <w:sz w:val="29"/>
          <w:szCs w:val="29"/>
          <w:lang w:eastAsia="en-CA"/>
        </w:rPr>
        <w:t>when the term is required for the contract to make commercial sense</w:t>
      </w:r>
    </w:p>
    <w:p w:rsidR="006E6461" w:rsidRPr="006E6461" w:rsidRDefault="006E6461" w:rsidP="006E6461">
      <w:pPr>
        <w:numPr>
          <w:ilvl w:val="0"/>
          <w:numId w:val="20"/>
        </w:numPr>
        <w:shd w:val="clear" w:color="auto" w:fill="FFFFFF"/>
        <w:spacing w:before="100" w:beforeAutospacing="1" w:after="0" w:line="240" w:lineRule="auto"/>
        <w:rPr>
          <w:rFonts w:ascii="Arial" w:eastAsia="Times New Roman" w:hAnsi="Arial" w:cs="Arial"/>
          <w:color w:val="333333"/>
          <w:sz w:val="29"/>
          <w:szCs w:val="29"/>
          <w:lang w:eastAsia="en-CA"/>
        </w:rPr>
      </w:pPr>
      <w:r w:rsidRPr="006E6461">
        <w:rPr>
          <w:rFonts w:ascii="Arial" w:eastAsia="Times New Roman" w:hAnsi="Arial" w:cs="Arial"/>
          <w:color w:val="333333"/>
          <w:sz w:val="29"/>
          <w:szCs w:val="29"/>
          <w:lang w:eastAsia="en-CA"/>
        </w:rPr>
        <w:t>usage and custom</w:t>
      </w:r>
    </w:p>
    <w:p w:rsidR="006E6461" w:rsidRPr="006E6461" w:rsidRDefault="006E6461" w:rsidP="006E6461">
      <w:pPr>
        <w:numPr>
          <w:ilvl w:val="1"/>
          <w:numId w:val="20"/>
        </w:numPr>
        <w:shd w:val="clear" w:color="auto" w:fill="FFFFFF"/>
        <w:spacing w:before="100" w:beforeAutospacing="1" w:after="0" w:line="240" w:lineRule="auto"/>
        <w:rPr>
          <w:rFonts w:ascii="Arial" w:eastAsia="Times New Roman" w:hAnsi="Arial" w:cs="Arial"/>
          <w:color w:val="333333"/>
          <w:sz w:val="29"/>
          <w:szCs w:val="29"/>
          <w:lang w:eastAsia="en-CA"/>
        </w:rPr>
      </w:pPr>
      <w:r w:rsidRPr="006E6461">
        <w:rPr>
          <w:rFonts w:ascii="Arial" w:eastAsia="Times New Roman" w:hAnsi="Arial" w:cs="Arial"/>
          <w:color w:val="333333"/>
          <w:sz w:val="29"/>
          <w:szCs w:val="29"/>
          <w:lang w:eastAsia="en-CA"/>
        </w:rPr>
        <w:t>when the term reflects standard practice in the parties’ field</w:t>
      </w:r>
    </w:p>
    <w:p w:rsidR="006E6461" w:rsidRPr="006E6461" w:rsidRDefault="006E6461" w:rsidP="006E6461">
      <w:pPr>
        <w:numPr>
          <w:ilvl w:val="0"/>
          <w:numId w:val="20"/>
        </w:numPr>
        <w:shd w:val="clear" w:color="auto" w:fill="FFFFFF"/>
        <w:spacing w:before="100" w:beforeAutospacing="1" w:after="0" w:line="240" w:lineRule="auto"/>
        <w:rPr>
          <w:rFonts w:ascii="Arial" w:eastAsia="Times New Roman" w:hAnsi="Arial" w:cs="Arial"/>
          <w:color w:val="333333"/>
          <w:sz w:val="29"/>
          <w:szCs w:val="29"/>
          <w:lang w:eastAsia="en-CA"/>
        </w:rPr>
      </w:pPr>
      <w:r w:rsidRPr="006E6461">
        <w:rPr>
          <w:rFonts w:ascii="Arial" w:eastAsia="Times New Roman" w:hAnsi="Arial" w:cs="Arial"/>
          <w:color w:val="333333"/>
          <w:sz w:val="29"/>
          <w:szCs w:val="29"/>
          <w:lang w:eastAsia="en-CA"/>
        </w:rPr>
        <w:t>previous dealings between parties</w:t>
      </w:r>
    </w:p>
    <w:p w:rsidR="006E6461" w:rsidRPr="006E6461" w:rsidRDefault="006E6461" w:rsidP="006E6461">
      <w:pPr>
        <w:numPr>
          <w:ilvl w:val="1"/>
          <w:numId w:val="20"/>
        </w:numPr>
        <w:shd w:val="clear" w:color="auto" w:fill="FFFFFF"/>
        <w:spacing w:before="100" w:beforeAutospacing="1" w:after="0" w:line="240" w:lineRule="auto"/>
        <w:rPr>
          <w:rFonts w:ascii="Arial" w:eastAsia="Times New Roman" w:hAnsi="Arial" w:cs="Arial"/>
          <w:color w:val="333333"/>
          <w:sz w:val="29"/>
          <w:szCs w:val="29"/>
          <w:lang w:eastAsia="en-CA"/>
        </w:rPr>
      </w:pPr>
      <w:r w:rsidRPr="006E6461">
        <w:rPr>
          <w:rFonts w:ascii="Arial" w:eastAsia="Times New Roman" w:hAnsi="Arial" w:cs="Arial"/>
          <w:color w:val="333333"/>
          <w:sz w:val="29"/>
          <w:szCs w:val="29"/>
          <w:lang w:eastAsia="en-CA"/>
        </w:rPr>
        <w:t>when parties habitually included the term in the past</w:t>
      </w:r>
    </w:p>
    <w:p w:rsidR="006E6461" w:rsidRPr="006E6461" w:rsidRDefault="006E6461" w:rsidP="006E6461">
      <w:pPr>
        <w:numPr>
          <w:ilvl w:val="0"/>
          <w:numId w:val="20"/>
        </w:numPr>
        <w:shd w:val="clear" w:color="auto" w:fill="FFFFFF"/>
        <w:spacing w:before="100" w:beforeAutospacing="1" w:after="0" w:line="240" w:lineRule="auto"/>
        <w:rPr>
          <w:rFonts w:ascii="Arial" w:eastAsia="Times New Roman" w:hAnsi="Arial" w:cs="Arial"/>
          <w:color w:val="333333"/>
          <w:sz w:val="29"/>
          <w:szCs w:val="29"/>
          <w:lang w:eastAsia="en-CA"/>
        </w:rPr>
      </w:pPr>
      <w:r w:rsidRPr="006E6461">
        <w:rPr>
          <w:rFonts w:ascii="Arial" w:eastAsia="Times New Roman" w:hAnsi="Arial" w:cs="Arial"/>
          <w:color w:val="333333"/>
          <w:sz w:val="29"/>
          <w:szCs w:val="29"/>
          <w:lang w:eastAsia="en-CA"/>
        </w:rPr>
        <w:t>the legal character of agreement</w:t>
      </w:r>
    </w:p>
    <w:p w:rsidR="006E6461" w:rsidRPr="006E6461" w:rsidRDefault="006E6461" w:rsidP="006E6461">
      <w:pPr>
        <w:numPr>
          <w:ilvl w:val="1"/>
          <w:numId w:val="20"/>
        </w:numPr>
        <w:shd w:val="clear" w:color="auto" w:fill="FFFFFF"/>
        <w:spacing w:before="100" w:beforeAutospacing="1" w:after="0" w:line="240" w:lineRule="auto"/>
        <w:rPr>
          <w:rFonts w:ascii="Arial" w:eastAsia="Times New Roman" w:hAnsi="Arial" w:cs="Arial"/>
          <w:color w:val="333333"/>
          <w:sz w:val="29"/>
          <w:szCs w:val="29"/>
          <w:lang w:eastAsia="en-CA"/>
        </w:rPr>
      </w:pPr>
      <w:r w:rsidRPr="006E6461">
        <w:rPr>
          <w:rFonts w:ascii="Arial" w:eastAsia="Times New Roman" w:hAnsi="Arial" w:cs="Arial"/>
          <w:color w:val="333333"/>
          <w:sz w:val="29"/>
          <w:szCs w:val="29"/>
          <w:lang w:eastAsia="en-CA"/>
        </w:rPr>
        <w:t>when the term is legally necessary in a particular field (e.g. employer’s reasonable notice)</w:t>
      </w:r>
    </w:p>
    <w:p w:rsidR="006E6461" w:rsidRPr="006E6461" w:rsidRDefault="006E6461" w:rsidP="006E6461">
      <w:pPr>
        <w:shd w:val="clear" w:color="auto" w:fill="FFFFFF"/>
        <w:spacing w:before="75" w:after="150" w:line="636" w:lineRule="atLeast"/>
        <w:outlineLvl w:val="1"/>
        <w:rPr>
          <w:rFonts w:ascii="Times New Roman" w:eastAsia="Times New Roman" w:hAnsi="Times New Roman" w:cs="Times New Roman"/>
          <w:b/>
          <w:bCs/>
          <w:color w:val="664433"/>
          <w:sz w:val="41"/>
          <w:szCs w:val="41"/>
          <w:lang w:eastAsia="en-CA"/>
        </w:rPr>
      </w:pPr>
      <w:r w:rsidRPr="006E6461">
        <w:rPr>
          <w:rFonts w:ascii="Times New Roman" w:eastAsia="Times New Roman" w:hAnsi="Times New Roman" w:cs="Times New Roman"/>
          <w:b/>
          <w:bCs/>
          <w:color w:val="664433"/>
          <w:sz w:val="41"/>
          <w:szCs w:val="41"/>
          <w:lang w:eastAsia="en-CA"/>
        </w:rPr>
        <w:t>Terms Implied by Statute</w:t>
      </w:r>
    </w:p>
    <w:p w:rsidR="006E6461" w:rsidRPr="006E6461" w:rsidRDefault="006E6461" w:rsidP="006E6461">
      <w:pPr>
        <w:shd w:val="clear" w:color="auto" w:fill="FFFFFF"/>
        <w:spacing w:before="75" w:after="150" w:line="240" w:lineRule="auto"/>
        <w:rPr>
          <w:rFonts w:ascii="Arial" w:eastAsia="Times New Roman" w:hAnsi="Arial" w:cs="Arial"/>
          <w:color w:val="333333"/>
          <w:sz w:val="29"/>
          <w:szCs w:val="29"/>
          <w:lang w:eastAsia="en-CA"/>
        </w:rPr>
      </w:pPr>
      <w:r w:rsidRPr="006E6461">
        <w:rPr>
          <w:rFonts w:ascii="Arial" w:eastAsia="Times New Roman" w:hAnsi="Arial" w:cs="Arial"/>
          <w:color w:val="333333"/>
          <w:sz w:val="29"/>
          <w:szCs w:val="29"/>
          <w:lang w:eastAsia="en-CA"/>
        </w:rPr>
        <w:t>A statute may automatically include term, in which case it will be treated as if expressly included by parties</w:t>
      </w:r>
    </w:p>
    <w:p w:rsidR="006E6461" w:rsidRPr="00334297" w:rsidRDefault="006E6461" w:rsidP="00334297">
      <w:pPr>
        <w:pStyle w:val="NormalWeb"/>
        <w:shd w:val="clear" w:color="auto" w:fill="FFFFFF"/>
        <w:spacing w:before="75" w:beforeAutospacing="0" w:after="150" w:afterAutospacing="0"/>
        <w:rPr>
          <w:rFonts w:ascii="Arial" w:hAnsi="Arial" w:cs="Arial"/>
          <w:color w:val="333333"/>
          <w:sz w:val="29"/>
          <w:szCs w:val="29"/>
        </w:rPr>
      </w:pPr>
      <w:bookmarkStart w:id="0" w:name="_GoBack"/>
      <w:bookmarkEnd w:id="0"/>
    </w:p>
    <w:sectPr w:rsidR="006E6461" w:rsidRPr="0033429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2018"/>
    <w:multiLevelType w:val="multilevel"/>
    <w:tmpl w:val="BDC6F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4030F"/>
    <w:multiLevelType w:val="multilevel"/>
    <w:tmpl w:val="1F94E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59237F"/>
    <w:multiLevelType w:val="multilevel"/>
    <w:tmpl w:val="0E4CDB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B1420D"/>
    <w:multiLevelType w:val="multilevel"/>
    <w:tmpl w:val="80DE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D91BDF"/>
    <w:multiLevelType w:val="multilevel"/>
    <w:tmpl w:val="C3AE93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862BB3"/>
    <w:multiLevelType w:val="multilevel"/>
    <w:tmpl w:val="34F89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2B3FD5"/>
    <w:multiLevelType w:val="multilevel"/>
    <w:tmpl w:val="279CDB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37DB038C"/>
    <w:multiLevelType w:val="multilevel"/>
    <w:tmpl w:val="8710F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1C0080"/>
    <w:multiLevelType w:val="multilevel"/>
    <w:tmpl w:val="C96256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EAA1199"/>
    <w:multiLevelType w:val="multilevel"/>
    <w:tmpl w:val="AA12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336F52"/>
    <w:multiLevelType w:val="multilevel"/>
    <w:tmpl w:val="F3AED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53321B"/>
    <w:multiLevelType w:val="multilevel"/>
    <w:tmpl w:val="DBBC34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9415CFD"/>
    <w:multiLevelType w:val="multilevel"/>
    <w:tmpl w:val="475E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3836E7E"/>
    <w:multiLevelType w:val="multilevel"/>
    <w:tmpl w:val="543847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50F48FD"/>
    <w:multiLevelType w:val="multilevel"/>
    <w:tmpl w:val="8ACC1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F2B2036"/>
    <w:multiLevelType w:val="multilevel"/>
    <w:tmpl w:val="C9E25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1F355DB"/>
    <w:multiLevelType w:val="multilevel"/>
    <w:tmpl w:val="EEFCC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A3480A"/>
    <w:multiLevelType w:val="multilevel"/>
    <w:tmpl w:val="F908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8E83372"/>
    <w:multiLevelType w:val="multilevel"/>
    <w:tmpl w:val="BADE7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E9095A"/>
    <w:multiLevelType w:val="multilevel"/>
    <w:tmpl w:val="01F67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6"/>
  </w:num>
  <w:num w:numId="3">
    <w:abstractNumId w:val="11"/>
  </w:num>
  <w:num w:numId="4">
    <w:abstractNumId w:val="10"/>
  </w:num>
  <w:num w:numId="5">
    <w:abstractNumId w:val="12"/>
  </w:num>
  <w:num w:numId="6">
    <w:abstractNumId w:val="5"/>
  </w:num>
  <w:num w:numId="7">
    <w:abstractNumId w:val="17"/>
  </w:num>
  <w:num w:numId="8">
    <w:abstractNumId w:val="1"/>
  </w:num>
  <w:num w:numId="9">
    <w:abstractNumId w:val="0"/>
  </w:num>
  <w:num w:numId="10">
    <w:abstractNumId w:val="7"/>
  </w:num>
  <w:num w:numId="11">
    <w:abstractNumId w:val="15"/>
  </w:num>
  <w:num w:numId="12">
    <w:abstractNumId w:val="3"/>
  </w:num>
  <w:num w:numId="13">
    <w:abstractNumId w:val="9"/>
  </w:num>
  <w:num w:numId="14">
    <w:abstractNumId w:val="19"/>
  </w:num>
  <w:num w:numId="15">
    <w:abstractNumId w:val="16"/>
  </w:num>
  <w:num w:numId="16">
    <w:abstractNumId w:val="8"/>
  </w:num>
  <w:num w:numId="17">
    <w:abstractNumId w:val="2"/>
  </w:num>
  <w:num w:numId="18">
    <w:abstractNumId w:val="4"/>
  </w:num>
  <w:num w:numId="19">
    <w:abstractNumId w:val="1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0D0"/>
    <w:rsid w:val="000740D0"/>
    <w:rsid w:val="00334297"/>
    <w:rsid w:val="00556401"/>
    <w:rsid w:val="005A3C8F"/>
    <w:rsid w:val="006B1FF9"/>
    <w:rsid w:val="006E6461"/>
    <w:rsid w:val="008259E7"/>
    <w:rsid w:val="008E5A71"/>
    <w:rsid w:val="00982C0D"/>
    <w:rsid w:val="00AA746A"/>
    <w:rsid w:val="00CA0954"/>
    <w:rsid w:val="00E23E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1A96"/>
  <w15:chartTrackingRefBased/>
  <w15:docId w15:val="{C1294810-E960-43BF-8F7E-B75D3CFB7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0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0740D0"/>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3">
    <w:name w:val="heading 3"/>
    <w:basedOn w:val="Normal"/>
    <w:next w:val="Normal"/>
    <w:link w:val="Heading3Char"/>
    <w:uiPriority w:val="9"/>
    <w:semiHidden/>
    <w:unhideWhenUsed/>
    <w:qFormat/>
    <w:rsid w:val="008E5A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8E5A7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740D0"/>
    <w:rPr>
      <w:rFonts w:ascii="Times New Roman" w:eastAsia="Times New Roman" w:hAnsi="Times New Roman" w:cs="Times New Roman"/>
      <w:b/>
      <w:bCs/>
      <w:sz w:val="36"/>
      <w:szCs w:val="36"/>
      <w:lang w:eastAsia="en-CA"/>
    </w:rPr>
  </w:style>
  <w:style w:type="paragraph" w:styleId="NormalWeb">
    <w:name w:val="Normal (Web)"/>
    <w:basedOn w:val="Normal"/>
    <w:uiPriority w:val="99"/>
    <w:unhideWhenUsed/>
    <w:rsid w:val="000740D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0740D0"/>
    <w:rPr>
      <w:rFonts w:asciiTheme="majorHAnsi" w:eastAsiaTheme="majorEastAsia" w:hAnsiTheme="majorHAnsi" w:cstheme="majorBidi"/>
      <w:color w:val="2E74B5" w:themeColor="accent1" w:themeShade="BF"/>
      <w:sz w:val="32"/>
      <w:szCs w:val="32"/>
    </w:rPr>
  </w:style>
  <w:style w:type="character" w:customStyle="1" w:styleId="apple-converted-space">
    <w:name w:val="apple-converted-space"/>
    <w:basedOn w:val="DefaultParagraphFont"/>
    <w:rsid w:val="000740D0"/>
  </w:style>
  <w:style w:type="character" w:styleId="Hyperlink">
    <w:name w:val="Hyperlink"/>
    <w:basedOn w:val="DefaultParagraphFont"/>
    <w:uiPriority w:val="99"/>
    <w:semiHidden/>
    <w:unhideWhenUsed/>
    <w:rsid w:val="000740D0"/>
    <w:rPr>
      <w:color w:val="0000FF"/>
      <w:u w:val="single"/>
    </w:rPr>
  </w:style>
  <w:style w:type="character" w:customStyle="1" w:styleId="Heading3Char">
    <w:name w:val="Heading 3 Char"/>
    <w:basedOn w:val="DefaultParagraphFont"/>
    <w:link w:val="Heading3"/>
    <w:uiPriority w:val="9"/>
    <w:semiHidden/>
    <w:rsid w:val="008E5A71"/>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semiHidden/>
    <w:rsid w:val="008E5A71"/>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200524">
      <w:bodyDiv w:val="1"/>
      <w:marLeft w:val="0"/>
      <w:marRight w:val="0"/>
      <w:marTop w:val="0"/>
      <w:marBottom w:val="0"/>
      <w:divBdr>
        <w:top w:val="none" w:sz="0" w:space="0" w:color="auto"/>
        <w:left w:val="none" w:sz="0" w:space="0" w:color="auto"/>
        <w:bottom w:val="none" w:sz="0" w:space="0" w:color="auto"/>
        <w:right w:val="none" w:sz="0" w:space="0" w:color="auto"/>
      </w:divBdr>
      <w:divsChild>
        <w:div w:id="1380403084">
          <w:marLeft w:val="0"/>
          <w:marRight w:val="0"/>
          <w:marTop w:val="225"/>
          <w:marBottom w:val="225"/>
          <w:divBdr>
            <w:top w:val="single" w:sz="12" w:space="8" w:color="FFCC33"/>
            <w:left w:val="single" w:sz="12" w:space="8" w:color="FFCC33"/>
            <w:bottom w:val="single" w:sz="12" w:space="4" w:color="FFCC33"/>
            <w:right w:val="single" w:sz="12" w:space="8" w:color="FFCC33"/>
          </w:divBdr>
        </w:div>
        <w:div w:id="1852186693">
          <w:marLeft w:val="0"/>
          <w:marRight w:val="0"/>
          <w:marTop w:val="225"/>
          <w:marBottom w:val="225"/>
          <w:divBdr>
            <w:top w:val="single" w:sz="12" w:space="8" w:color="FFCC33"/>
            <w:left w:val="single" w:sz="12" w:space="8" w:color="FFCC33"/>
            <w:bottom w:val="single" w:sz="12" w:space="4" w:color="FFCC33"/>
            <w:right w:val="single" w:sz="12" w:space="8" w:color="FFCC33"/>
          </w:divBdr>
        </w:div>
      </w:divsChild>
    </w:div>
    <w:div w:id="577134813">
      <w:bodyDiv w:val="1"/>
      <w:marLeft w:val="0"/>
      <w:marRight w:val="0"/>
      <w:marTop w:val="0"/>
      <w:marBottom w:val="0"/>
      <w:divBdr>
        <w:top w:val="none" w:sz="0" w:space="0" w:color="auto"/>
        <w:left w:val="none" w:sz="0" w:space="0" w:color="auto"/>
        <w:bottom w:val="none" w:sz="0" w:space="0" w:color="auto"/>
        <w:right w:val="none" w:sz="0" w:space="0" w:color="auto"/>
      </w:divBdr>
    </w:div>
    <w:div w:id="722290727">
      <w:bodyDiv w:val="1"/>
      <w:marLeft w:val="0"/>
      <w:marRight w:val="0"/>
      <w:marTop w:val="0"/>
      <w:marBottom w:val="0"/>
      <w:divBdr>
        <w:top w:val="none" w:sz="0" w:space="0" w:color="auto"/>
        <w:left w:val="none" w:sz="0" w:space="0" w:color="auto"/>
        <w:bottom w:val="none" w:sz="0" w:space="0" w:color="auto"/>
        <w:right w:val="none" w:sz="0" w:space="0" w:color="auto"/>
      </w:divBdr>
    </w:div>
    <w:div w:id="780536188">
      <w:bodyDiv w:val="1"/>
      <w:marLeft w:val="0"/>
      <w:marRight w:val="0"/>
      <w:marTop w:val="0"/>
      <w:marBottom w:val="0"/>
      <w:divBdr>
        <w:top w:val="none" w:sz="0" w:space="0" w:color="auto"/>
        <w:left w:val="none" w:sz="0" w:space="0" w:color="auto"/>
        <w:bottom w:val="none" w:sz="0" w:space="0" w:color="auto"/>
        <w:right w:val="none" w:sz="0" w:space="0" w:color="auto"/>
      </w:divBdr>
    </w:div>
    <w:div w:id="796877068">
      <w:bodyDiv w:val="1"/>
      <w:marLeft w:val="0"/>
      <w:marRight w:val="0"/>
      <w:marTop w:val="0"/>
      <w:marBottom w:val="0"/>
      <w:divBdr>
        <w:top w:val="none" w:sz="0" w:space="0" w:color="auto"/>
        <w:left w:val="none" w:sz="0" w:space="0" w:color="auto"/>
        <w:bottom w:val="none" w:sz="0" w:space="0" w:color="auto"/>
        <w:right w:val="none" w:sz="0" w:space="0" w:color="auto"/>
      </w:divBdr>
    </w:div>
    <w:div w:id="1046104128">
      <w:bodyDiv w:val="1"/>
      <w:marLeft w:val="0"/>
      <w:marRight w:val="0"/>
      <w:marTop w:val="0"/>
      <w:marBottom w:val="0"/>
      <w:divBdr>
        <w:top w:val="none" w:sz="0" w:space="0" w:color="auto"/>
        <w:left w:val="none" w:sz="0" w:space="0" w:color="auto"/>
        <w:bottom w:val="none" w:sz="0" w:space="0" w:color="auto"/>
        <w:right w:val="none" w:sz="0" w:space="0" w:color="auto"/>
      </w:divBdr>
      <w:divsChild>
        <w:div w:id="1319919257">
          <w:marLeft w:val="0"/>
          <w:marRight w:val="0"/>
          <w:marTop w:val="0"/>
          <w:marBottom w:val="0"/>
          <w:divBdr>
            <w:top w:val="none" w:sz="0" w:space="0" w:color="auto"/>
            <w:left w:val="none" w:sz="0" w:space="0" w:color="auto"/>
            <w:bottom w:val="none" w:sz="0" w:space="0" w:color="auto"/>
            <w:right w:val="none" w:sz="0" w:space="0" w:color="auto"/>
          </w:divBdr>
        </w:div>
        <w:div w:id="992878662">
          <w:marLeft w:val="0"/>
          <w:marRight w:val="0"/>
          <w:marTop w:val="600"/>
          <w:marBottom w:val="0"/>
          <w:divBdr>
            <w:top w:val="single" w:sz="6" w:space="15" w:color="CCCCCC"/>
            <w:left w:val="none" w:sz="0" w:space="0" w:color="auto"/>
            <w:bottom w:val="none" w:sz="0" w:space="0" w:color="auto"/>
            <w:right w:val="none" w:sz="0" w:space="0" w:color="auto"/>
          </w:divBdr>
        </w:div>
      </w:divsChild>
    </w:div>
    <w:div w:id="1119647148">
      <w:bodyDiv w:val="1"/>
      <w:marLeft w:val="0"/>
      <w:marRight w:val="0"/>
      <w:marTop w:val="0"/>
      <w:marBottom w:val="0"/>
      <w:divBdr>
        <w:top w:val="none" w:sz="0" w:space="0" w:color="auto"/>
        <w:left w:val="none" w:sz="0" w:space="0" w:color="auto"/>
        <w:bottom w:val="none" w:sz="0" w:space="0" w:color="auto"/>
        <w:right w:val="none" w:sz="0" w:space="0" w:color="auto"/>
      </w:divBdr>
    </w:div>
    <w:div w:id="1481266443">
      <w:bodyDiv w:val="1"/>
      <w:marLeft w:val="0"/>
      <w:marRight w:val="0"/>
      <w:marTop w:val="0"/>
      <w:marBottom w:val="0"/>
      <w:divBdr>
        <w:top w:val="none" w:sz="0" w:space="0" w:color="auto"/>
        <w:left w:val="none" w:sz="0" w:space="0" w:color="auto"/>
        <w:bottom w:val="none" w:sz="0" w:space="0" w:color="auto"/>
        <w:right w:val="none" w:sz="0" w:space="0" w:color="auto"/>
      </w:divBdr>
    </w:div>
    <w:div w:id="2105571028">
      <w:bodyDiv w:val="1"/>
      <w:marLeft w:val="0"/>
      <w:marRight w:val="0"/>
      <w:marTop w:val="0"/>
      <w:marBottom w:val="0"/>
      <w:divBdr>
        <w:top w:val="none" w:sz="0" w:space="0" w:color="auto"/>
        <w:left w:val="none" w:sz="0" w:space="0" w:color="auto"/>
        <w:bottom w:val="none" w:sz="0" w:space="0" w:color="auto"/>
        <w:right w:val="none" w:sz="0" w:space="0" w:color="auto"/>
      </w:divBdr>
    </w:div>
    <w:div w:id="211258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laws.gov.on.ca/html/statutes/english/elaws_statutes_90h19_e.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2076</Words>
  <Characters>11836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Zeshan M</dc:creator>
  <cp:keywords/>
  <dc:description/>
  <cp:lastModifiedBy>Zeshan M</cp:lastModifiedBy>
  <cp:revision>10</cp:revision>
  <dcterms:created xsi:type="dcterms:W3CDTF">2017-01-27T00:17:00Z</dcterms:created>
  <dcterms:modified xsi:type="dcterms:W3CDTF">2017-02-23T20:49:00Z</dcterms:modified>
</cp:coreProperties>
</file>