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2BE1E5" w14:textId="77777777" w:rsidR="00986748" w:rsidRPr="00986748" w:rsidRDefault="00986748" w:rsidP="00986748">
      <w:pPr>
        <w:jc w:val="center"/>
        <w:rPr>
          <w:rFonts w:ascii="Times New Roman" w:hAnsi="Times New Roman" w:cs="Times New Roman"/>
          <w:lang w:val="en-CA"/>
        </w:rPr>
      </w:pPr>
      <w:bookmarkStart w:id="0" w:name="OLE_LINK1"/>
      <w:bookmarkStart w:id="1" w:name="OLE_LINK2"/>
    </w:p>
    <w:p w14:paraId="78FD6BCD" w14:textId="77777777" w:rsidR="00986748" w:rsidRPr="00986748" w:rsidRDefault="00986748" w:rsidP="00986748">
      <w:pPr>
        <w:jc w:val="center"/>
        <w:rPr>
          <w:rFonts w:ascii="Times New Roman" w:hAnsi="Times New Roman" w:cs="Times New Roman"/>
          <w:lang w:val="en-CA"/>
        </w:rPr>
      </w:pPr>
    </w:p>
    <w:p w14:paraId="2D1D9341" w14:textId="77777777" w:rsidR="00986748" w:rsidRPr="00986748" w:rsidRDefault="00986748" w:rsidP="00986748">
      <w:pPr>
        <w:jc w:val="center"/>
        <w:rPr>
          <w:rFonts w:ascii="Times New Roman" w:hAnsi="Times New Roman" w:cs="Times New Roman"/>
          <w:lang w:val="en-CA"/>
        </w:rPr>
      </w:pPr>
    </w:p>
    <w:p w14:paraId="62A70126" w14:textId="77777777" w:rsidR="00986748" w:rsidRPr="00986748" w:rsidRDefault="00986748" w:rsidP="00986748">
      <w:pPr>
        <w:jc w:val="center"/>
        <w:rPr>
          <w:rFonts w:ascii="Times New Roman" w:hAnsi="Times New Roman" w:cs="Times New Roman"/>
          <w:lang w:val="en-CA"/>
        </w:rPr>
      </w:pPr>
    </w:p>
    <w:p w14:paraId="3BE3F528" w14:textId="77777777" w:rsidR="00986748" w:rsidRPr="00986748" w:rsidRDefault="00986748" w:rsidP="00986748">
      <w:pPr>
        <w:jc w:val="center"/>
        <w:rPr>
          <w:rFonts w:ascii="Times New Roman" w:hAnsi="Times New Roman" w:cs="Times New Roman"/>
          <w:lang w:val="en-CA"/>
        </w:rPr>
      </w:pPr>
    </w:p>
    <w:p w14:paraId="3340DE04" w14:textId="77777777" w:rsidR="00986748" w:rsidRPr="00986748" w:rsidRDefault="00986748" w:rsidP="00986748">
      <w:pPr>
        <w:jc w:val="center"/>
        <w:rPr>
          <w:rFonts w:ascii="Times New Roman" w:hAnsi="Times New Roman" w:cs="Times New Roman"/>
          <w:lang w:val="en-CA"/>
        </w:rPr>
      </w:pPr>
    </w:p>
    <w:p w14:paraId="5A921B2A" w14:textId="77777777" w:rsidR="00986748" w:rsidRPr="00986748" w:rsidRDefault="00986748" w:rsidP="00986748">
      <w:pPr>
        <w:jc w:val="center"/>
        <w:rPr>
          <w:rFonts w:ascii="Times New Roman" w:hAnsi="Times New Roman" w:cs="Times New Roman"/>
          <w:lang w:val="en-CA"/>
        </w:rPr>
      </w:pPr>
    </w:p>
    <w:p w14:paraId="322900B0" w14:textId="77777777" w:rsidR="00986748" w:rsidRPr="00986748" w:rsidRDefault="00986748" w:rsidP="00986748">
      <w:pPr>
        <w:jc w:val="center"/>
        <w:rPr>
          <w:rFonts w:ascii="Times New Roman" w:hAnsi="Times New Roman" w:cs="Times New Roman"/>
          <w:lang w:val="en-CA"/>
        </w:rPr>
      </w:pPr>
    </w:p>
    <w:p w14:paraId="6A0C1F06" w14:textId="77777777" w:rsidR="00986748" w:rsidRPr="00986748" w:rsidRDefault="00986748" w:rsidP="00986748">
      <w:pPr>
        <w:jc w:val="center"/>
        <w:rPr>
          <w:rFonts w:ascii="Times New Roman" w:hAnsi="Times New Roman" w:cs="Times New Roman"/>
          <w:lang w:val="en-CA"/>
        </w:rPr>
      </w:pPr>
    </w:p>
    <w:p w14:paraId="6E0F2722" w14:textId="77777777" w:rsidR="00986748" w:rsidRPr="00986748" w:rsidRDefault="00986748" w:rsidP="00986748">
      <w:pPr>
        <w:jc w:val="center"/>
        <w:rPr>
          <w:rFonts w:ascii="Times New Roman" w:hAnsi="Times New Roman" w:cs="Times New Roman"/>
          <w:lang w:val="en-CA"/>
        </w:rPr>
      </w:pPr>
    </w:p>
    <w:p w14:paraId="565D2A27" w14:textId="77777777" w:rsidR="00986748" w:rsidRPr="00986748" w:rsidRDefault="00986748" w:rsidP="00986748">
      <w:pPr>
        <w:jc w:val="center"/>
        <w:rPr>
          <w:rFonts w:ascii="Times New Roman" w:hAnsi="Times New Roman" w:cs="Times New Roman"/>
          <w:lang w:val="en-CA"/>
        </w:rPr>
      </w:pPr>
    </w:p>
    <w:p w14:paraId="4F26FC19" w14:textId="77777777" w:rsidR="00986748" w:rsidRPr="00986748" w:rsidRDefault="00986748" w:rsidP="00986748">
      <w:pPr>
        <w:jc w:val="center"/>
        <w:rPr>
          <w:rFonts w:ascii="Times New Roman" w:hAnsi="Times New Roman" w:cs="Times New Roman"/>
          <w:lang w:val="en-CA"/>
        </w:rPr>
      </w:pPr>
    </w:p>
    <w:p w14:paraId="25A2346F" w14:textId="77777777" w:rsidR="00986748" w:rsidRPr="00986748" w:rsidRDefault="00986748" w:rsidP="00986748">
      <w:pPr>
        <w:jc w:val="center"/>
        <w:rPr>
          <w:rFonts w:ascii="Times New Roman" w:hAnsi="Times New Roman" w:cs="Times New Roman"/>
          <w:lang w:val="en-CA"/>
        </w:rPr>
      </w:pPr>
    </w:p>
    <w:p w14:paraId="5AC248A2" w14:textId="77777777" w:rsidR="00986748" w:rsidRPr="00986748" w:rsidRDefault="00986748" w:rsidP="00986748">
      <w:pPr>
        <w:jc w:val="center"/>
        <w:rPr>
          <w:rFonts w:ascii="Times New Roman" w:hAnsi="Times New Roman" w:cs="Times New Roman"/>
          <w:lang w:val="en-CA"/>
        </w:rPr>
      </w:pPr>
    </w:p>
    <w:p w14:paraId="6A696589" w14:textId="77777777" w:rsidR="00986748" w:rsidRPr="00986748" w:rsidRDefault="00986748" w:rsidP="00986748">
      <w:pPr>
        <w:jc w:val="center"/>
        <w:rPr>
          <w:rFonts w:ascii="Times New Roman" w:hAnsi="Times New Roman" w:cs="Times New Roman"/>
          <w:lang w:val="en-CA"/>
        </w:rPr>
      </w:pPr>
    </w:p>
    <w:p w14:paraId="68692E2E" w14:textId="77777777" w:rsidR="00986748" w:rsidRPr="00986748" w:rsidRDefault="00986748" w:rsidP="00986748">
      <w:pPr>
        <w:jc w:val="center"/>
        <w:rPr>
          <w:rFonts w:ascii="Times New Roman" w:hAnsi="Times New Roman" w:cs="Times New Roman"/>
          <w:lang w:val="en-CA"/>
        </w:rPr>
      </w:pPr>
    </w:p>
    <w:p w14:paraId="261D8CC1" w14:textId="77777777" w:rsidR="00986748" w:rsidRPr="00986748" w:rsidRDefault="00986748" w:rsidP="00986748">
      <w:pPr>
        <w:jc w:val="center"/>
        <w:rPr>
          <w:rFonts w:ascii="Times New Roman" w:hAnsi="Times New Roman" w:cs="Times New Roman"/>
          <w:lang w:val="en-CA"/>
        </w:rPr>
      </w:pPr>
    </w:p>
    <w:p w14:paraId="56AD8D1F" w14:textId="77777777" w:rsidR="00986748" w:rsidRPr="00986748" w:rsidRDefault="00986748" w:rsidP="00986748">
      <w:pPr>
        <w:jc w:val="center"/>
        <w:rPr>
          <w:rFonts w:ascii="Times New Roman" w:hAnsi="Times New Roman" w:cs="Times New Roman"/>
          <w:lang w:val="en-CA"/>
        </w:rPr>
      </w:pPr>
    </w:p>
    <w:p w14:paraId="5B0BC344" w14:textId="77777777" w:rsidR="00986748" w:rsidRPr="00986748" w:rsidRDefault="00986748" w:rsidP="00986748">
      <w:pPr>
        <w:jc w:val="center"/>
        <w:rPr>
          <w:rFonts w:ascii="Times New Roman" w:hAnsi="Times New Roman" w:cs="Times New Roman"/>
          <w:lang w:val="en-CA"/>
        </w:rPr>
      </w:pPr>
    </w:p>
    <w:p w14:paraId="6D4EDBD8" w14:textId="77777777" w:rsidR="00986748" w:rsidRPr="00986748" w:rsidRDefault="00986748" w:rsidP="00986748">
      <w:pPr>
        <w:jc w:val="center"/>
        <w:rPr>
          <w:rFonts w:ascii="Times New Roman" w:hAnsi="Times New Roman" w:cs="Times New Roman"/>
          <w:lang w:val="en-CA"/>
        </w:rPr>
      </w:pPr>
    </w:p>
    <w:p w14:paraId="0554ED00" w14:textId="77777777" w:rsidR="00986748" w:rsidRPr="00986748" w:rsidRDefault="00986748" w:rsidP="00986748">
      <w:pPr>
        <w:jc w:val="center"/>
        <w:rPr>
          <w:rFonts w:ascii="Times New Roman" w:hAnsi="Times New Roman" w:cs="Times New Roman"/>
          <w:lang w:val="en-CA"/>
        </w:rPr>
      </w:pPr>
    </w:p>
    <w:p w14:paraId="2614D279" w14:textId="77777777" w:rsidR="00986748" w:rsidRPr="00986748" w:rsidRDefault="00986748" w:rsidP="00986748">
      <w:pPr>
        <w:jc w:val="center"/>
        <w:rPr>
          <w:rFonts w:ascii="Times New Roman" w:hAnsi="Times New Roman" w:cs="Times New Roman"/>
          <w:lang w:val="en-CA"/>
        </w:rPr>
      </w:pPr>
    </w:p>
    <w:p w14:paraId="07DB2BA6" w14:textId="77777777" w:rsidR="00986748" w:rsidRPr="00986748" w:rsidRDefault="00986748" w:rsidP="00986748">
      <w:pPr>
        <w:jc w:val="center"/>
        <w:rPr>
          <w:rFonts w:ascii="Times New Roman" w:hAnsi="Times New Roman" w:cs="Times New Roman"/>
          <w:lang w:val="en-CA"/>
        </w:rPr>
      </w:pPr>
    </w:p>
    <w:p w14:paraId="7E2641EA" w14:textId="77777777" w:rsidR="00986748" w:rsidRPr="00986748" w:rsidRDefault="00986748" w:rsidP="00986748">
      <w:pPr>
        <w:jc w:val="center"/>
        <w:rPr>
          <w:rFonts w:ascii="Times New Roman" w:hAnsi="Times New Roman" w:cs="Times New Roman"/>
          <w:lang w:val="en-CA"/>
        </w:rPr>
      </w:pPr>
    </w:p>
    <w:p w14:paraId="1B0B1793" w14:textId="77777777" w:rsidR="00986748" w:rsidRPr="00986748" w:rsidRDefault="00986748" w:rsidP="00986748">
      <w:pPr>
        <w:jc w:val="center"/>
        <w:rPr>
          <w:rFonts w:ascii="Times New Roman" w:hAnsi="Times New Roman" w:cs="Times New Roman"/>
          <w:lang w:val="en-CA"/>
        </w:rPr>
      </w:pPr>
    </w:p>
    <w:p w14:paraId="13940FBD" w14:textId="77777777" w:rsidR="00986748" w:rsidRPr="00986748" w:rsidRDefault="00986748" w:rsidP="00986748">
      <w:pPr>
        <w:jc w:val="center"/>
        <w:rPr>
          <w:rFonts w:ascii="Times New Roman" w:hAnsi="Times New Roman" w:cs="Times New Roman"/>
          <w:lang w:val="en-CA"/>
        </w:rPr>
      </w:pPr>
    </w:p>
    <w:p w14:paraId="31B5AFE5" w14:textId="77777777" w:rsidR="00986748" w:rsidRDefault="00986748" w:rsidP="00986748">
      <w:pPr>
        <w:jc w:val="center"/>
        <w:rPr>
          <w:rFonts w:ascii="Times New Roman" w:hAnsi="Times New Roman" w:cs="Times New Roman"/>
          <w:lang w:val="en-CA"/>
        </w:rPr>
      </w:pPr>
    </w:p>
    <w:p w14:paraId="2229A5C1" w14:textId="77777777" w:rsidR="00986748" w:rsidRDefault="00986748" w:rsidP="00986748">
      <w:pPr>
        <w:jc w:val="center"/>
        <w:rPr>
          <w:rFonts w:ascii="Times New Roman" w:hAnsi="Times New Roman" w:cs="Times New Roman"/>
          <w:lang w:val="en-CA"/>
        </w:rPr>
      </w:pPr>
    </w:p>
    <w:p w14:paraId="32C8B47B" w14:textId="77777777" w:rsidR="00986748" w:rsidRDefault="00986748" w:rsidP="00986748">
      <w:pPr>
        <w:jc w:val="center"/>
        <w:rPr>
          <w:rFonts w:ascii="Times New Roman" w:hAnsi="Times New Roman" w:cs="Times New Roman"/>
          <w:lang w:val="en-CA"/>
        </w:rPr>
      </w:pPr>
    </w:p>
    <w:p w14:paraId="58C0A494" w14:textId="77777777" w:rsidR="00986748" w:rsidRDefault="00986748" w:rsidP="00986748">
      <w:pPr>
        <w:jc w:val="center"/>
        <w:rPr>
          <w:rFonts w:ascii="Times New Roman" w:hAnsi="Times New Roman" w:cs="Times New Roman"/>
          <w:lang w:val="en-CA"/>
        </w:rPr>
      </w:pPr>
    </w:p>
    <w:p w14:paraId="7176B00F" w14:textId="77777777" w:rsidR="00986748" w:rsidRDefault="00986748" w:rsidP="00986748">
      <w:pPr>
        <w:jc w:val="center"/>
        <w:rPr>
          <w:rFonts w:ascii="Times New Roman" w:hAnsi="Times New Roman" w:cs="Times New Roman"/>
          <w:lang w:val="en-CA"/>
        </w:rPr>
      </w:pPr>
    </w:p>
    <w:p w14:paraId="714D17AC" w14:textId="77777777" w:rsidR="00986748" w:rsidRDefault="00986748" w:rsidP="00986748">
      <w:pPr>
        <w:jc w:val="center"/>
        <w:rPr>
          <w:rFonts w:ascii="Times New Roman" w:hAnsi="Times New Roman" w:cs="Times New Roman"/>
          <w:lang w:val="en-CA"/>
        </w:rPr>
      </w:pPr>
    </w:p>
    <w:p w14:paraId="359214CD" w14:textId="77777777" w:rsidR="00986748" w:rsidRDefault="00986748" w:rsidP="00986748">
      <w:pPr>
        <w:jc w:val="center"/>
        <w:rPr>
          <w:rFonts w:ascii="Times New Roman" w:hAnsi="Times New Roman" w:cs="Times New Roman"/>
          <w:lang w:val="en-CA"/>
        </w:rPr>
      </w:pPr>
    </w:p>
    <w:p w14:paraId="4034C4EE" w14:textId="77777777" w:rsidR="00986748" w:rsidRDefault="00986748" w:rsidP="00986748">
      <w:pPr>
        <w:jc w:val="center"/>
        <w:rPr>
          <w:rFonts w:ascii="Times New Roman" w:hAnsi="Times New Roman" w:cs="Times New Roman"/>
          <w:lang w:val="en-CA"/>
        </w:rPr>
      </w:pPr>
    </w:p>
    <w:p w14:paraId="4373AABD" w14:textId="77777777" w:rsidR="00986748" w:rsidRDefault="00986748" w:rsidP="00986748">
      <w:pPr>
        <w:jc w:val="center"/>
        <w:rPr>
          <w:rFonts w:ascii="Times New Roman" w:hAnsi="Times New Roman" w:cs="Times New Roman"/>
          <w:lang w:val="en-CA"/>
        </w:rPr>
      </w:pPr>
    </w:p>
    <w:p w14:paraId="4769EB0D" w14:textId="77777777" w:rsidR="00986748" w:rsidRDefault="00986748" w:rsidP="00986748">
      <w:pPr>
        <w:jc w:val="center"/>
        <w:rPr>
          <w:rFonts w:ascii="Times New Roman" w:hAnsi="Times New Roman" w:cs="Times New Roman"/>
          <w:lang w:val="en-CA"/>
        </w:rPr>
      </w:pPr>
    </w:p>
    <w:p w14:paraId="456B3C1F" w14:textId="77777777" w:rsidR="00986748" w:rsidRDefault="00986748" w:rsidP="00986748">
      <w:pPr>
        <w:jc w:val="center"/>
        <w:rPr>
          <w:rFonts w:ascii="Times New Roman" w:hAnsi="Times New Roman" w:cs="Times New Roman"/>
          <w:lang w:val="en-CA"/>
        </w:rPr>
      </w:pPr>
    </w:p>
    <w:p w14:paraId="3DEE4867" w14:textId="77777777" w:rsidR="00986748" w:rsidRDefault="00986748" w:rsidP="00986748">
      <w:pPr>
        <w:jc w:val="center"/>
        <w:rPr>
          <w:rFonts w:ascii="Times New Roman" w:hAnsi="Times New Roman" w:cs="Times New Roman"/>
          <w:lang w:val="en-CA"/>
        </w:rPr>
      </w:pPr>
    </w:p>
    <w:p w14:paraId="795C7AC5" w14:textId="77777777" w:rsidR="00986748" w:rsidRDefault="00986748" w:rsidP="00986748">
      <w:pPr>
        <w:jc w:val="center"/>
        <w:rPr>
          <w:rFonts w:ascii="Times New Roman" w:hAnsi="Times New Roman" w:cs="Times New Roman"/>
          <w:lang w:val="en-CA"/>
        </w:rPr>
      </w:pPr>
    </w:p>
    <w:p w14:paraId="6BDED239" w14:textId="77777777" w:rsidR="00986748" w:rsidRDefault="00986748" w:rsidP="00986748">
      <w:pPr>
        <w:jc w:val="center"/>
        <w:rPr>
          <w:rFonts w:ascii="Times New Roman" w:hAnsi="Times New Roman" w:cs="Times New Roman"/>
          <w:lang w:val="en-CA"/>
        </w:rPr>
      </w:pPr>
    </w:p>
    <w:p w14:paraId="3C6C5D3D" w14:textId="5285FB10" w:rsidR="00986748" w:rsidRPr="00986748" w:rsidRDefault="00986748" w:rsidP="00986748">
      <w:pPr>
        <w:jc w:val="center"/>
        <w:rPr>
          <w:rFonts w:ascii="Times New Roman" w:hAnsi="Times New Roman" w:cs="Times New Roman"/>
          <w:lang w:val="en-CA"/>
        </w:rPr>
      </w:pPr>
      <w:r w:rsidRPr="00986748">
        <w:rPr>
          <w:rFonts w:ascii="Times New Roman" w:hAnsi="Times New Roman" w:cs="Times New Roman"/>
          <w:lang w:val="en-CA"/>
        </w:rPr>
        <w:t>Canadian Economic History</w:t>
      </w:r>
    </w:p>
    <w:p w14:paraId="4027C916" w14:textId="08EE7599" w:rsidR="00986748" w:rsidRPr="00986748" w:rsidRDefault="00986748" w:rsidP="00986748">
      <w:pPr>
        <w:jc w:val="center"/>
        <w:rPr>
          <w:rFonts w:ascii="Times New Roman" w:hAnsi="Times New Roman" w:cs="Times New Roman"/>
          <w:lang w:val="en-CA"/>
        </w:rPr>
      </w:pPr>
      <w:r w:rsidRPr="00986748">
        <w:rPr>
          <w:rFonts w:ascii="Times New Roman" w:hAnsi="Times New Roman" w:cs="Times New Roman"/>
          <w:lang w:val="en-CA"/>
        </w:rPr>
        <w:t>Econ 3220 A</w:t>
      </w:r>
    </w:p>
    <w:p w14:paraId="21EC7FC5" w14:textId="3514C182" w:rsidR="00986748" w:rsidRPr="00986748" w:rsidRDefault="00986748" w:rsidP="00986748">
      <w:pPr>
        <w:jc w:val="center"/>
        <w:rPr>
          <w:rFonts w:ascii="Times New Roman" w:hAnsi="Times New Roman" w:cs="Times New Roman"/>
          <w:lang w:val="en-CA"/>
        </w:rPr>
      </w:pPr>
      <w:r w:rsidRPr="00986748">
        <w:rPr>
          <w:rFonts w:ascii="Times New Roman" w:hAnsi="Times New Roman" w:cs="Times New Roman"/>
          <w:lang w:val="en-CA"/>
        </w:rPr>
        <w:t>Assignment</w:t>
      </w:r>
      <w:bookmarkStart w:id="2" w:name="_GoBack"/>
      <w:bookmarkEnd w:id="2"/>
    </w:p>
    <w:p w14:paraId="007574F6" w14:textId="3E3DF57E" w:rsidR="00986748" w:rsidRPr="00986748" w:rsidRDefault="00986748" w:rsidP="00986748">
      <w:pPr>
        <w:jc w:val="center"/>
        <w:rPr>
          <w:rFonts w:ascii="Times New Roman" w:hAnsi="Times New Roman" w:cs="Times New Roman"/>
          <w:lang w:val="en-CA"/>
        </w:rPr>
      </w:pPr>
      <w:r w:rsidRPr="00986748">
        <w:rPr>
          <w:rFonts w:ascii="Times New Roman" w:hAnsi="Times New Roman" w:cs="Times New Roman"/>
          <w:lang w:val="en-CA"/>
        </w:rPr>
        <w:t>Kevin Thompson</w:t>
      </w:r>
    </w:p>
    <w:p w14:paraId="78505E48" w14:textId="1166F68F" w:rsidR="00986748" w:rsidRPr="00986748" w:rsidRDefault="00986748" w:rsidP="00986748">
      <w:pPr>
        <w:jc w:val="center"/>
        <w:rPr>
          <w:rFonts w:ascii="Times New Roman" w:hAnsi="Times New Roman" w:cs="Times New Roman"/>
          <w:lang w:val="en-CA"/>
        </w:rPr>
      </w:pPr>
      <w:r w:rsidRPr="00986748">
        <w:rPr>
          <w:rFonts w:ascii="Times New Roman" w:hAnsi="Times New Roman" w:cs="Times New Roman"/>
          <w:lang w:val="en-CA"/>
        </w:rPr>
        <w:t>100884454</w:t>
      </w:r>
    </w:p>
    <w:p w14:paraId="197918A5" w14:textId="77777777" w:rsidR="00986748" w:rsidRDefault="00986748" w:rsidP="00986748">
      <w:pPr>
        <w:jc w:val="center"/>
        <w:rPr>
          <w:rFonts w:ascii="Times New Roman" w:hAnsi="Times New Roman" w:cs="Times New Roman"/>
          <w:lang w:val="en-CA"/>
        </w:rPr>
      </w:pPr>
      <w:r w:rsidRPr="00986748">
        <w:rPr>
          <w:rFonts w:ascii="Times New Roman" w:hAnsi="Times New Roman" w:cs="Times New Roman"/>
          <w:lang w:val="en-CA"/>
        </w:rPr>
        <w:t>November 10</w:t>
      </w:r>
      <w:r w:rsidRPr="00986748">
        <w:rPr>
          <w:rFonts w:ascii="Times New Roman" w:hAnsi="Times New Roman" w:cs="Times New Roman"/>
          <w:vertAlign w:val="superscript"/>
          <w:lang w:val="en-CA"/>
        </w:rPr>
        <w:t>th</w:t>
      </w:r>
      <w:r w:rsidRPr="00986748">
        <w:rPr>
          <w:rFonts w:ascii="Times New Roman" w:hAnsi="Times New Roman" w:cs="Times New Roman"/>
          <w:lang w:val="en-CA"/>
        </w:rPr>
        <w:t>, 201</w:t>
      </w:r>
      <w:r>
        <w:rPr>
          <w:rFonts w:ascii="Times New Roman" w:hAnsi="Times New Roman" w:cs="Times New Roman"/>
          <w:lang w:val="en-CA"/>
        </w:rPr>
        <w:t>6</w:t>
      </w:r>
    </w:p>
    <w:p w14:paraId="734DCC1C" w14:textId="55B33DB1" w:rsidR="00FB0576" w:rsidRPr="00986748" w:rsidRDefault="00FB0576" w:rsidP="00986748">
      <w:pPr>
        <w:rPr>
          <w:rFonts w:ascii="Times New Roman" w:hAnsi="Times New Roman" w:cs="Times New Roman"/>
          <w:lang w:val="en-CA"/>
        </w:rPr>
      </w:pPr>
      <w:r w:rsidRPr="00986748">
        <w:rPr>
          <w:rFonts w:ascii="Times New Roman" w:hAnsi="Times New Roman" w:cs="Times New Roman"/>
          <w:b/>
          <w:bCs/>
          <w:lang w:val="en-CA"/>
        </w:rPr>
        <w:lastRenderedPageBreak/>
        <w:t>Canada</w:t>
      </w:r>
    </w:p>
    <w:p w14:paraId="0A9C3EDE" w14:textId="41C5CFF6" w:rsidR="00FB0576" w:rsidRPr="00986748" w:rsidRDefault="00FB0576" w:rsidP="00986748">
      <w:pPr>
        <w:ind w:firstLine="720"/>
        <w:rPr>
          <w:rFonts w:ascii="Times New Roman" w:hAnsi="Times New Roman" w:cs="Times New Roman"/>
          <w:lang w:val="en-CA"/>
        </w:rPr>
      </w:pPr>
      <w:r w:rsidRPr="00986748">
        <w:rPr>
          <w:rFonts w:ascii="Times New Roman" w:hAnsi="Times New Roman" w:cs="Times New Roman"/>
          <w:lang w:val="en-CA"/>
        </w:rPr>
        <w:t xml:space="preserve">Canada </w:t>
      </w:r>
      <w:r w:rsidR="00D530AC" w:rsidRPr="00986748">
        <w:rPr>
          <w:rFonts w:ascii="Times New Roman" w:hAnsi="Times New Roman" w:cs="Times New Roman"/>
          <w:lang w:val="en-CA"/>
        </w:rPr>
        <w:t>is a developed country listed within</w:t>
      </w:r>
      <w:r w:rsidRPr="00986748">
        <w:rPr>
          <w:rFonts w:ascii="Times New Roman" w:hAnsi="Times New Roman" w:cs="Times New Roman"/>
          <w:lang w:val="en-CA"/>
        </w:rPr>
        <w:t xml:space="preserve"> the </w:t>
      </w:r>
      <w:r w:rsidR="00D530AC" w:rsidRPr="00986748">
        <w:rPr>
          <w:rFonts w:ascii="Times New Roman" w:hAnsi="Times New Roman" w:cs="Times New Roman"/>
          <w:lang w:val="en-CA"/>
        </w:rPr>
        <w:t>Organization for Economic Coordination and Development (</w:t>
      </w:r>
      <w:r w:rsidRPr="00986748">
        <w:rPr>
          <w:rFonts w:ascii="Times New Roman" w:hAnsi="Times New Roman" w:cs="Times New Roman"/>
          <w:lang w:val="en-CA"/>
        </w:rPr>
        <w:t>OECD</w:t>
      </w:r>
      <w:r w:rsidR="00D530AC" w:rsidRPr="00986748">
        <w:rPr>
          <w:rFonts w:ascii="Times New Roman" w:hAnsi="Times New Roman" w:cs="Times New Roman"/>
          <w:lang w:val="en-CA"/>
        </w:rPr>
        <w:t>)</w:t>
      </w:r>
      <w:r w:rsidRPr="00986748">
        <w:rPr>
          <w:rFonts w:ascii="Times New Roman" w:hAnsi="Times New Roman" w:cs="Times New Roman"/>
          <w:lang w:val="en-CA"/>
        </w:rPr>
        <w:t xml:space="preserve"> and has an economy that heavily depends on natural resource export. </w:t>
      </w:r>
      <w:r w:rsidR="00E60959" w:rsidRPr="00986748">
        <w:rPr>
          <w:rFonts w:ascii="Times New Roman" w:hAnsi="Times New Roman" w:cs="Times New Roman"/>
          <w:lang w:val="en-CA"/>
        </w:rPr>
        <w:t>Canada’s mineral products export accounts for $135 Billion US of the</w:t>
      </w:r>
      <w:r w:rsidR="009D76AC" w:rsidRPr="00986748">
        <w:rPr>
          <w:rFonts w:ascii="Times New Roman" w:hAnsi="Times New Roman" w:cs="Times New Roman"/>
          <w:lang w:val="en-CA"/>
        </w:rPr>
        <w:t xml:space="preserve"> total $44</w:t>
      </w:r>
      <w:r w:rsidR="00E60959" w:rsidRPr="00986748">
        <w:rPr>
          <w:rFonts w:ascii="Times New Roman" w:hAnsi="Times New Roman" w:cs="Times New Roman"/>
          <w:lang w:val="en-CA"/>
        </w:rPr>
        <w:t xml:space="preserve">8 Billion US that was exported in 2014.  Products such as crude oil ($87 Billion US exported in 2014), refined petroleum ($14.9 Billion US exported in 2014), and Petroleum Gas ($15.8 Billion US exported in 2014), are all included under Canada’s mineral product exports, and give a view of the Canadian economy’s dependence on natural resource export. “In 2015, 4 in 10 barrels of oil that entered the USA came from Canada.” (Cryderman, The Globe and Mail, 2016). Canada sits in a favourable position with regards to the fact that a lot of its crude oil export is being sent to the USA, another advanced economy. “Canada sent a record 3.2 million barrels per day of gross crude oil exports to the USA last year, up 10% from 2014.” (Cryderman, The Globe and Mail, 2016). Although Canada does also export a lot of automobiles, </w:t>
      </w:r>
      <w:r w:rsidR="0061682A" w:rsidRPr="00986748">
        <w:rPr>
          <w:rFonts w:ascii="Times New Roman" w:hAnsi="Times New Roman" w:cs="Times New Roman"/>
          <w:lang w:val="en-CA"/>
        </w:rPr>
        <w:t>(10% of total exports in 2014 according to the Organization for Economic Complexity), crude oil remained as the main export accounting for 19% of total Canadian exports in 2014.</w:t>
      </w:r>
    </w:p>
    <w:p w14:paraId="09B2C19C" w14:textId="77777777" w:rsidR="000213A0" w:rsidRPr="00986748" w:rsidRDefault="000213A0" w:rsidP="00FB0576">
      <w:pPr>
        <w:rPr>
          <w:rFonts w:ascii="Times New Roman" w:hAnsi="Times New Roman" w:cs="Times New Roman"/>
          <w:lang w:val="en-CA"/>
        </w:rPr>
      </w:pPr>
    </w:p>
    <w:p w14:paraId="37384B40" w14:textId="1C5AC436" w:rsidR="000213A0" w:rsidRPr="00986748" w:rsidRDefault="00D67C5D" w:rsidP="00FB0576">
      <w:pPr>
        <w:rPr>
          <w:rFonts w:ascii="Times New Roman" w:hAnsi="Times New Roman" w:cs="Times New Roman"/>
          <w:lang w:val="en-CA"/>
        </w:rPr>
      </w:pPr>
      <w:r w:rsidRPr="00986748">
        <w:rPr>
          <w:rFonts w:ascii="Times New Roman" w:hAnsi="Times New Roman" w:cs="Times New Roman"/>
          <w:noProof/>
        </w:rPr>
        <w:drawing>
          <wp:inline distT="0" distB="0" distL="0" distR="0" wp14:anchorId="61260DC7" wp14:editId="79FA28B0">
            <wp:extent cx="6109335" cy="3294380"/>
            <wp:effectExtent l="0" t="0" r="12065" b="762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7248552" w14:textId="77777777" w:rsidR="0061682A" w:rsidRPr="00986748" w:rsidRDefault="0061682A" w:rsidP="00FB0576">
      <w:pPr>
        <w:rPr>
          <w:rFonts w:ascii="Times New Roman" w:hAnsi="Times New Roman" w:cs="Times New Roman"/>
          <w:lang w:val="en-CA"/>
        </w:rPr>
      </w:pPr>
    </w:p>
    <w:p w14:paraId="3F1B56E2" w14:textId="77777777" w:rsidR="0061682A" w:rsidRPr="00986748" w:rsidRDefault="0061682A" w:rsidP="00FB0576">
      <w:pPr>
        <w:rPr>
          <w:rFonts w:ascii="Times New Roman" w:hAnsi="Times New Roman" w:cs="Times New Roman"/>
          <w:b/>
          <w:bCs/>
          <w:lang w:val="en-CA"/>
        </w:rPr>
      </w:pPr>
      <w:r w:rsidRPr="00986748">
        <w:rPr>
          <w:rFonts w:ascii="Times New Roman" w:hAnsi="Times New Roman" w:cs="Times New Roman"/>
          <w:b/>
          <w:bCs/>
          <w:lang w:val="en-CA"/>
        </w:rPr>
        <w:t xml:space="preserve">Australia </w:t>
      </w:r>
    </w:p>
    <w:p w14:paraId="16E0E981" w14:textId="7D7E099D" w:rsidR="0061682A" w:rsidRPr="00986748" w:rsidRDefault="00B315EA" w:rsidP="00986748">
      <w:pPr>
        <w:ind w:firstLine="720"/>
        <w:rPr>
          <w:rFonts w:ascii="Times New Roman" w:hAnsi="Times New Roman" w:cs="Times New Roman"/>
          <w:lang w:val="en-CA"/>
        </w:rPr>
      </w:pPr>
      <w:r w:rsidRPr="00986748">
        <w:rPr>
          <w:rFonts w:ascii="Times New Roman" w:hAnsi="Times New Roman" w:cs="Times New Roman"/>
          <w:lang w:val="en-CA"/>
        </w:rPr>
        <w:t>Australia has been chosen as the OECD country that depends heavily on natural resource exports</w:t>
      </w:r>
      <w:r w:rsidR="006F1CE1" w:rsidRPr="00986748">
        <w:rPr>
          <w:rFonts w:ascii="Times New Roman" w:hAnsi="Times New Roman" w:cs="Times New Roman"/>
          <w:lang w:val="en-CA"/>
        </w:rPr>
        <w:t xml:space="preserve"> that we will compare to Canada’s natural resource dependent economy. Australia’s three biggest exports in 2014, as reported by the Organization for Economic Complexity, are Iron Ore (24.6% of total exports in 2014), Coal Briquettes (</w:t>
      </w:r>
      <w:r w:rsidR="00614D1E" w:rsidRPr="00986748">
        <w:rPr>
          <w:rFonts w:ascii="Times New Roman" w:hAnsi="Times New Roman" w:cs="Times New Roman"/>
          <w:lang w:val="en-CA"/>
        </w:rPr>
        <w:t xml:space="preserve">15.2% of total exports in 2014), and there was a tie for third between Petroleum Gas and Gold (both at 6.7% of total exports in 2014). As this data shows, Australia’s four biggest export products in 2014 were all natural resources, making it a fit in the category for an OECD country whose economy relies on </w:t>
      </w:r>
      <w:r w:rsidR="009F2777" w:rsidRPr="00986748">
        <w:rPr>
          <w:rFonts w:ascii="Times New Roman" w:hAnsi="Times New Roman" w:cs="Times New Roman"/>
          <w:lang w:val="en-CA"/>
        </w:rPr>
        <w:t xml:space="preserve">natural resource exportation. </w:t>
      </w:r>
      <w:r w:rsidR="007B4C79" w:rsidRPr="00986748">
        <w:rPr>
          <w:rFonts w:ascii="Times New Roman" w:hAnsi="Times New Roman" w:cs="Times New Roman"/>
          <w:lang w:val="en-CA"/>
        </w:rPr>
        <w:t>Iron and Coal alone amount to 40% of Australia’s exports, and 60% of its exports to china. “</w:t>
      </w:r>
      <w:r w:rsidR="00507B94" w:rsidRPr="00986748">
        <w:rPr>
          <w:rFonts w:ascii="Times New Roman" w:hAnsi="Times New Roman" w:cs="Times New Roman"/>
          <w:lang w:val="en-CA"/>
        </w:rPr>
        <w:t>Cons</w:t>
      </w:r>
      <w:r w:rsidR="007B4C79" w:rsidRPr="00986748">
        <w:rPr>
          <w:rFonts w:ascii="Times New Roman" w:hAnsi="Times New Roman" w:cs="Times New Roman"/>
          <w:lang w:val="en-CA"/>
        </w:rPr>
        <w:t xml:space="preserve">equently, Australia’s economy has developed in recent years around capital spending in the mining industry.” (Blackwell, The Globe and Mail, 2016). </w:t>
      </w:r>
      <w:r w:rsidR="00366889" w:rsidRPr="00986748">
        <w:rPr>
          <w:rFonts w:ascii="Times New Roman" w:hAnsi="Times New Roman" w:cs="Times New Roman"/>
          <w:lang w:val="en-CA"/>
        </w:rPr>
        <w:t>This suggests that Australia’s economy is heavily reliant on natural resource demand from China, and a decrease in said demand would have decreasing effects on the Australian output of natural resources.</w:t>
      </w:r>
    </w:p>
    <w:p w14:paraId="1BAE623A" w14:textId="29FCCEA9" w:rsidR="00D67C5D" w:rsidRPr="00986748" w:rsidRDefault="00D67C5D" w:rsidP="00FB0576">
      <w:pPr>
        <w:rPr>
          <w:rFonts w:ascii="Times New Roman" w:hAnsi="Times New Roman" w:cs="Times New Roman"/>
          <w:lang w:val="en-CA"/>
        </w:rPr>
      </w:pPr>
    </w:p>
    <w:p w14:paraId="22942FDC" w14:textId="77777777" w:rsidR="00D67C5D" w:rsidRPr="00986748" w:rsidRDefault="00D67C5D" w:rsidP="00FB0576">
      <w:pPr>
        <w:rPr>
          <w:rFonts w:ascii="Times New Roman" w:hAnsi="Times New Roman" w:cs="Times New Roman"/>
          <w:lang w:val="en-CA"/>
        </w:rPr>
      </w:pPr>
    </w:p>
    <w:p w14:paraId="465D591E" w14:textId="1D36C1F8" w:rsidR="00D67C5D" w:rsidRPr="00986748" w:rsidRDefault="00D67C5D" w:rsidP="00D67C5D">
      <w:pPr>
        <w:jc w:val="center"/>
        <w:rPr>
          <w:rFonts w:ascii="Times New Roman" w:hAnsi="Times New Roman" w:cs="Times New Roman"/>
          <w:lang w:val="en-CA"/>
        </w:rPr>
      </w:pPr>
      <w:r w:rsidRPr="00986748">
        <w:rPr>
          <w:rFonts w:ascii="Times New Roman" w:hAnsi="Times New Roman" w:cs="Times New Roman"/>
          <w:noProof/>
        </w:rPr>
        <w:drawing>
          <wp:inline distT="0" distB="0" distL="0" distR="0" wp14:anchorId="58BBFF83" wp14:editId="5F9B6095">
            <wp:extent cx="5816600" cy="3314700"/>
            <wp:effectExtent l="0" t="0" r="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981E778" w14:textId="77777777" w:rsidR="00366889" w:rsidRPr="00986748" w:rsidRDefault="00366889" w:rsidP="00FB0576">
      <w:pPr>
        <w:rPr>
          <w:rFonts w:ascii="Times New Roman" w:hAnsi="Times New Roman" w:cs="Times New Roman"/>
          <w:lang w:val="en-CA"/>
        </w:rPr>
      </w:pPr>
    </w:p>
    <w:p w14:paraId="07D5D14B" w14:textId="023F62AC" w:rsidR="00366889" w:rsidRPr="00986748" w:rsidRDefault="00366889" w:rsidP="00FB0576">
      <w:pPr>
        <w:rPr>
          <w:rFonts w:ascii="Times New Roman" w:hAnsi="Times New Roman" w:cs="Times New Roman"/>
          <w:lang w:val="en-CA"/>
        </w:rPr>
      </w:pPr>
      <w:r w:rsidRPr="00986748">
        <w:rPr>
          <w:rFonts w:ascii="Times New Roman" w:hAnsi="Times New Roman" w:cs="Times New Roman"/>
          <w:b/>
          <w:bCs/>
          <w:lang w:val="en-CA"/>
        </w:rPr>
        <w:t>Germany</w:t>
      </w:r>
    </w:p>
    <w:p w14:paraId="308BE791" w14:textId="32E7D2E3" w:rsidR="00366889" w:rsidRPr="00986748" w:rsidRDefault="00366889" w:rsidP="00986748">
      <w:pPr>
        <w:ind w:firstLine="720"/>
        <w:rPr>
          <w:rFonts w:ascii="Times New Roman" w:hAnsi="Times New Roman" w:cs="Times New Roman"/>
          <w:lang w:val="en-CA"/>
        </w:rPr>
      </w:pPr>
      <w:r w:rsidRPr="00986748">
        <w:rPr>
          <w:rFonts w:ascii="Times New Roman" w:hAnsi="Times New Roman" w:cs="Times New Roman"/>
          <w:lang w:val="en-CA"/>
        </w:rPr>
        <w:t xml:space="preserve">Germany has been selected as the OECD country whose economy does not rely heavily on natural resource exports. </w:t>
      </w:r>
      <w:r w:rsidR="00D530AC" w:rsidRPr="00986748">
        <w:rPr>
          <w:rFonts w:ascii="Times New Roman" w:hAnsi="Times New Roman" w:cs="Times New Roman"/>
          <w:lang w:val="en-CA"/>
        </w:rPr>
        <w:t>A common association with Germany is their quality high-performance cars like BMW and Mercedes-Benz, and this is evident in data from the Organization of Economic Complexity, which shows that Germany’s main export is in fact cars (12% of total exports in 2014). This is followed by vehicle parts, which accounted for 4.5% of total exports in 2014.  Can</w:t>
      </w:r>
      <w:r w:rsidR="00DC28CD" w:rsidRPr="00986748">
        <w:rPr>
          <w:rFonts w:ascii="Times New Roman" w:hAnsi="Times New Roman" w:cs="Times New Roman"/>
          <w:lang w:val="en-CA"/>
        </w:rPr>
        <w:t>ada and German</w:t>
      </w:r>
      <w:r w:rsidR="00EB5E57" w:rsidRPr="00986748">
        <w:rPr>
          <w:rFonts w:ascii="Times New Roman" w:hAnsi="Times New Roman" w:cs="Times New Roman"/>
          <w:lang w:val="en-CA"/>
        </w:rPr>
        <w:t>y are both listed with the OECD</w:t>
      </w:r>
      <w:r w:rsidR="00DC28CD" w:rsidRPr="00986748">
        <w:rPr>
          <w:rFonts w:ascii="Times New Roman" w:hAnsi="Times New Roman" w:cs="Times New Roman"/>
          <w:lang w:val="en-CA"/>
        </w:rPr>
        <w:t xml:space="preserve"> and are both developed countries with advanced economies, yet Canada depends so much more on natural resource export than Germany does.</w:t>
      </w:r>
      <w:r w:rsidR="00890BAC" w:rsidRPr="00986748">
        <w:rPr>
          <w:rFonts w:ascii="Times New Roman" w:hAnsi="Times New Roman" w:cs="Times New Roman"/>
          <w:lang w:val="en-CA"/>
        </w:rPr>
        <w:t xml:space="preserve"> According to the Organization for Economic Complexity, the natural resource product that is exported the most by Germany is </w:t>
      </w:r>
      <w:r w:rsidR="00532FA2" w:rsidRPr="00986748">
        <w:rPr>
          <w:rFonts w:ascii="Times New Roman" w:hAnsi="Times New Roman" w:cs="Times New Roman"/>
          <w:lang w:val="en-CA"/>
        </w:rPr>
        <w:t>Refined Petroleum, representing 1.2</w:t>
      </w:r>
      <w:r w:rsidR="00890BAC" w:rsidRPr="00986748">
        <w:rPr>
          <w:rFonts w:ascii="Times New Roman" w:hAnsi="Times New Roman" w:cs="Times New Roman"/>
          <w:lang w:val="en-CA"/>
        </w:rPr>
        <w:t>% of total German exports for 2014. This is compared to Canada, where crude oil (Canada’s largest natural resource export), represented 19% of total Canadian exports.</w:t>
      </w:r>
    </w:p>
    <w:p w14:paraId="7C9C1752" w14:textId="1A147A37" w:rsidR="00371C77" w:rsidRPr="00986748" w:rsidRDefault="00371C77" w:rsidP="00532FA2">
      <w:pPr>
        <w:rPr>
          <w:rFonts w:ascii="Times New Roman" w:hAnsi="Times New Roman" w:cs="Times New Roman"/>
          <w:lang w:val="en-CA"/>
        </w:rPr>
      </w:pPr>
    </w:p>
    <w:p w14:paraId="44CD7BD5" w14:textId="77777777" w:rsidR="00371C77" w:rsidRPr="00986748" w:rsidRDefault="00371C77" w:rsidP="00532FA2">
      <w:pPr>
        <w:rPr>
          <w:rFonts w:ascii="Times New Roman" w:hAnsi="Times New Roman" w:cs="Times New Roman"/>
          <w:lang w:val="en-CA"/>
        </w:rPr>
      </w:pPr>
    </w:p>
    <w:p w14:paraId="64343A0D" w14:textId="311CAA4C" w:rsidR="00371C77" w:rsidRPr="00986748" w:rsidRDefault="00371C77" w:rsidP="00371C77">
      <w:pPr>
        <w:jc w:val="center"/>
        <w:rPr>
          <w:rFonts w:ascii="Times New Roman" w:hAnsi="Times New Roman" w:cs="Times New Roman"/>
          <w:lang w:val="en-CA"/>
        </w:rPr>
      </w:pPr>
      <w:r w:rsidRPr="00986748">
        <w:rPr>
          <w:rFonts w:ascii="Times New Roman" w:hAnsi="Times New Roman" w:cs="Times New Roman"/>
          <w:noProof/>
        </w:rPr>
        <w:drawing>
          <wp:inline distT="0" distB="0" distL="0" distR="0" wp14:anchorId="33BDEDB1" wp14:editId="2FC067F8">
            <wp:extent cx="5789295" cy="2631440"/>
            <wp:effectExtent l="0" t="0" r="1905" b="1016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CFF1100" w14:textId="77777777" w:rsidR="00532FA2" w:rsidRPr="00986748" w:rsidRDefault="00532FA2" w:rsidP="00532FA2">
      <w:pPr>
        <w:rPr>
          <w:rFonts w:ascii="Times New Roman" w:hAnsi="Times New Roman" w:cs="Times New Roman"/>
          <w:lang w:val="en-CA"/>
        </w:rPr>
      </w:pPr>
    </w:p>
    <w:p w14:paraId="61A2F3E1" w14:textId="3ABD91E2" w:rsidR="00532FA2" w:rsidRPr="00986748" w:rsidRDefault="00532FA2" w:rsidP="00532FA2">
      <w:pPr>
        <w:rPr>
          <w:rFonts w:ascii="Times New Roman" w:hAnsi="Times New Roman" w:cs="Times New Roman"/>
          <w:b/>
          <w:bCs/>
          <w:lang w:val="en-CA"/>
        </w:rPr>
      </w:pPr>
      <w:r w:rsidRPr="00986748">
        <w:rPr>
          <w:rFonts w:ascii="Times New Roman" w:hAnsi="Times New Roman" w:cs="Times New Roman"/>
          <w:b/>
          <w:bCs/>
          <w:lang w:val="en-CA"/>
        </w:rPr>
        <w:t>Iraq</w:t>
      </w:r>
    </w:p>
    <w:p w14:paraId="628245D3" w14:textId="142E7ADC" w:rsidR="00532FA2" w:rsidRPr="00986748" w:rsidRDefault="00CA5F3F" w:rsidP="00986748">
      <w:pPr>
        <w:ind w:firstLine="720"/>
        <w:rPr>
          <w:rFonts w:ascii="Times New Roman" w:hAnsi="Times New Roman" w:cs="Times New Roman"/>
          <w:lang w:val="en-CA"/>
        </w:rPr>
      </w:pPr>
      <w:r w:rsidRPr="00986748">
        <w:rPr>
          <w:rFonts w:ascii="Times New Roman" w:hAnsi="Times New Roman" w:cs="Times New Roman"/>
          <w:lang w:val="en-CA"/>
        </w:rPr>
        <w:t>Iraq has been chosen as the Non-OECD country whose economy relies heavily on natural resource exports as a means of income. In fact, it could be argued that Iraq’s economy is almost completely reliant on natural resource exportation. It is shown by the Organization for Economic Complexity that 99% of Iraq’s total exports for 2014 was crude petroleum, followed by refined petroleum, accounting for 0.635% of total exports in 2014. With almost nothing else to offer the world economy, Iraq is a good fit to compare to Canada because both countries have economies that rely on the export of natural resources, yet one is considered a developed country (Canada), and one is considered a developing country (Iraq). This comparison will be interesting to see if natural resource export is linked to a higher standard of living, or whether there are other factors involved.</w:t>
      </w:r>
      <w:r w:rsidR="00AC0145" w:rsidRPr="00986748">
        <w:rPr>
          <w:rFonts w:ascii="Times New Roman" w:hAnsi="Times New Roman" w:cs="Times New Roman"/>
          <w:lang w:val="en-CA"/>
        </w:rPr>
        <w:t xml:space="preserve"> Notice that Iraq’s data only goes as far back as 1970, while the other countries show data back to 1950.</w:t>
      </w:r>
    </w:p>
    <w:p w14:paraId="39420477" w14:textId="562BFFF2" w:rsidR="00AC0145" w:rsidRPr="00986748" w:rsidRDefault="00AC0145" w:rsidP="00AC0145">
      <w:pPr>
        <w:rPr>
          <w:rFonts w:ascii="Times New Roman" w:hAnsi="Times New Roman" w:cs="Times New Roman"/>
          <w:lang w:val="en-CA"/>
        </w:rPr>
      </w:pPr>
    </w:p>
    <w:p w14:paraId="4D6AC5B1" w14:textId="0B30A070" w:rsidR="00FB0576" w:rsidRPr="00986748" w:rsidRDefault="00AC0145" w:rsidP="00FB0576">
      <w:pPr>
        <w:rPr>
          <w:rFonts w:ascii="Times New Roman" w:hAnsi="Times New Roman" w:cs="Times New Roman"/>
          <w:lang w:val="en-CA"/>
        </w:rPr>
      </w:pPr>
      <w:r w:rsidRPr="00986748">
        <w:rPr>
          <w:rFonts w:ascii="Times New Roman" w:hAnsi="Times New Roman" w:cs="Times New Roman"/>
          <w:noProof/>
        </w:rPr>
        <w:drawing>
          <wp:inline distT="0" distB="0" distL="0" distR="0" wp14:anchorId="723D24F5" wp14:editId="4F063E59">
            <wp:extent cx="5943600" cy="2593975"/>
            <wp:effectExtent l="0" t="0" r="0" b="222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FC672D8" w14:textId="77777777" w:rsidR="00130559" w:rsidRPr="00986748" w:rsidRDefault="00130559" w:rsidP="00FB0576">
      <w:pPr>
        <w:rPr>
          <w:rFonts w:ascii="Times New Roman" w:hAnsi="Times New Roman" w:cs="Times New Roman"/>
          <w:lang w:val="en-CA"/>
        </w:rPr>
      </w:pPr>
    </w:p>
    <w:p w14:paraId="02BC56EB" w14:textId="77777777" w:rsidR="00986748" w:rsidRDefault="00986748" w:rsidP="00FB0576">
      <w:pPr>
        <w:rPr>
          <w:rFonts w:ascii="Times New Roman" w:hAnsi="Times New Roman" w:cs="Times New Roman"/>
          <w:b/>
          <w:bCs/>
          <w:lang w:val="en-CA"/>
        </w:rPr>
      </w:pPr>
    </w:p>
    <w:p w14:paraId="506A855D" w14:textId="21EAD1D6" w:rsidR="00130559" w:rsidRPr="00986748" w:rsidRDefault="00911F5C" w:rsidP="00FB0576">
      <w:pPr>
        <w:rPr>
          <w:rFonts w:ascii="Times New Roman" w:hAnsi="Times New Roman" w:cs="Times New Roman"/>
          <w:b/>
          <w:bCs/>
          <w:lang w:val="en-CA"/>
        </w:rPr>
      </w:pPr>
      <w:r w:rsidRPr="00986748">
        <w:rPr>
          <w:rFonts w:ascii="Times New Roman" w:hAnsi="Times New Roman" w:cs="Times New Roman"/>
          <w:b/>
          <w:bCs/>
          <w:lang w:val="en-CA"/>
        </w:rPr>
        <w:t>Average Real GDP Per Capita</w:t>
      </w:r>
    </w:p>
    <w:p w14:paraId="4D6B2156" w14:textId="77777777" w:rsidR="00911F5C" w:rsidRPr="00986748" w:rsidRDefault="00911F5C" w:rsidP="00FB0576">
      <w:pPr>
        <w:rPr>
          <w:rFonts w:ascii="Times New Roman" w:hAnsi="Times New Roman" w:cs="Times New Roman"/>
          <w:b/>
          <w:bCs/>
          <w:lang w:val="en-CA"/>
        </w:rPr>
      </w:pPr>
    </w:p>
    <w:p w14:paraId="1A387FCA" w14:textId="656223B2" w:rsidR="00911F5C" w:rsidRPr="00986748" w:rsidRDefault="00911F5C" w:rsidP="00911F5C">
      <w:pPr>
        <w:jc w:val="center"/>
        <w:rPr>
          <w:rFonts w:ascii="Times New Roman" w:hAnsi="Times New Roman" w:cs="Times New Roman"/>
          <w:lang w:val="en-CA"/>
        </w:rPr>
      </w:pPr>
      <w:r w:rsidRPr="00986748">
        <w:rPr>
          <w:rFonts w:ascii="Times New Roman" w:hAnsi="Times New Roman" w:cs="Times New Roman"/>
          <w:noProof/>
        </w:rPr>
        <w:drawing>
          <wp:inline distT="0" distB="0" distL="0" distR="0" wp14:anchorId="213AF617" wp14:editId="6DFF84E1">
            <wp:extent cx="5289550" cy="2819400"/>
            <wp:effectExtent l="0" t="0" r="1905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F20B8E6" w14:textId="77777777" w:rsidR="00911F5C" w:rsidRPr="00986748" w:rsidRDefault="00911F5C" w:rsidP="00911F5C">
      <w:pPr>
        <w:rPr>
          <w:rFonts w:ascii="Times New Roman" w:hAnsi="Times New Roman" w:cs="Times New Roman"/>
          <w:lang w:val="en-CA"/>
        </w:rPr>
      </w:pPr>
    </w:p>
    <w:p w14:paraId="1E8A7A88" w14:textId="77777777" w:rsidR="00911F5C" w:rsidRPr="00986748" w:rsidRDefault="00911F5C" w:rsidP="00911F5C">
      <w:pPr>
        <w:rPr>
          <w:rFonts w:ascii="Times New Roman" w:hAnsi="Times New Roman" w:cs="Times New Roman"/>
          <w:lang w:val="en-CA"/>
        </w:rPr>
      </w:pPr>
    </w:p>
    <w:p w14:paraId="418B86CD" w14:textId="650763BD" w:rsidR="00911F5C" w:rsidRPr="00986748" w:rsidRDefault="00911F5C" w:rsidP="00911F5C">
      <w:pPr>
        <w:rPr>
          <w:rFonts w:ascii="Times New Roman" w:hAnsi="Times New Roman" w:cs="Times New Roman"/>
          <w:b/>
          <w:bCs/>
          <w:lang w:val="en-CA"/>
        </w:rPr>
      </w:pPr>
      <w:r w:rsidRPr="00986748">
        <w:rPr>
          <w:rFonts w:ascii="Times New Roman" w:hAnsi="Times New Roman" w:cs="Times New Roman"/>
          <w:b/>
          <w:bCs/>
          <w:lang w:val="en-CA"/>
        </w:rPr>
        <w:t>Standard of Living</w:t>
      </w:r>
    </w:p>
    <w:p w14:paraId="66950585" w14:textId="4F6AC9F4" w:rsidR="00911F5C" w:rsidRPr="00986748" w:rsidRDefault="00911F5C" w:rsidP="00986748">
      <w:pPr>
        <w:ind w:firstLine="720"/>
        <w:rPr>
          <w:rFonts w:ascii="Times New Roman" w:hAnsi="Times New Roman" w:cs="Times New Roman"/>
          <w:lang w:val="en-CA"/>
        </w:rPr>
      </w:pPr>
      <w:r w:rsidRPr="00986748">
        <w:rPr>
          <w:rFonts w:ascii="Times New Roman" w:hAnsi="Times New Roman" w:cs="Times New Roman"/>
          <w:lang w:val="en-CA"/>
        </w:rPr>
        <w:t xml:space="preserve">This graph shows a comparison between the average real GDP per capita of each country studied, which gives us a basis for understanding the quality of life in each of these countries. Canada has an average real GDP per capita of $26,518.00 USD from 1950 to the present. Australia scored $25,664.00 USD, Germany scored $22,684.00 USD, and Iraq scored $3786.00 USD, all in the same timeframe. </w:t>
      </w:r>
      <w:r w:rsidR="000A7942" w:rsidRPr="00986748">
        <w:rPr>
          <w:rFonts w:ascii="Times New Roman" w:hAnsi="Times New Roman" w:cs="Times New Roman"/>
          <w:lang w:val="en-CA"/>
        </w:rPr>
        <w:t xml:space="preserve">Based on these statistics, Canada is rated with the highest standard of living, followed by Australia, then Germany, </w:t>
      </w:r>
      <w:r w:rsidR="007555D1" w:rsidRPr="00986748">
        <w:rPr>
          <w:rFonts w:ascii="Times New Roman" w:hAnsi="Times New Roman" w:cs="Times New Roman"/>
          <w:lang w:val="en-CA"/>
        </w:rPr>
        <w:t>and then Iraq.</w:t>
      </w:r>
    </w:p>
    <w:p w14:paraId="45685AA8" w14:textId="77777777" w:rsidR="00D04CAD" w:rsidRPr="00986748" w:rsidRDefault="00D04CAD" w:rsidP="00911F5C">
      <w:pPr>
        <w:rPr>
          <w:rFonts w:ascii="Times New Roman" w:hAnsi="Times New Roman" w:cs="Times New Roman"/>
          <w:lang w:val="en-CA"/>
        </w:rPr>
      </w:pPr>
    </w:p>
    <w:p w14:paraId="4176C5E3" w14:textId="1F8502AA" w:rsidR="00D04CAD" w:rsidRPr="00986748" w:rsidRDefault="00D04CAD" w:rsidP="00911F5C">
      <w:pPr>
        <w:rPr>
          <w:rFonts w:ascii="Times New Roman" w:hAnsi="Times New Roman" w:cs="Times New Roman"/>
          <w:b/>
          <w:bCs/>
          <w:lang w:val="en-CA"/>
        </w:rPr>
      </w:pPr>
      <w:r w:rsidRPr="00986748">
        <w:rPr>
          <w:rFonts w:ascii="Times New Roman" w:hAnsi="Times New Roman" w:cs="Times New Roman"/>
          <w:b/>
          <w:bCs/>
          <w:lang w:val="en-CA"/>
        </w:rPr>
        <w:t>Canada’s Natural Resource Abundance in Comparison</w:t>
      </w:r>
    </w:p>
    <w:p w14:paraId="32631E0F" w14:textId="024730E5" w:rsidR="00D04CAD" w:rsidRPr="00986748" w:rsidRDefault="006C3DFD" w:rsidP="00986748">
      <w:pPr>
        <w:ind w:firstLine="720"/>
        <w:rPr>
          <w:rFonts w:ascii="Times New Roman" w:hAnsi="Times New Roman" w:cs="Times New Roman"/>
          <w:lang w:val="en-CA"/>
        </w:rPr>
      </w:pPr>
      <w:r w:rsidRPr="00986748">
        <w:rPr>
          <w:rFonts w:ascii="Times New Roman" w:hAnsi="Times New Roman" w:cs="Times New Roman"/>
          <w:lang w:val="en-CA"/>
        </w:rPr>
        <w:t xml:space="preserve">Canada, Australia, and Germany are all OECD countries with </w:t>
      </w:r>
      <w:r w:rsidR="007D1D28" w:rsidRPr="00986748">
        <w:rPr>
          <w:rFonts w:ascii="Times New Roman" w:hAnsi="Times New Roman" w:cs="Times New Roman"/>
          <w:lang w:val="en-CA"/>
        </w:rPr>
        <w:t xml:space="preserve">noticeably </w:t>
      </w:r>
      <w:r w:rsidRPr="00986748">
        <w:rPr>
          <w:rFonts w:ascii="Times New Roman" w:hAnsi="Times New Roman" w:cs="Times New Roman"/>
          <w:lang w:val="en-CA"/>
        </w:rPr>
        <w:t xml:space="preserve">constant growing GDP rankings from </w:t>
      </w:r>
      <w:r w:rsidR="007D1D28" w:rsidRPr="00986748">
        <w:rPr>
          <w:rFonts w:ascii="Times New Roman" w:hAnsi="Times New Roman" w:cs="Times New Roman"/>
          <w:lang w:val="en-CA"/>
        </w:rPr>
        <w:t xml:space="preserve">1950 to the present. </w:t>
      </w:r>
      <w:r w:rsidR="00E45C1D" w:rsidRPr="00986748">
        <w:rPr>
          <w:rFonts w:ascii="Times New Roman" w:hAnsi="Times New Roman" w:cs="Times New Roman"/>
          <w:lang w:val="en-CA"/>
        </w:rPr>
        <w:t>While Canada does expo</w:t>
      </w:r>
      <w:r w:rsidR="00C236B3" w:rsidRPr="00986748">
        <w:rPr>
          <w:rFonts w:ascii="Times New Roman" w:hAnsi="Times New Roman" w:cs="Times New Roman"/>
          <w:lang w:val="en-CA"/>
        </w:rPr>
        <w:t>rt a lot of natural resources (over 30% of total exports according to the Organization for Economic Complexity), Australia exports even more of their natural re</w:t>
      </w:r>
      <w:r w:rsidR="00454558" w:rsidRPr="00986748">
        <w:rPr>
          <w:rFonts w:ascii="Times New Roman" w:hAnsi="Times New Roman" w:cs="Times New Roman"/>
          <w:lang w:val="en-CA"/>
        </w:rPr>
        <w:t>sources. According to the same website, Australia’s natural resource export market accounts for over 60% of the country’s total exports. On the other hand, Germany does not export very many natural resources</w:t>
      </w:r>
      <w:r w:rsidR="002E5C99" w:rsidRPr="00986748">
        <w:rPr>
          <w:rFonts w:ascii="Times New Roman" w:hAnsi="Times New Roman" w:cs="Times New Roman"/>
          <w:lang w:val="en-CA"/>
        </w:rPr>
        <w:t xml:space="preserve"> at all. In fact, according </w:t>
      </w:r>
      <w:r w:rsidR="00EB5E57" w:rsidRPr="00986748">
        <w:rPr>
          <w:rFonts w:ascii="Times New Roman" w:hAnsi="Times New Roman" w:cs="Times New Roman"/>
          <w:lang w:val="en-CA"/>
        </w:rPr>
        <w:t xml:space="preserve">to </w:t>
      </w:r>
      <w:r w:rsidR="002E5C99" w:rsidRPr="00986748">
        <w:rPr>
          <w:rFonts w:ascii="Times New Roman" w:hAnsi="Times New Roman" w:cs="Times New Roman"/>
          <w:lang w:val="en-CA"/>
        </w:rPr>
        <w:t>the Organization for Economic Complexity, less than 5% of Germany’s total exports are from natural resources. With two</w:t>
      </w:r>
      <w:r w:rsidR="008D2D6F" w:rsidRPr="00986748">
        <w:rPr>
          <w:rFonts w:ascii="Times New Roman" w:hAnsi="Times New Roman" w:cs="Times New Roman"/>
          <w:lang w:val="en-CA"/>
        </w:rPr>
        <w:t xml:space="preserve"> economies heavily dependent on </w:t>
      </w:r>
      <w:r w:rsidR="002E5C99" w:rsidRPr="00986748">
        <w:rPr>
          <w:rFonts w:ascii="Times New Roman" w:hAnsi="Times New Roman" w:cs="Times New Roman"/>
          <w:lang w:val="en-CA"/>
        </w:rPr>
        <w:t xml:space="preserve">natural resource exportation and one economy not dependent on it, the graphs representing real GDP per capita in each country are expected to be less similar than they are represented to be. </w:t>
      </w:r>
      <w:r w:rsidR="005D3705" w:rsidRPr="00986748">
        <w:rPr>
          <w:rFonts w:ascii="Times New Roman" w:hAnsi="Times New Roman" w:cs="Times New Roman"/>
          <w:lang w:val="en-CA"/>
        </w:rPr>
        <w:t>From a real GDP standpoint, it does not appear that Canada has experienced significantly greater development than otherwise because of their natural resource abundance.</w:t>
      </w:r>
    </w:p>
    <w:p w14:paraId="6DEB8972" w14:textId="77777777" w:rsidR="00986748" w:rsidRPr="00986748" w:rsidRDefault="00986748" w:rsidP="00911F5C">
      <w:pPr>
        <w:rPr>
          <w:rFonts w:ascii="Times New Roman" w:hAnsi="Times New Roman" w:cs="Times New Roman"/>
          <w:b/>
          <w:bCs/>
          <w:lang w:val="en-CA"/>
        </w:rPr>
      </w:pPr>
    </w:p>
    <w:p w14:paraId="7D207FF1" w14:textId="73861B5E" w:rsidR="005D3705" w:rsidRPr="00986748" w:rsidRDefault="005D3705" w:rsidP="00911F5C">
      <w:pPr>
        <w:rPr>
          <w:rFonts w:ascii="Times New Roman" w:hAnsi="Times New Roman" w:cs="Times New Roman"/>
          <w:b/>
          <w:bCs/>
          <w:lang w:val="en-CA"/>
        </w:rPr>
      </w:pPr>
      <w:r w:rsidRPr="00986748">
        <w:rPr>
          <w:rFonts w:ascii="Times New Roman" w:hAnsi="Times New Roman" w:cs="Times New Roman"/>
          <w:b/>
          <w:bCs/>
          <w:lang w:val="en-CA"/>
        </w:rPr>
        <w:t>Natural Resource Abundance and Standard of Living</w:t>
      </w:r>
    </w:p>
    <w:p w14:paraId="46FAFCD6" w14:textId="6B4DA578" w:rsidR="00B208A1" w:rsidRPr="00986748" w:rsidRDefault="005D3705" w:rsidP="00986748">
      <w:pPr>
        <w:ind w:firstLine="720"/>
        <w:rPr>
          <w:rFonts w:ascii="Times New Roman" w:hAnsi="Times New Roman" w:cs="Times New Roman"/>
          <w:lang w:val="en-CA"/>
        </w:rPr>
      </w:pPr>
      <w:r w:rsidRPr="00986748">
        <w:rPr>
          <w:rFonts w:ascii="Times New Roman" w:hAnsi="Times New Roman" w:cs="Times New Roman"/>
          <w:lang w:val="en-CA"/>
        </w:rPr>
        <w:t>It is evident from Iraq’s real GDP per capita statistics that an abundance of natur</w:t>
      </w:r>
      <w:r w:rsidR="00EB5E57" w:rsidRPr="00986748">
        <w:rPr>
          <w:rFonts w:ascii="Times New Roman" w:hAnsi="Times New Roman" w:cs="Times New Roman"/>
          <w:lang w:val="en-CA"/>
        </w:rPr>
        <w:t xml:space="preserve">al resources does not always </w:t>
      </w:r>
      <w:r w:rsidRPr="00986748">
        <w:rPr>
          <w:rFonts w:ascii="Times New Roman" w:hAnsi="Times New Roman" w:cs="Times New Roman"/>
          <w:lang w:val="en-CA"/>
        </w:rPr>
        <w:t>necessarily correlate with a high standard of living. Iraq’s natural resource contribution to their total exports represents over 99%, which is substantially higher than any other country being measured in this study. However, Iraq’s real GDP per capita from 1970 to the present does not come close to comparing with any of the OECD countries measured. Therefore, while an abundance of natural resources has the capability of leading an economy to a higher standard of living, Iraq’s GDP rankings show that it is not always the case.</w:t>
      </w:r>
    </w:p>
    <w:p w14:paraId="44A5CFFA" w14:textId="77777777" w:rsidR="00BC3D84" w:rsidRPr="00986748" w:rsidRDefault="00BC3D84" w:rsidP="00911F5C">
      <w:pPr>
        <w:rPr>
          <w:rFonts w:ascii="Times New Roman" w:hAnsi="Times New Roman" w:cs="Times New Roman"/>
          <w:lang w:val="en-CA"/>
        </w:rPr>
      </w:pPr>
    </w:p>
    <w:p w14:paraId="2090F14F" w14:textId="002B859B" w:rsidR="005D3705" w:rsidRPr="00986748" w:rsidRDefault="00BC3D84" w:rsidP="00986748">
      <w:pPr>
        <w:ind w:firstLine="720"/>
        <w:rPr>
          <w:rFonts w:ascii="Times New Roman" w:hAnsi="Times New Roman" w:cs="Times New Roman"/>
          <w:lang w:val="en-CA"/>
        </w:rPr>
      </w:pPr>
      <w:r w:rsidRPr="00986748">
        <w:rPr>
          <w:rFonts w:ascii="Times New Roman" w:hAnsi="Times New Roman" w:cs="Times New Roman"/>
          <w:lang w:val="en-CA"/>
        </w:rPr>
        <w:t>Jeffery D. Sachs and Andrew M. Warner’s paper “The Curse of Natural Resources” theory is reflected through Iraq’s real GDP per capita graph</w:t>
      </w:r>
      <w:r w:rsidR="00207C1F" w:rsidRPr="00986748">
        <w:rPr>
          <w:rFonts w:ascii="Times New Roman" w:hAnsi="Times New Roman" w:cs="Times New Roman"/>
          <w:lang w:val="en-CA"/>
        </w:rPr>
        <w:t xml:space="preserve"> (2001, p. 827-838)</w:t>
      </w:r>
      <w:r w:rsidRPr="00986748">
        <w:rPr>
          <w:rFonts w:ascii="Times New Roman" w:hAnsi="Times New Roman" w:cs="Times New Roman"/>
          <w:lang w:val="en-CA"/>
        </w:rPr>
        <w:t xml:space="preserve">. Although nearly the entire economy of Iraq relies on natural resource exports, they have struggled to gain any significant growth from 1970 </w:t>
      </w:r>
      <w:proofErr w:type="gramStart"/>
      <w:r w:rsidRPr="00986748">
        <w:rPr>
          <w:rFonts w:ascii="Times New Roman" w:hAnsi="Times New Roman" w:cs="Times New Roman"/>
          <w:lang w:val="en-CA"/>
        </w:rPr>
        <w:t>to</w:t>
      </w:r>
      <w:proofErr w:type="gramEnd"/>
      <w:r w:rsidRPr="00986748">
        <w:rPr>
          <w:rFonts w:ascii="Times New Roman" w:hAnsi="Times New Roman" w:cs="Times New Roman"/>
          <w:lang w:val="en-CA"/>
        </w:rPr>
        <w:t xml:space="preserve"> present.  Iraq’s growth is nowhere near the growth of the three OECD count</w:t>
      </w:r>
      <w:r w:rsidR="00EB5E57" w:rsidRPr="00986748">
        <w:rPr>
          <w:rFonts w:ascii="Times New Roman" w:hAnsi="Times New Roman" w:cs="Times New Roman"/>
          <w:lang w:val="en-CA"/>
        </w:rPr>
        <w:t>r</w:t>
      </w:r>
      <w:r w:rsidRPr="00986748">
        <w:rPr>
          <w:rFonts w:ascii="Times New Roman" w:hAnsi="Times New Roman" w:cs="Times New Roman"/>
          <w:lang w:val="en-CA"/>
        </w:rPr>
        <w:t>ies studied in this assignment. The OECD countries have more of a mix of exports between natural resources and other goods than Iraq, and also show a substantially large growth rate in GDP over the same time period.</w:t>
      </w:r>
      <w:r w:rsidR="00C82ABF" w:rsidRPr="00986748">
        <w:rPr>
          <w:rFonts w:ascii="Times New Roman" w:hAnsi="Times New Roman" w:cs="Times New Roman"/>
          <w:lang w:val="en-CA"/>
        </w:rPr>
        <w:t xml:space="preserve"> The reason for this lack of growth in Iraq’s economy could be due to the fact</w:t>
      </w:r>
      <w:r w:rsidR="005D3705" w:rsidRPr="00986748">
        <w:rPr>
          <w:rFonts w:ascii="Times New Roman" w:hAnsi="Times New Roman" w:cs="Times New Roman"/>
          <w:lang w:val="en-CA"/>
        </w:rPr>
        <w:t xml:space="preserve"> </w:t>
      </w:r>
      <w:r w:rsidR="00C82ABF" w:rsidRPr="00986748">
        <w:rPr>
          <w:rFonts w:ascii="Times New Roman" w:hAnsi="Times New Roman" w:cs="Times New Roman"/>
          <w:lang w:val="en-CA"/>
        </w:rPr>
        <w:t>that their resources are high-priced commodities, and that Ira</w:t>
      </w:r>
      <w:r w:rsidR="008D2D6F" w:rsidRPr="00986748">
        <w:rPr>
          <w:rFonts w:ascii="Times New Roman" w:hAnsi="Times New Roman" w:cs="Times New Roman"/>
          <w:lang w:val="en-CA"/>
        </w:rPr>
        <w:t>q missed out on a lot of export-</w:t>
      </w:r>
      <w:r w:rsidR="00C82ABF" w:rsidRPr="00986748">
        <w:rPr>
          <w:rFonts w:ascii="Times New Roman" w:hAnsi="Times New Roman" w:cs="Times New Roman"/>
          <w:lang w:val="en-CA"/>
        </w:rPr>
        <w:t>led growth in years before the 21</w:t>
      </w:r>
      <w:r w:rsidR="00C82ABF" w:rsidRPr="00986748">
        <w:rPr>
          <w:rFonts w:ascii="Times New Roman" w:hAnsi="Times New Roman" w:cs="Times New Roman"/>
          <w:vertAlign w:val="superscript"/>
          <w:lang w:val="en-CA"/>
        </w:rPr>
        <w:t>st</w:t>
      </w:r>
      <w:r w:rsidR="00207C1F" w:rsidRPr="00986748">
        <w:rPr>
          <w:rFonts w:ascii="Times New Roman" w:hAnsi="Times New Roman" w:cs="Times New Roman"/>
          <w:lang w:val="en-CA"/>
        </w:rPr>
        <w:t xml:space="preserve"> century (p. 837). </w:t>
      </w:r>
    </w:p>
    <w:p w14:paraId="39179781" w14:textId="77777777" w:rsidR="00E51487" w:rsidRPr="00986748" w:rsidRDefault="00E51487" w:rsidP="00911F5C">
      <w:pPr>
        <w:rPr>
          <w:rFonts w:ascii="Times New Roman" w:hAnsi="Times New Roman" w:cs="Times New Roman"/>
          <w:lang w:val="en-CA"/>
        </w:rPr>
      </w:pPr>
    </w:p>
    <w:p w14:paraId="26A32DB0" w14:textId="77777777" w:rsidR="00E51487" w:rsidRPr="00986748" w:rsidRDefault="00E51487">
      <w:pPr>
        <w:rPr>
          <w:rFonts w:ascii="Times New Roman" w:hAnsi="Times New Roman" w:cs="Times New Roman"/>
          <w:lang w:val="en-CA"/>
        </w:rPr>
      </w:pPr>
      <w:r w:rsidRPr="00986748">
        <w:rPr>
          <w:rFonts w:ascii="Times New Roman" w:hAnsi="Times New Roman" w:cs="Times New Roman"/>
          <w:lang w:val="en-CA"/>
        </w:rPr>
        <w:br w:type="page"/>
      </w:r>
    </w:p>
    <w:p w14:paraId="010367B8" w14:textId="617071EE" w:rsidR="007C25C7" w:rsidRDefault="00E51487" w:rsidP="005B2D7E">
      <w:pPr>
        <w:rPr>
          <w:rFonts w:ascii="Times New Roman" w:hAnsi="Times New Roman" w:cs="Times New Roman"/>
          <w:b/>
          <w:bCs/>
          <w:lang w:val="en-CA"/>
        </w:rPr>
      </w:pPr>
      <w:r w:rsidRPr="00986748">
        <w:rPr>
          <w:rFonts w:ascii="Times New Roman" w:hAnsi="Times New Roman" w:cs="Times New Roman"/>
          <w:b/>
          <w:bCs/>
          <w:lang w:val="en-CA"/>
        </w:rPr>
        <w:t>References</w:t>
      </w:r>
    </w:p>
    <w:p w14:paraId="4BA05883" w14:textId="77777777" w:rsidR="005B2D7E" w:rsidRPr="005B2D7E" w:rsidRDefault="005B2D7E" w:rsidP="005B2D7E">
      <w:pPr>
        <w:rPr>
          <w:rFonts w:ascii="Times New Roman" w:hAnsi="Times New Roman" w:cs="Times New Roman"/>
          <w:b/>
          <w:bCs/>
          <w:lang w:val="en-CA"/>
        </w:rPr>
      </w:pPr>
    </w:p>
    <w:p w14:paraId="4E402793" w14:textId="12E8A0DB" w:rsidR="005377D1" w:rsidRPr="00986748" w:rsidRDefault="005377D1" w:rsidP="005377D1">
      <w:pPr>
        <w:rPr>
          <w:rFonts w:ascii="Times New Roman" w:eastAsia="Times New Roman" w:hAnsi="Times New Roman" w:cs="Times New Roman"/>
        </w:rPr>
      </w:pPr>
      <w:r w:rsidRPr="00310C8E">
        <w:rPr>
          <w:rFonts w:ascii="Times New Roman" w:eastAsia="Times New Roman" w:hAnsi="Times New Roman" w:cs="Times New Roman"/>
        </w:rPr>
        <w:t xml:space="preserve">Australia. (n.d.). Retrieved November 01, 2016, from http://atlas.media.mit.edu/en/profile/country/aus/ </w:t>
      </w:r>
    </w:p>
    <w:p w14:paraId="33F0FC61" w14:textId="77777777" w:rsidR="005377D1" w:rsidRPr="00986748" w:rsidRDefault="005377D1" w:rsidP="005377D1">
      <w:pPr>
        <w:rPr>
          <w:rFonts w:ascii="Times New Roman" w:eastAsia="Times New Roman" w:hAnsi="Times New Roman" w:cs="Times New Roman"/>
        </w:rPr>
      </w:pPr>
    </w:p>
    <w:p w14:paraId="6A328EA9" w14:textId="46819D4D" w:rsidR="005377D1" w:rsidRPr="00986748" w:rsidRDefault="005377D1" w:rsidP="005377D1">
      <w:pPr>
        <w:rPr>
          <w:rFonts w:ascii="Times New Roman" w:eastAsia="Times New Roman" w:hAnsi="Times New Roman" w:cs="Times New Roman"/>
        </w:rPr>
      </w:pPr>
      <w:r w:rsidRPr="00B67D59">
        <w:rPr>
          <w:rFonts w:ascii="Times New Roman" w:eastAsia="Times New Roman" w:hAnsi="Times New Roman" w:cs="Times New Roman"/>
        </w:rPr>
        <w:t xml:space="preserve">Blackwell, R. (2016, August 06). Australia and Canada: Two resource-driven economies on divergent path. </w:t>
      </w:r>
      <w:r w:rsidRPr="00B67D59">
        <w:rPr>
          <w:rFonts w:ascii="Times New Roman" w:eastAsia="Times New Roman" w:hAnsi="Times New Roman" w:cs="Times New Roman"/>
          <w:i/>
          <w:iCs/>
        </w:rPr>
        <w:t>The Globe and Mail</w:t>
      </w:r>
      <w:r w:rsidRPr="00B67D59">
        <w:rPr>
          <w:rFonts w:ascii="Times New Roman" w:eastAsia="Times New Roman" w:hAnsi="Times New Roman" w:cs="Times New Roman"/>
        </w:rPr>
        <w:t xml:space="preserve">. Retrieved November 01, 2016, from http://www.theglobeandmail.com/report-on-business/international-business/asian-pacific-business/australia-and-canada-two-resource-driven-economies-take-divergent-paths/article13625830/ </w:t>
      </w:r>
    </w:p>
    <w:p w14:paraId="56F245A3" w14:textId="77777777" w:rsidR="005377D1" w:rsidRPr="00986748" w:rsidRDefault="005377D1" w:rsidP="005377D1">
      <w:pPr>
        <w:rPr>
          <w:rFonts w:ascii="Times New Roman" w:eastAsia="Times New Roman" w:hAnsi="Times New Roman" w:cs="Times New Roman"/>
        </w:rPr>
      </w:pPr>
    </w:p>
    <w:p w14:paraId="2766756D" w14:textId="585CB35B" w:rsidR="005377D1" w:rsidRPr="00986748" w:rsidRDefault="005377D1" w:rsidP="005377D1">
      <w:pPr>
        <w:rPr>
          <w:rFonts w:ascii="Times New Roman" w:eastAsia="Times New Roman" w:hAnsi="Times New Roman" w:cs="Times New Roman"/>
        </w:rPr>
      </w:pPr>
      <w:r w:rsidRPr="00242277">
        <w:rPr>
          <w:rFonts w:ascii="Times New Roman" w:eastAsia="Times New Roman" w:hAnsi="Times New Roman" w:cs="Times New Roman"/>
        </w:rPr>
        <w:t xml:space="preserve">Canada. (n.d.). Retrieved November 01, 2016, from http://atlas.media.mit.edu/en/profile/country/can/ </w:t>
      </w:r>
    </w:p>
    <w:p w14:paraId="0FA35E48" w14:textId="77777777" w:rsidR="005377D1" w:rsidRPr="00986748" w:rsidRDefault="005377D1" w:rsidP="005377D1">
      <w:pPr>
        <w:rPr>
          <w:rFonts w:ascii="Times New Roman" w:eastAsia="Times New Roman" w:hAnsi="Times New Roman" w:cs="Times New Roman"/>
        </w:rPr>
      </w:pPr>
    </w:p>
    <w:p w14:paraId="0964ABBA" w14:textId="483A4D43" w:rsidR="005377D1" w:rsidRPr="00986748" w:rsidRDefault="005377D1" w:rsidP="005377D1">
      <w:pPr>
        <w:rPr>
          <w:rFonts w:ascii="Times New Roman" w:eastAsia="Times New Roman" w:hAnsi="Times New Roman" w:cs="Times New Roman"/>
        </w:rPr>
      </w:pPr>
      <w:r w:rsidRPr="007F1C60">
        <w:rPr>
          <w:rFonts w:ascii="Times New Roman" w:eastAsia="Times New Roman" w:hAnsi="Times New Roman" w:cs="Times New Roman"/>
        </w:rPr>
        <w:t xml:space="preserve">Cryderman, K. (2016, April 12). Canadian crude exports to U.S. hit record level. </w:t>
      </w:r>
      <w:r w:rsidRPr="007F1C60">
        <w:rPr>
          <w:rFonts w:ascii="Times New Roman" w:eastAsia="Times New Roman" w:hAnsi="Times New Roman" w:cs="Times New Roman"/>
          <w:i/>
          <w:iCs/>
        </w:rPr>
        <w:t>The Globe and Mail</w:t>
      </w:r>
      <w:r w:rsidRPr="007F1C60">
        <w:rPr>
          <w:rFonts w:ascii="Times New Roman" w:eastAsia="Times New Roman" w:hAnsi="Times New Roman" w:cs="Times New Roman"/>
        </w:rPr>
        <w:t xml:space="preserve">. Retrieved November 01, 2016, from http://www.theglobeandmail.com/report-on-business/industry-news/energy-and-resources/canadian-crude-exports-to-us-hit-record-level/article29613525/ </w:t>
      </w:r>
    </w:p>
    <w:p w14:paraId="310D0918" w14:textId="77777777" w:rsidR="005377D1" w:rsidRPr="00986748" w:rsidRDefault="005377D1" w:rsidP="007C25C7">
      <w:pPr>
        <w:rPr>
          <w:rFonts w:ascii="Times New Roman" w:hAnsi="Times New Roman" w:cs="Times New Roman"/>
          <w:lang w:val="en-CA"/>
        </w:rPr>
      </w:pPr>
    </w:p>
    <w:p w14:paraId="6DDE377B" w14:textId="6A3547AA" w:rsidR="007C25C7" w:rsidRPr="00986748" w:rsidRDefault="007C25C7" w:rsidP="00C73E00">
      <w:pPr>
        <w:rPr>
          <w:rFonts w:ascii="Times New Roman" w:eastAsia="Times New Roman" w:hAnsi="Times New Roman" w:cs="Times New Roman"/>
        </w:rPr>
      </w:pPr>
      <w:r w:rsidRPr="007C25C7">
        <w:rPr>
          <w:rFonts w:ascii="Times New Roman" w:eastAsia="Times New Roman" w:hAnsi="Times New Roman" w:cs="Times New Roman"/>
        </w:rPr>
        <w:t>Germany. (n.d.). Retrieved November 01, 2016, from</w:t>
      </w:r>
      <w:r w:rsidR="00C73E00">
        <w:rPr>
          <w:rFonts w:ascii="Times New Roman" w:eastAsia="Times New Roman" w:hAnsi="Times New Roman" w:cs="Times New Roman"/>
        </w:rPr>
        <w:t xml:space="preserve"> </w:t>
      </w:r>
      <w:r w:rsidRPr="00C73E00">
        <w:rPr>
          <w:rFonts w:ascii="Times New Roman" w:eastAsia="Times New Roman" w:hAnsi="Times New Roman" w:cs="Times New Roman"/>
        </w:rPr>
        <w:t>http://atlas.media.mit.edu/en/profile/country/deu/</w:t>
      </w:r>
    </w:p>
    <w:p w14:paraId="5F83A838" w14:textId="77777777" w:rsidR="00310C8E" w:rsidRPr="00986748" w:rsidRDefault="00310C8E" w:rsidP="00310C8E">
      <w:pPr>
        <w:rPr>
          <w:rFonts w:ascii="Times New Roman" w:eastAsia="Times New Roman" w:hAnsi="Times New Roman" w:cs="Times New Roman"/>
        </w:rPr>
      </w:pPr>
    </w:p>
    <w:p w14:paraId="41C5DEEA" w14:textId="77777777" w:rsidR="000E288C" w:rsidRPr="00986748" w:rsidRDefault="000E288C" w:rsidP="000E288C">
      <w:pPr>
        <w:rPr>
          <w:rFonts w:ascii="Times New Roman" w:eastAsia="Times New Roman" w:hAnsi="Times New Roman" w:cs="Times New Roman"/>
        </w:rPr>
      </w:pPr>
      <w:r w:rsidRPr="000E288C">
        <w:rPr>
          <w:rFonts w:ascii="Times New Roman" w:eastAsia="Times New Roman" w:hAnsi="Times New Roman" w:cs="Times New Roman"/>
        </w:rPr>
        <w:t xml:space="preserve">Iraq. (n.d.). Retrieved November 01, 2016, from </w:t>
      </w:r>
    </w:p>
    <w:p w14:paraId="54B513CF" w14:textId="0B2C9BC6" w:rsidR="000E288C" w:rsidRPr="00986748" w:rsidRDefault="000E288C" w:rsidP="000E288C">
      <w:pPr>
        <w:rPr>
          <w:rFonts w:ascii="Times New Roman" w:eastAsia="Times New Roman" w:hAnsi="Times New Roman" w:cs="Times New Roman"/>
        </w:rPr>
      </w:pPr>
      <w:r w:rsidRPr="00C73E00">
        <w:rPr>
          <w:rFonts w:ascii="Times New Roman" w:eastAsia="Times New Roman" w:hAnsi="Times New Roman" w:cs="Times New Roman"/>
        </w:rPr>
        <w:t>http://atlas.media.mit.edu/en/profile/country/irq/</w:t>
      </w:r>
    </w:p>
    <w:p w14:paraId="21E901D7" w14:textId="77777777" w:rsidR="007C25C7" w:rsidRPr="00986748" w:rsidRDefault="007C25C7" w:rsidP="00911F5C">
      <w:pPr>
        <w:rPr>
          <w:rFonts w:ascii="Times New Roman" w:hAnsi="Times New Roman" w:cs="Times New Roman"/>
          <w:lang w:val="en-CA"/>
        </w:rPr>
      </w:pPr>
    </w:p>
    <w:p w14:paraId="470BCC90" w14:textId="49E2B93E" w:rsidR="00DD7DE0" w:rsidRPr="00986748" w:rsidRDefault="00DD7DE0" w:rsidP="00DD7DE0">
      <w:pPr>
        <w:rPr>
          <w:rFonts w:ascii="Times New Roman" w:eastAsia="Times New Roman" w:hAnsi="Times New Roman" w:cs="Times New Roman"/>
        </w:rPr>
      </w:pPr>
      <w:r w:rsidRPr="00DD7DE0">
        <w:rPr>
          <w:rFonts w:ascii="Times New Roman" w:eastAsia="Times New Roman" w:hAnsi="Times New Roman" w:cs="Times New Roman"/>
        </w:rPr>
        <w:t>Jeffrey D. Sachs and Andrew M. Warner (2001) “The Curse of Natural Resources” European Economic Review 45 pp</w:t>
      </w:r>
      <w:r w:rsidRPr="00986748">
        <w:rPr>
          <w:rFonts w:ascii="Times New Roman" w:eastAsia="Times New Roman" w:hAnsi="Times New Roman" w:cs="Times New Roman"/>
        </w:rPr>
        <w:t xml:space="preserve"> </w:t>
      </w:r>
      <w:r w:rsidRPr="00DD7DE0">
        <w:rPr>
          <w:rFonts w:ascii="Times New Roman" w:eastAsia="Times New Roman" w:hAnsi="Times New Roman" w:cs="Times New Roman"/>
        </w:rPr>
        <w:t>827-838.</w:t>
      </w:r>
    </w:p>
    <w:bookmarkEnd w:id="0"/>
    <w:bookmarkEnd w:id="1"/>
    <w:p w14:paraId="19E95625" w14:textId="77777777" w:rsidR="00DD7DE0" w:rsidRPr="00986748" w:rsidRDefault="00DD7DE0" w:rsidP="00DD7DE0">
      <w:pPr>
        <w:rPr>
          <w:rFonts w:ascii="Times New Roman" w:eastAsia="Times New Roman" w:hAnsi="Times New Roman" w:cs="Times New Roman"/>
        </w:rPr>
      </w:pPr>
    </w:p>
    <w:p w14:paraId="279A7C05" w14:textId="77777777" w:rsidR="00DD7DE0" w:rsidRPr="00986748" w:rsidRDefault="00DD7DE0" w:rsidP="00DD7DE0">
      <w:pPr>
        <w:rPr>
          <w:rFonts w:ascii="Times New Roman" w:eastAsia="Times New Roman" w:hAnsi="Times New Roman" w:cs="Times New Roman"/>
        </w:rPr>
      </w:pPr>
    </w:p>
    <w:p w14:paraId="2AB38429" w14:textId="77777777" w:rsidR="00DD7DE0" w:rsidRPr="00986748" w:rsidRDefault="00DD7DE0" w:rsidP="00DD7DE0">
      <w:pPr>
        <w:rPr>
          <w:rFonts w:ascii="Times New Roman" w:eastAsia="Times New Roman" w:hAnsi="Times New Roman" w:cs="Times New Roman"/>
        </w:rPr>
      </w:pPr>
    </w:p>
    <w:p w14:paraId="43E1D630" w14:textId="77777777" w:rsidR="00DD7DE0" w:rsidRPr="00DD7DE0" w:rsidRDefault="00DD7DE0" w:rsidP="00DD7DE0">
      <w:pPr>
        <w:rPr>
          <w:rFonts w:ascii="Times New Roman" w:eastAsia="Times New Roman" w:hAnsi="Times New Roman" w:cs="Times New Roman"/>
        </w:rPr>
      </w:pPr>
    </w:p>
    <w:p w14:paraId="1C80685C" w14:textId="77777777" w:rsidR="007F1C60" w:rsidRPr="00986748" w:rsidRDefault="007F1C60" w:rsidP="00911F5C">
      <w:pPr>
        <w:rPr>
          <w:rFonts w:ascii="Times New Roman" w:hAnsi="Times New Roman" w:cs="Times New Roman"/>
          <w:lang w:val="en-CA"/>
        </w:rPr>
      </w:pPr>
    </w:p>
    <w:sectPr w:rsidR="007F1C60" w:rsidRPr="00986748" w:rsidSect="00986748">
      <w:headerReference w:type="even" r:id="rId11"/>
      <w:headerReference w:type="default" r:id="rId12"/>
      <w:headerReference w:type="first" r:id="rId13"/>
      <w:pgSz w:w="12240" w:h="15840"/>
      <w:pgMar w:top="1440" w:right="1440" w:bottom="1440" w:left="1440" w:header="708" w:footer="708" w:gutter="0"/>
      <w:cols w:space="708"/>
      <w:titlePg/>
      <w:docGrid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868D3F" w14:textId="77777777" w:rsidR="00AC0145" w:rsidRDefault="00AC0145" w:rsidP="00AC0145">
      <w:r>
        <w:separator/>
      </w:r>
    </w:p>
  </w:endnote>
  <w:endnote w:type="continuationSeparator" w:id="0">
    <w:p w14:paraId="75EC93B4" w14:textId="77777777" w:rsidR="00AC0145" w:rsidRDefault="00AC0145" w:rsidP="00AC0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C386BD" w14:textId="77777777" w:rsidR="00AC0145" w:rsidRDefault="00AC0145" w:rsidP="00AC0145">
      <w:r>
        <w:separator/>
      </w:r>
    </w:p>
  </w:footnote>
  <w:footnote w:type="continuationSeparator" w:id="0">
    <w:p w14:paraId="2677A46B" w14:textId="77777777" w:rsidR="00AC0145" w:rsidRDefault="00AC0145" w:rsidP="00AC014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62BE1D" w14:textId="77777777" w:rsidR="00986748" w:rsidRDefault="00986748" w:rsidP="00B814EC">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C76113" w14:textId="77777777" w:rsidR="00986748" w:rsidRDefault="00986748" w:rsidP="00986748">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41B87" w14:textId="77777777" w:rsidR="00986748" w:rsidRDefault="00986748" w:rsidP="00B814EC">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82D63">
      <w:rPr>
        <w:rStyle w:val="PageNumber"/>
        <w:noProof/>
      </w:rPr>
      <w:t>7</w:t>
    </w:r>
    <w:r>
      <w:rPr>
        <w:rStyle w:val="PageNumber"/>
      </w:rPr>
      <w:fldChar w:fldCharType="end"/>
    </w:r>
  </w:p>
  <w:p w14:paraId="2FBA1FA4" w14:textId="7A2C7FE2" w:rsidR="00986748" w:rsidRDefault="00C73E00" w:rsidP="00C73E00">
    <w:pPr>
      <w:pStyle w:val="Header"/>
      <w:ind w:right="360"/>
      <w:rPr>
        <w:lang w:val="en-CA"/>
      </w:rPr>
    </w:pPr>
    <w:r>
      <w:rPr>
        <w:lang w:val="en-CA"/>
      </w:rPr>
      <w:t>CANADIAN ECONOMIC HISTORY</w:t>
    </w:r>
  </w:p>
  <w:p w14:paraId="18330AE6" w14:textId="77777777" w:rsidR="00C73E00" w:rsidRPr="00986748" w:rsidRDefault="00C73E00" w:rsidP="00C73E00">
    <w:pPr>
      <w:pStyle w:val="Header"/>
      <w:ind w:right="360"/>
      <w:rPr>
        <w:lang w:val="en-CA"/>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2C73D" w14:textId="77777777" w:rsidR="00986748" w:rsidRDefault="00986748" w:rsidP="00B814EC">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82D63">
      <w:rPr>
        <w:rStyle w:val="PageNumber"/>
        <w:noProof/>
      </w:rPr>
      <w:t>1</w:t>
    </w:r>
    <w:r>
      <w:rPr>
        <w:rStyle w:val="PageNumber"/>
      </w:rPr>
      <w:fldChar w:fldCharType="end"/>
    </w:r>
  </w:p>
  <w:p w14:paraId="3821BF3A" w14:textId="42454A17" w:rsidR="00986748" w:rsidRPr="00986748" w:rsidRDefault="00986748" w:rsidP="00C73E00">
    <w:pPr>
      <w:pStyle w:val="Header"/>
      <w:ind w:right="360"/>
      <w:rPr>
        <w:lang w:val="en-CA"/>
      </w:rPr>
    </w:pPr>
    <w:r>
      <w:rPr>
        <w:lang w:val="en-CA"/>
      </w:rPr>
      <w:t xml:space="preserve">Running Head: CANADIAN ECONOMIC HISTORY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revisionView w:inkAnnotations="0"/>
  <w:defaultTabStop w:val="720"/>
  <w:drawingGridHorizontalSpacing w:val="120"/>
  <w:drawingGridVerticalSpacing w:val="200"/>
  <w:displayHorizontalDrawingGridEvery w:val="2"/>
  <w:displayVerticalDrawingGridEvery w:val="2"/>
  <w:characterSpacingControl w:val="doNotCompress"/>
  <w:savePreviewPicture/>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576"/>
    <w:rsid w:val="000213A0"/>
    <w:rsid w:val="000A7942"/>
    <w:rsid w:val="000E288C"/>
    <w:rsid w:val="00130559"/>
    <w:rsid w:val="00207C1F"/>
    <w:rsid w:val="00242277"/>
    <w:rsid w:val="00282D63"/>
    <w:rsid w:val="002E5C99"/>
    <w:rsid w:val="00310C8E"/>
    <w:rsid w:val="00366889"/>
    <w:rsid w:val="00371C77"/>
    <w:rsid w:val="00454558"/>
    <w:rsid w:val="00507B94"/>
    <w:rsid w:val="00532FA2"/>
    <w:rsid w:val="005377D1"/>
    <w:rsid w:val="005B2D7E"/>
    <w:rsid w:val="005D3705"/>
    <w:rsid w:val="00614D1E"/>
    <w:rsid w:val="0061682A"/>
    <w:rsid w:val="006B3718"/>
    <w:rsid w:val="006C3DFD"/>
    <w:rsid w:val="006F1CE1"/>
    <w:rsid w:val="007555D1"/>
    <w:rsid w:val="007B4C79"/>
    <w:rsid w:val="007C25C7"/>
    <w:rsid w:val="007C2E26"/>
    <w:rsid w:val="007D1D28"/>
    <w:rsid w:val="007F1C60"/>
    <w:rsid w:val="00890BAC"/>
    <w:rsid w:val="008D2D6F"/>
    <w:rsid w:val="00911F5C"/>
    <w:rsid w:val="00986748"/>
    <w:rsid w:val="009D5AB5"/>
    <w:rsid w:val="009D76AC"/>
    <w:rsid w:val="009F2777"/>
    <w:rsid w:val="00AC0145"/>
    <w:rsid w:val="00B208A1"/>
    <w:rsid w:val="00B315EA"/>
    <w:rsid w:val="00B67D59"/>
    <w:rsid w:val="00BC3D84"/>
    <w:rsid w:val="00BD78B4"/>
    <w:rsid w:val="00C236B3"/>
    <w:rsid w:val="00C73E00"/>
    <w:rsid w:val="00C82ABF"/>
    <w:rsid w:val="00CA5F3F"/>
    <w:rsid w:val="00CF05E4"/>
    <w:rsid w:val="00D04CAD"/>
    <w:rsid w:val="00D530AC"/>
    <w:rsid w:val="00D67C5D"/>
    <w:rsid w:val="00DC28CD"/>
    <w:rsid w:val="00DD7DE0"/>
    <w:rsid w:val="00E45C1D"/>
    <w:rsid w:val="00E51487"/>
    <w:rsid w:val="00E60959"/>
    <w:rsid w:val="00EB5E57"/>
    <w:rsid w:val="00F92D69"/>
    <w:rsid w:val="00FB057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48AD618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0145"/>
    <w:pPr>
      <w:tabs>
        <w:tab w:val="center" w:pos="4680"/>
        <w:tab w:val="right" w:pos="9360"/>
      </w:tabs>
    </w:pPr>
  </w:style>
  <w:style w:type="character" w:customStyle="1" w:styleId="HeaderChar">
    <w:name w:val="Header Char"/>
    <w:basedOn w:val="DefaultParagraphFont"/>
    <w:link w:val="Header"/>
    <w:uiPriority w:val="99"/>
    <w:rsid w:val="00AC0145"/>
  </w:style>
  <w:style w:type="paragraph" w:styleId="Footer">
    <w:name w:val="footer"/>
    <w:basedOn w:val="Normal"/>
    <w:link w:val="FooterChar"/>
    <w:uiPriority w:val="99"/>
    <w:unhideWhenUsed/>
    <w:rsid w:val="00AC0145"/>
    <w:pPr>
      <w:tabs>
        <w:tab w:val="center" w:pos="4680"/>
        <w:tab w:val="right" w:pos="9360"/>
      </w:tabs>
    </w:pPr>
  </w:style>
  <w:style w:type="character" w:customStyle="1" w:styleId="FooterChar">
    <w:name w:val="Footer Char"/>
    <w:basedOn w:val="DefaultParagraphFont"/>
    <w:link w:val="Footer"/>
    <w:uiPriority w:val="99"/>
    <w:rsid w:val="00AC0145"/>
  </w:style>
  <w:style w:type="character" w:styleId="Hyperlink">
    <w:name w:val="Hyperlink"/>
    <w:basedOn w:val="DefaultParagraphFont"/>
    <w:uiPriority w:val="99"/>
    <w:unhideWhenUsed/>
    <w:rsid w:val="007C25C7"/>
    <w:rPr>
      <w:color w:val="0563C1" w:themeColor="hyperlink"/>
      <w:u w:val="single"/>
    </w:rPr>
  </w:style>
  <w:style w:type="paragraph" w:styleId="Date">
    <w:name w:val="Date"/>
    <w:basedOn w:val="Normal"/>
    <w:next w:val="Normal"/>
    <w:link w:val="DateChar"/>
    <w:uiPriority w:val="99"/>
    <w:semiHidden/>
    <w:unhideWhenUsed/>
    <w:rsid w:val="00986748"/>
  </w:style>
  <w:style w:type="character" w:customStyle="1" w:styleId="DateChar">
    <w:name w:val="Date Char"/>
    <w:basedOn w:val="DefaultParagraphFont"/>
    <w:link w:val="Date"/>
    <w:uiPriority w:val="99"/>
    <w:semiHidden/>
    <w:rsid w:val="00986748"/>
  </w:style>
  <w:style w:type="character" w:styleId="PageNumber">
    <w:name w:val="page number"/>
    <w:basedOn w:val="DefaultParagraphFont"/>
    <w:uiPriority w:val="99"/>
    <w:semiHidden/>
    <w:unhideWhenUsed/>
    <w:rsid w:val="00986748"/>
  </w:style>
  <w:style w:type="character" w:styleId="FollowedHyperlink">
    <w:name w:val="FollowedHyperlink"/>
    <w:basedOn w:val="DefaultParagraphFont"/>
    <w:uiPriority w:val="99"/>
    <w:semiHidden/>
    <w:unhideWhenUsed/>
    <w:rsid w:val="00C73E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9284593">
      <w:bodyDiv w:val="1"/>
      <w:marLeft w:val="0"/>
      <w:marRight w:val="0"/>
      <w:marTop w:val="0"/>
      <w:marBottom w:val="0"/>
      <w:divBdr>
        <w:top w:val="none" w:sz="0" w:space="0" w:color="auto"/>
        <w:left w:val="none" w:sz="0" w:space="0" w:color="auto"/>
        <w:bottom w:val="none" w:sz="0" w:space="0" w:color="auto"/>
        <w:right w:val="none" w:sz="0" w:space="0" w:color="auto"/>
      </w:divBdr>
    </w:div>
    <w:div w:id="999506915">
      <w:bodyDiv w:val="1"/>
      <w:marLeft w:val="0"/>
      <w:marRight w:val="0"/>
      <w:marTop w:val="0"/>
      <w:marBottom w:val="0"/>
      <w:divBdr>
        <w:top w:val="none" w:sz="0" w:space="0" w:color="auto"/>
        <w:left w:val="none" w:sz="0" w:space="0" w:color="auto"/>
        <w:bottom w:val="none" w:sz="0" w:space="0" w:color="auto"/>
        <w:right w:val="none" w:sz="0" w:space="0" w:color="auto"/>
      </w:divBdr>
      <w:divsChild>
        <w:div w:id="1724257246">
          <w:marLeft w:val="0"/>
          <w:marRight w:val="0"/>
          <w:marTop w:val="0"/>
          <w:marBottom w:val="0"/>
          <w:divBdr>
            <w:top w:val="none" w:sz="0" w:space="0" w:color="auto"/>
            <w:left w:val="none" w:sz="0" w:space="0" w:color="auto"/>
            <w:bottom w:val="none" w:sz="0" w:space="0" w:color="auto"/>
            <w:right w:val="none" w:sz="0" w:space="0" w:color="auto"/>
          </w:divBdr>
        </w:div>
      </w:divsChild>
    </w:div>
    <w:div w:id="1557814961">
      <w:bodyDiv w:val="1"/>
      <w:marLeft w:val="0"/>
      <w:marRight w:val="0"/>
      <w:marTop w:val="0"/>
      <w:marBottom w:val="0"/>
      <w:divBdr>
        <w:top w:val="none" w:sz="0" w:space="0" w:color="auto"/>
        <w:left w:val="none" w:sz="0" w:space="0" w:color="auto"/>
        <w:bottom w:val="none" w:sz="0" w:space="0" w:color="auto"/>
        <w:right w:val="none" w:sz="0" w:space="0" w:color="auto"/>
      </w:divBdr>
      <w:divsChild>
        <w:div w:id="278296717">
          <w:marLeft w:val="0"/>
          <w:marRight w:val="0"/>
          <w:marTop w:val="0"/>
          <w:marBottom w:val="0"/>
          <w:divBdr>
            <w:top w:val="none" w:sz="0" w:space="0" w:color="auto"/>
            <w:left w:val="none" w:sz="0" w:space="0" w:color="auto"/>
            <w:bottom w:val="none" w:sz="0" w:space="0" w:color="auto"/>
            <w:right w:val="none" w:sz="0" w:space="0" w:color="auto"/>
          </w:divBdr>
        </w:div>
      </w:divsChild>
    </w:div>
    <w:div w:id="1638341989">
      <w:bodyDiv w:val="1"/>
      <w:marLeft w:val="0"/>
      <w:marRight w:val="0"/>
      <w:marTop w:val="0"/>
      <w:marBottom w:val="0"/>
      <w:divBdr>
        <w:top w:val="none" w:sz="0" w:space="0" w:color="auto"/>
        <w:left w:val="none" w:sz="0" w:space="0" w:color="auto"/>
        <w:bottom w:val="none" w:sz="0" w:space="0" w:color="auto"/>
        <w:right w:val="none" w:sz="0" w:space="0" w:color="auto"/>
      </w:divBdr>
      <w:divsChild>
        <w:div w:id="674571796">
          <w:marLeft w:val="0"/>
          <w:marRight w:val="0"/>
          <w:marTop w:val="0"/>
          <w:marBottom w:val="0"/>
          <w:divBdr>
            <w:top w:val="none" w:sz="0" w:space="0" w:color="auto"/>
            <w:left w:val="none" w:sz="0" w:space="0" w:color="auto"/>
            <w:bottom w:val="none" w:sz="0" w:space="0" w:color="auto"/>
            <w:right w:val="none" w:sz="0" w:space="0" w:color="auto"/>
          </w:divBdr>
        </w:div>
      </w:divsChild>
    </w:div>
    <w:div w:id="1850562348">
      <w:bodyDiv w:val="1"/>
      <w:marLeft w:val="0"/>
      <w:marRight w:val="0"/>
      <w:marTop w:val="0"/>
      <w:marBottom w:val="0"/>
      <w:divBdr>
        <w:top w:val="none" w:sz="0" w:space="0" w:color="auto"/>
        <w:left w:val="none" w:sz="0" w:space="0" w:color="auto"/>
        <w:bottom w:val="none" w:sz="0" w:space="0" w:color="auto"/>
        <w:right w:val="none" w:sz="0" w:space="0" w:color="auto"/>
      </w:divBdr>
      <w:divsChild>
        <w:div w:id="1738741594">
          <w:marLeft w:val="0"/>
          <w:marRight w:val="0"/>
          <w:marTop w:val="0"/>
          <w:marBottom w:val="0"/>
          <w:divBdr>
            <w:top w:val="none" w:sz="0" w:space="0" w:color="auto"/>
            <w:left w:val="none" w:sz="0" w:space="0" w:color="auto"/>
            <w:bottom w:val="none" w:sz="0" w:space="0" w:color="auto"/>
            <w:right w:val="none" w:sz="0" w:space="0" w:color="auto"/>
          </w:divBdr>
        </w:div>
      </w:divsChild>
    </w:div>
    <w:div w:id="1954285065">
      <w:bodyDiv w:val="1"/>
      <w:marLeft w:val="0"/>
      <w:marRight w:val="0"/>
      <w:marTop w:val="0"/>
      <w:marBottom w:val="0"/>
      <w:divBdr>
        <w:top w:val="none" w:sz="0" w:space="0" w:color="auto"/>
        <w:left w:val="none" w:sz="0" w:space="0" w:color="auto"/>
        <w:bottom w:val="none" w:sz="0" w:space="0" w:color="auto"/>
        <w:right w:val="none" w:sz="0" w:space="0" w:color="auto"/>
      </w:divBdr>
      <w:divsChild>
        <w:div w:id="827594083">
          <w:marLeft w:val="0"/>
          <w:marRight w:val="0"/>
          <w:marTop w:val="0"/>
          <w:marBottom w:val="0"/>
          <w:divBdr>
            <w:top w:val="none" w:sz="0" w:space="0" w:color="auto"/>
            <w:left w:val="none" w:sz="0" w:space="0" w:color="auto"/>
            <w:bottom w:val="none" w:sz="0" w:space="0" w:color="auto"/>
            <w:right w:val="none" w:sz="0" w:space="0" w:color="auto"/>
          </w:divBdr>
        </w:div>
      </w:divsChild>
    </w:div>
    <w:div w:id="2008239934">
      <w:bodyDiv w:val="1"/>
      <w:marLeft w:val="0"/>
      <w:marRight w:val="0"/>
      <w:marTop w:val="0"/>
      <w:marBottom w:val="0"/>
      <w:divBdr>
        <w:top w:val="none" w:sz="0" w:space="0" w:color="auto"/>
        <w:left w:val="none" w:sz="0" w:space="0" w:color="auto"/>
        <w:bottom w:val="none" w:sz="0" w:space="0" w:color="auto"/>
        <w:right w:val="none" w:sz="0" w:space="0" w:color="auto"/>
      </w:divBdr>
    </w:div>
    <w:div w:id="2057655805">
      <w:bodyDiv w:val="1"/>
      <w:marLeft w:val="0"/>
      <w:marRight w:val="0"/>
      <w:marTop w:val="0"/>
      <w:marBottom w:val="0"/>
      <w:divBdr>
        <w:top w:val="none" w:sz="0" w:space="0" w:color="auto"/>
        <w:left w:val="none" w:sz="0" w:space="0" w:color="auto"/>
        <w:bottom w:val="none" w:sz="0" w:space="0" w:color="auto"/>
        <w:right w:val="none" w:sz="0" w:space="0" w:color="auto"/>
      </w:divBdr>
      <w:divsChild>
        <w:div w:id="1169179793">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chart" Target="charts/chart1.xml"/><Relationship Id="rId7" Type="http://schemas.openxmlformats.org/officeDocument/2006/relationships/chart" Target="charts/chart2.xml"/><Relationship Id="rId8" Type="http://schemas.openxmlformats.org/officeDocument/2006/relationships/chart" Target="charts/chart3.xml"/><Relationship Id="rId9" Type="http://schemas.openxmlformats.org/officeDocument/2006/relationships/chart" Target="charts/chart4.xml"/><Relationship Id="rId10"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https://cmailcarletonca-my.sharepoint.com/personal/kevinthompson4_cmail_carleton_ca/Documents/Cdn%20Econ%20History%20Assignment.csv"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https://cmailcarletonca-my.sharepoint.com/personal/kevinthompson4_cmail_carleton_ca/Documents/Cdn%20Econ%20History%20Assignment.csv" TargetMode="External"/></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oleObject" Target="https://cmailcarletonca-my.sharepoint.com/personal/kevinthompson4_cmail_carleton_ca/Documents/Cdn%20Econ%20History%20Assignment.csv" TargetMode="External"/></Relationships>
</file>

<file path=word/charts/_rels/chart4.xml.rels><?xml version="1.0" encoding="UTF-8" standalone="yes"?>
<Relationships xmlns="http://schemas.openxmlformats.org/package/2006/relationships"><Relationship Id="rId1" Type="http://schemas.microsoft.com/office/2011/relationships/chartStyle" Target="style4.xml"/><Relationship Id="rId2" Type="http://schemas.microsoft.com/office/2011/relationships/chartColorStyle" Target="colors4.xml"/><Relationship Id="rId3" Type="http://schemas.openxmlformats.org/officeDocument/2006/relationships/oleObject" Target="https://cmailcarletonca-my.sharepoint.com/personal/kevinthompson4_cmail_carleton_ca/Documents/Cdn%20Econ%20History%20Assignment.csv" TargetMode="External"/></Relationships>
</file>

<file path=word/charts/_rels/chart5.xml.rels><?xml version="1.0" encoding="UTF-8" standalone="yes"?>
<Relationships xmlns="http://schemas.openxmlformats.org/package/2006/relationships"><Relationship Id="rId1" Type="http://schemas.microsoft.com/office/2011/relationships/chartStyle" Target="style5.xml"/><Relationship Id="rId2" Type="http://schemas.microsoft.com/office/2011/relationships/chartColorStyle" Target="colors5.xml"/><Relationship Id="rId3" Type="http://schemas.openxmlformats.org/officeDocument/2006/relationships/oleObject" Target="https://cmailcarletonca-my.sharepoint.com/personal/kevinthompson4_cmail_carleton_ca/Documents/Cdn%20Econ%20History%20Assignment.csv"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Canada</a:t>
            </a:r>
            <a:r>
              <a:rPr lang="en-US" baseline="0"/>
              <a:t> Real GDP Per Capita (1950 to present)</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'[Cdn Econ History Assignment.csv]Cdn Econ History Assignment.csv'!$G$70:$G$202</c:f>
              <c:numCache>
                <c:formatCode>General</c:formatCode>
                <c:ptCount val="133"/>
                <c:pt idx="0">
                  <c:v>1950.0</c:v>
                </c:pt>
                <c:pt idx="1">
                  <c:v>1951.0</c:v>
                </c:pt>
                <c:pt idx="2">
                  <c:v>1952.0</c:v>
                </c:pt>
                <c:pt idx="3">
                  <c:v>1953.0</c:v>
                </c:pt>
                <c:pt idx="4">
                  <c:v>1954.0</c:v>
                </c:pt>
                <c:pt idx="5">
                  <c:v>1955.0</c:v>
                </c:pt>
                <c:pt idx="6">
                  <c:v>1956.0</c:v>
                </c:pt>
                <c:pt idx="7">
                  <c:v>1957.0</c:v>
                </c:pt>
                <c:pt idx="8">
                  <c:v>1958.0</c:v>
                </c:pt>
                <c:pt idx="9">
                  <c:v>1959.0</c:v>
                </c:pt>
                <c:pt idx="10">
                  <c:v>1960.0</c:v>
                </c:pt>
                <c:pt idx="11">
                  <c:v>1961.0</c:v>
                </c:pt>
                <c:pt idx="12">
                  <c:v>1962.0</c:v>
                </c:pt>
                <c:pt idx="13">
                  <c:v>1963.0</c:v>
                </c:pt>
                <c:pt idx="14">
                  <c:v>1964.0</c:v>
                </c:pt>
                <c:pt idx="15">
                  <c:v>1965.0</c:v>
                </c:pt>
                <c:pt idx="16">
                  <c:v>1966.0</c:v>
                </c:pt>
                <c:pt idx="17">
                  <c:v>1967.0</c:v>
                </c:pt>
                <c:pt idx="18">
                  <c:v>1968.0</c:v>
                </c:pt>
                <c:pt idx="19">
                  <c:v>1969.0</c:v>
                </c:pt>
                <c:pt idx="20">
                  <c:v>1970.0</c:v>
                </c:pt>
                <c:pt idx="21">
                  <c:v>1971.0</c:v>
                </c:pt>
                <c:pt idx="22">
                  <c:v>1972.0</c:v>
                </c:pt>
                <c:pt idx="23">
                  <c:v>1973.0</c:v>
                </c:pt>
                <c:pt idx="24">
                  <c:v>1974.0</c:v>
                </c:pt>
                <c:pt idx="25">
                  <c:v>1975.0</c:v>
                </c:pt>
                <c:pt idx="26">
                  <c:v>1976.0</c:v>
                </c:pt>
                <c:pt idx="27">
                  <c:v>1977.0</c:v>
                </c:pt>
                <c:pt idx="28">
                  <c:v>1978.0</c:v>
                </c:pt>
                <c:pt idx="29">
                  <c:v>1979.0</c:v>
                </c:pt>
                <c:pt idx="30">
                  <c:v>1980.0</c:v>
                </c:pt>
                <c:pt idx="31">
                  <c:v>1981.0</c:v>
                </c:pt>
                <c:pt idx="32">
                  <c:v>1982.0</c:v>
                </c:pt>
                <c:pt idx="33">
                  <c:v>1983.0</c:v>
                </c:pt>
                <c:pt idx="34">
                  <c:v>1984.0</c:v>
                </c:pt>
                <c:pt idx="35">
                  <c:v>1985.0</c:v>
                </c:pt>
                <c:pt idx="36">
                  <c:v>1986.0</c:v>
                </c:pt>
                <c:pt idx="37">
                  <c:v>1987.0</c:v>
                </c:pt>
                <c:pt idx="38">
                  <c:v>1988.0</c:v>
                </c:pt>
                <c:pt idx="39">
                  <c:v>1989.0</c:v>
                </c:pt>
                <c:pt idx="40">
                  <c:v>1990.0</c:v>
                </c:pt>
                <c:pt idx="41">
                  <c:v>1991.0</c:v>
                </c:pt>
                <c:pt idx="42">
                  <c:v>1992.0</c:v>
                </c:pt>
                <c:pt idx="43">
                  <c:v>1993.0</c:v>
                </c:pt>
                <c:pt idx="44">
                  <c:v>1994.0</c:v>
                </c:pt>
                <c:pt idx="45">
                  <c:v>1995.0</c:v>
                </c:pt>
                <c:pt idx="46">
                  <c:v>1996.0</c:v>
                </c:pt>
                <c:pt idx="47">
                  <c:v>1997.0</c:v>
                </c:pt>
                <c:pt idx="48">
                  <c:v>1998.0</c:v>
                </c:pt>
                <c:pt idx="49">
                  <c:v>1999.0</c:v>
                </c:pt>
                <c:pt idx="50">
                  <c:v>2000.0</c:v>
                </c:pt>
                <c:pt idx="51">
                  <c:v>2001.0</c:v>
                </c:pt>
                <c:pt idx="52">
                  <c:v>2002.0</c:v>
                </c:pt>
                <c:pt idx="53">
                  <c:v>2003.0</c:v>
                </c:pt>
                <c:pt idx="54">
                  <c:v>2004.0</c:v>
                </c:pt>
                <c:pt idx="55">
                  <c:v>2005.0</c:v>
                </c:pt>
                <c:pt idx="56">
                  <c:v>2006.0</c:v>
                </c:pt>
                <c:pt idx="57">
                  <c:v>2007.0</c:v>
                </c:pt>
                <c:pt idx="58">
                  <c:v>2008.0</c:v>
                </c:pt>
                <c:pt idx="59">
                  <c:v>2009.0</c:v>
                </c:pt>
                <c:pt idx="60">
                  <c:v>2010.0</c:v>
                </c:pt>
                <c:pt idx="61">
                  <c:v>2011.0</c:v>
                </c:pt>
                <c:pt idx="62">
                  <c:v>2012.0</c:v>
                </c:pt>
                <c:pt idx="63">
                  <c:v>2013.0</c:v>
                </c:pt>
                <c:pt idx="64">
                  <c:v>2014.0</c:v>
                </c:pt>
                <c:pt idx="68">
                  <c:v>1950.0</c:v>
                </c:pt>
                <c:pt idx="69">
                  <c:v>1951.0</c:v>
                </c:pt>
                <c:pt idx="70">
                  <c:v>1952.0</c:v>
                </c:pt>
                <c:pt idx="71">
                  <c:v>1953.0</c:v>
                </c:pt>
                <c:pt idx="72">
                  <c:v>1954.0</c:v>
                </c:pt>
                <c:pt idx="73">
                  <c:v>1955.0</c:v>
                </c:pt>
                <c:pt idx="74">
                  <c:v>1956.0</c:v>
                </c:pt>
                <c:pt idx="75">
                  <c:v>1957.0</c:v>
                </c:pt>
                <c:pt idx="76">
                  <c:v>1958.0</c:v>
                </c:pt>
                <c:pt idx="77">
                  <c:v>1959.0</c:v>
                </c:pt>
                <c:pt idx="78">
                  <c:v>1960.0</c:v>
                </c:pt>
                <c:pt idx="79">
                  <c:v>1961.0</c:v>
                </c:pt>
                <c:pt idx="80">
                  <c:v>1962.0</c:v>
                </c:pt>
                <c:pt idx="81">
                  <c:v>1963.0</c:v>
                </c:pt>
                <c:pt idx="82">
                  <c:v>1964.0</c:v>
                </c:pt>
                <c:pt idx="83">
                  <c:v>1965.0</c:v>
                </c:pt>
                <c:pt idx="84">
                  <c:v>1966.0</c:v>
                </c:pt>
                <c:pt idx="85">
                  <c:v>1967.0</c:v>
                </c:pt>
                <c:pt idx="86">
                  <c:v>1968.0</c:v>
                </c:pt>
                <c:pt idx="87">
                  <c:v>1969.0</c:v>
                </c:pt>
                <c:pt idx="88">
                  <c:v>1970.0</c:v>
                </c:pt>
                <c:pt idx="89">
                  <c:v>1971.0</c:v>
                </c:pt>
                <c:pt idx="90">
                  <c:v>1972.0</c:v>
                </c:pt>
                <c:pt idx="91">
                  <c:v>1973.0</c:v>
                </c:pt>
                <c:pt idx="92">
                  <c:v>1974.0</c:v>
                </c:pt>
                <c:pt idx="93">
                  <c:v>1975.0</c:v>
                </c:pt>
                <c:pt idx="94">
                  <c:v>1976.0</c:v>
                </c:pt>
                <c:pt idx="95">
                  <c:v>1977.0</c:v>
                </c:pt>
                <c:pt idx="96">
                  <c:v>1978.0</c:v>
                </c:pt>
                <c:pt idx="97">
                  <c:v>1979.0</c:v>
                </c:pt>
                <c:pt idx="98">
                  <c:v>1980.0</c:v>
                </c:pt>
                <c:pt idx="99">
                  <c:v>1981.0</c:v>
                </c:pt>
                <c:pt idx="100">
                  <c:v>1982.0</c:v>
                </c:pt>
                <c:pt idx="101">
                  <c:v>1983.0</c:v>
                </c:pt>
                <c:pt idx="102">
                  <c:v>1984.0</c:v>
                </c:pt>
                <c:pt idx="103">
                  <c:v>1985.0</c:v>
                </c:pt>
                <c:pt idx="104">
                  <c:v>1986.0</c:v>
                </c:pt>
                <c:pt idx="105">
                  <c:v>1987.0</c:v>
                </c:pt>
                <c:pt idx="106">
                  <c:v>1988.0</c:v>
                </c:pt>
                <c:pt idx="107">
                  <c:v>1989.0</c:v>
                </c:pt>
                <c:pt idx="108">
                  <c:v>1990.0</c:v>
                </c:pt>
                <c:pt idx="109">
                  <c:v>1991.0</c:v>
                </c:pt>
                <c:pt idx="110">
                  <c:v>1992.0</c:v>
                </c:pt>
                <c:pt idx="111">
                  <c:v>1993.0</c:v>
                </c:pt>
                <c:pt idx="112">
                  <c:v>1994.0</c:v>
                </c:pt>
                <c:pt idx="113">
                  <c:v>1995.0</c:v>
                </c:pt>
                <c:pt idx="114">
                  <c:v>1996.0</c:v>
                </c:pt>
                <c:pt idx="115">
                  <c:v>1997.0</c:v>
                </c:pt>
                <c:pt idx="116">
                  <c:v>1998.0</c:v>
                </c:pt>
                <c:pt idx="117">
                  <c:v>1999.0</c:v>
                </c:pt>
                <c:pt idx="118">
                  <c:v>2000.0</c:v>
                </c:pt>
                <c:pt idx="119">
                  <c:v>2001.0</c:v>
                </c:pt>
                <c:pt idx="120">
                  <c:v>2002.0</c:v>
                </c:pt>
                <c:pt idx="121">
                  <c:v>2003.0</c:v>
                </c:pt>
                <c:pt idx="122">
                  <c:v>2004.0</c:v>
                </c:pt>
                <c:pt idx="123">
                  <c:v>2005.0</c:v>
                </c:pt>
                <c:pt idx="124">
                  <c:v>2006.0</c:v>
                </c:pt>
                <c:pt idx="125">
                  <c:v>2007.0</c:v>
                </c:pt>
                <c:pt idx="126">
                  <c:v>2008.0</c:v>
                </c:pt>
                <c:pt idx="127">
                  <c:v>2009.0</c:v>
                </c:pt>
                <c:pt idx="128">
                  <c:v>2010.0</c:v>
                </c:pt>
                <c:pt idx="129">
                  <c:v>2011.0</c:v>
                </c:pt>
                <c:pt idx="130">
                  <c:v>2012.0</c:v>
                </c:pt>
                <c:pt idx="131">
                  <c:v>2013.0</c:v>
                </c:pt>
                <c:pt idx="132">
                  <c:v>2014.0</c:v>
                </c:pt>
              </c:numCache>
            </c:numRef>
          </c:cat>
          <c:val>
            <c:numRef>
              <c:f>'[Cdn Econ History Assignment.csv]Cdn Econ History Assignment.csv'!$I$70:$I$134</c:f>
              <c:numCache>
                <c:formatCode>General</c:formatCode>
                <c:ptCount val="65"/>
                <c:pt idx="0">
                  <c:v>11248.46273460321</c:v>
                </c:pt>
                <c:pt idx="1">
                  <c:v>11405.16989753673</c:v>
                </c:pt>
                <c:pt idx="2">
                  <c:v>12083.81077729407</c:v>
                </c:pt>
                <c:pt idx="3">
                  <c:v>12367.53419944154</c:v>
                </c:pt>
                <c:pt idx="4">
                  <c:v>11916.48896257393</c:v>
                </c:pt>
                <c:pt idx="5">
                  <c:v>12731.25965026652</c:v>
                </c:pt>
                <c:pt idx="6">
                  <c:v>13509.70673575522</c:v>
                </c:pt>
                <c:pt idx="7">
                  <c:v>13292.85345028027</c:v>
                </c:pt>
                <c:pt idx="8">
                  <c:v>13172.44634648454</c:v>
                </c:pt>
                <c:pt idx="9">
                  <c:v>13465.13069275607</c:v>
                </c:pt>
                <c:pt idx="10">
                  <c:v>13589.19741507473</c:v>
                </c:pt>
                <c:pt idx="11">
                  <c:v>13796.00040269369</c:v>
                </c:pt>
                <c:pt idx="12">
                  <c:v>14391.67079571277</c:v>
                </c:pt>
                <c:pt idx="13">
                  <c:v>14824.43522028637</c:v>
                </c:pt>
                <c:pt idx="14">
                  <c:v>15565.88565001011</c:v>
                </c:pt>
                <c:pt idx="15">
                  <c:v>16331.05120227704</c:v>
                </c:pt>
                <c:pt idx="16">
                  <c:v>17089.08716501125</c:v>
                </c:pt>
                <c:pt idx="17">
                  <c:v>17263.64628323066</c:v>
                </c:pt>
                <c:pt idx="18">
                  <c:v>17782.66550319557</c:v>
                </c:pt>
                <c:pt idx="19">
                  <c:v>18429.16496257895</c:v>
                </c:pt>
                <c:pt idx="20">
                  <c:v>18588.0361673943</c:v>
                </c:pt>
                <c:pt idx="21">
                  <c:v>19226.52025865775</c:v>
                </c:pt>
                <c:pt idx="22">
                  <c:v>20053.35629603074</c:v>
                </c:pt>
                <c:pt idx="23">
                  <c:v>21445.67161020642</c:v>
                </c:pt>
                <c:pt idx="24">
                  <c:v>22360.22238616794</c:v>
                </c:pt>
                <c:pt idx="25">
                  <c:v>22247.63590923644</c:v>
                </c:pt>
                <c:pt idx="26">
                  <c:v>23343.81242016831</c:v>
                </c:pt>
                <c:pt idx="27">
                  <c:v>23591.06578241825</c:v>
                </c:pt>
                <c:pt idx="28">
                  <c:v>24026.34400374612</c:v>
                </c:pt>
                <c:pt idx="29">
                  <c:v>25018.83018571421</c:v>
                </c:pt>
                <c:pt idx="30">
                  <c:v>25259.72242866515</c:v>
                </c:pt>
                <c:pt idx="31">
                  <c:v>25643.82618666231</c:v>
                </c:pt>
                <c:pt idx="32">
                  <c:v>24380.29531806554</c:v>
                </c:pt>
                <c:pt idx="33">
                  <c:v>25063.54100653291</c:v>
                </c:pt>
                <c:pt idx="34">
                  <c:v>26416.82140920077</c:v>
                </c:pt>
                <c:pt idx="35">
                  <c:v>27569.80154844985</c:v>
                </c:pt>
                <c:pt idx="36">
                  <c:v>27755.44555737441</c:v>
                </c:pt>
                <c:pt idx="37">
                  <c:v>28978.91268929776</c:v>
                </c:pt>
                <c:pt idx="38">
                  <c:v>30373.06248633867</c:v>
                </c:pt>
                <c:pt idx="39">
                  <c:v>31047.87141890667</c:v>
                </c:pt>
                <c:pt idx="40">
                  <c:v>30557.6668218711</c:v>
                </c:pt>
                <c:pt idx="41">
                  <c:v>29432.36410005218</c:v>
                </c:pt>
                <c:pt idx="42">
                  <c:v>29342.49512491128</c:v>
                </c:pt>
                <c:pt idx="43">
                  <c:v>29885.80370204987</c:v>
                </c:pt>
                <c:pt idx="44">
                  <c:v>31242.29199296367</c:v>
                </c:pt>
                <c:pt idx="45">
                  <c:v>32348.59892384431</c:v>
                </c:pt>
                <c:pt idx="46">
                  <c:v>32808.55707176978</c:v>
                </c:pt>
                <c:pt idx="47">
                  <c:v>34001.61308130282</c:v>
                </c:pt>
                <c:pt idx="48">
                  <c:v>34516.33203127748</c:v>
                </c:pt>
                <c:pt idx="49">
                  <c:v>36164.35119987313</c:v>
                </c:pt>
                <c:pt idx="50">
                  <c:v>38012.36685556592</c:v>
                </c:pt>
                <c:pt idx="51">
                  <c:v>37629.48292916886</c:v>
                </c:pt>
                <c:pt idx="52">
                  <c:v>37504.2363710303</c:v>
                </c:pt>
                <c:pt idx="53">
                  <c:v>38329.8802184147</c:v>
                </c:pt>
                <c:pt idx="54">
                  <c:v>39506.31328171158</c:v>
                </c:pt>
                <c:pt idx="55">
                  <c:v>40656.33406004334</c:v>
                </c:pt>
                <c:pt idx="56">
                  <c:v>41210.32879386238</c:v>
                </c:pt>
                <c:pt idx="57">
                  <c:v>41745.75207440966</c:v>
                </c:pt>
                <c:pt idx="58">
                  <c:v>42106.41940942454</c:v>
                </c:pt>
                <c:pt idx="59">
                  <c:v>38846.44209206634</c:v>
                </c:pt>
                <c:pt idx="60">
                  <c:v>40198.19333389654</c:v>
                </c:pt>
                <c:pt idx="61">
                  <c:v>41273.16799857855</c:v>
                </c:pt>
                <c:pt idx="62">
                  <c:v>41524.48462208392</c:v>
                </c:pt>
                <c:pt idx="63">
                  <c:v>41964.60240316007</c:v>
                </c:pt>
                <c:pt idx="64">
                  <c:v>39671.414508392</c:v>
                </c:pt>
              </c:numCache>
            </c:numRef>
          </c:val>
          <c:smooth val="0"/>
        </c:ser>
        <c:dLbls>
          <c:showLegendKey val="0"/>
          <c:showVal val="0"/>
          <c:showCatName val="0"/>
          <c:showSerName val="0"/>
          <c:showPercent val="0"/>
          <c:showBubbleSize val="0"/>
        </c:dLbls>
        <c:marker val="1"/>
        <c:smooth val="0"/>
        <c:axId val="1447189248"/>
        <c:axId val="1447191376"/>
      </c:lineChart>
      <c:catAx>
        <c:axId val="14471892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Years</a:t>
                </a:r>
                <a:r>
                  <a:rPr lang="en-US" baseline="0"/>
                  <a:t> Studied</a:t>
                </a:r>
                <a:endParaRPr lang="en-US"/>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7191376"/>
        <c:crosses val="autoZero"/>
        <c:auto val="1"/>
        <c:lblAlgn val="ctr"/>
        <c:lblOffset val="100"/>
        <c:noMultiLvlLbl val="0"/>
      </c:catAx>
      <c:valAx>
        <c:axId val="1447191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Canada</a:t>
                </a:r>
                <a:r>
                  <a:rPr lang="en-US" baseline="0"/>
                  <a:t> Real GDP Per Capita ($ USD Thousands)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7189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US"/>
              <a:t> Australia Real GDP Per Capita (1950 to Present)</a:t>
            </a:r>
          </a:p>
          <a:p>
            <a:pPr>
              <a:defRPr/>
            </a:pP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'[Cdn Econ History Assignment.csv]Cdn Econ History Assignment.csv'!$G$2:$G$66</c:f>
              <c:numCache>
                <c:formatCode>General</c:formatCode>
                <c:ptCount val="65"/>
                <c:pt idx="0">
                  <c:v>1950.0</c:v>
                </c:pt>
                <c:pt idx="1">
                  <c:v>1951.0</c:v>
                </c:pt>
                <c:pt idx="2">
                  <c:v>1952.0</c:v>
                </c:pt>
                <c:pt idx="3">
                  <c:v>1953.0</c:v>
                </c:pt>
                <c:pt idx="4">
                  <c:v>1954.0</c:v>
                </c:pt>
                <c:pt idx="5">
                  <c:v>1955.0</c:v>
                </c:pt>
                <c:pt idx="6">
                  <c:v>1956.0</c:v>
                </c:pt>
                <c:pt idx="7">
                  <c:v>1957.0</c:v>
                </c:pt>
                <c:pt idx="8">
                  <c:v>1958.0</c:v>
                </c:pt>
                <c:pt idx="9">
                  <c:v>1959.0</c:v>
                </c:pt>
                <c:pt idx="10">
                  <c:v>1960.0</c:v>
                </c:pt>
                <c:pt idx="11">
                  <c:v>1961.0</c:v>
                </c:pt>
                <c:pt idx="12">
                  <c:v>1962.0</c:v>
                </c:pt>
                <c:pt idx="13">
                  <c:v>1963.0</c:v>
                </c:pt>
                <c:pt idx="14">
                  <c:v>1964.0</c:v>
                </c:pt>
                <c:pt idx="15">
                  <c:v>1965.0</c:v>
                </c:pt>
                <c:pt idx="16">
                  <c:v>1966.0</c:v>
                </c:pt>
                <c:pt idx="17">
                  <c:v>1967.0</c:v>
                </c:pt>
                <c:pt idx="18">
                  <c:v>1968.0</c:v>
                </c:pt>
                <c:pt idx="19">
                  <c:v>1969.0</c:v>
                </c:pt>
                <c:pt idx="20">
                  <c:v>1970.0</c:v>
                </c:pt>
                <c:pt idx="21">
                  <c:v>1971.0</c:v>
                </c:pt>
                <c:pt idx="22">
                  <c:v>1972.0</c:v>
                </c:pt>
                <c:pt idx="23">
                  <c:v>1973.0</c:v>
                </c:pt>
                <c:pt idx="24">
                  <c:v>1974.0</c:v>
                </c:pt>
                <c:pt idx="25">
                  <c:v>1975.0</c:v>
                </c:pt>
                <c:pt idx="26">
                  <c:v>1976.0</c:v>
                </c:pt>
                <c:pt idx="27">
                  <c:v>1977.0</c:v>
                </c:pt>
                <c:pt idx="28">
                  <c:v>1978.0</c:v>
                </c:pt>
                <c:pt idx="29">
                  <c:v>1979.0</c:v>
                </c:pt>
                <c:pt idx="30">
                  <c:v>1980.0</c:v>
                </c:pt>
                <c:pt idx="31">
                  <c:v>1981.0</c:v>
                </c:pt>
                <c:pt idx="32">
                  <c:v>1982.0</c:v>
                </c:pt>
                <c:pt idx="33">
                  <c:v>1983.0</c:v>
                </c:pt>
                <c:pt idx="34">
                  <c:v>1984.0</c:v>
                </c:pt>
                <c:pt idx="35">
                  <c:v>1985.0</c:v>
                </c:pt>
                <c:pt idx="36">
                  <c:v>1986.0</c:v>
                </c:pt>
                <c:pt idx="37">
                  <c:v>1987.0</c:v>
                </c:pt>
                <c:pt idx="38">
                  <c:v>1988.0</c:v>
                </c:pt>
                <c:pt idx="39">
                  <c:v>1989.0</c:v>
                </c:pt>
                <c:pt idx="40">
                  <c:v>1990.0</c:v>
                </c:pt>
                <c:pt idx="41">
                  <c:v>1991.0</c:v>
                </c:pt>
                <c:pt idx="42">
                  <c:v>1992.0</c:v>
                </c:pt>
                <c:pt idx="43">
                  <c:v>1993.0</c:v>
                </c:pt>
                <c:pt idx="44">
                  <c:v>1994.0</c:v>
                </c:pt>
                <c:pt idx="45">
                  <c:v>1995.0</c:v>
                </c:pt>
                <c:pt idx="46">
                  <c:v>1996.0</c:v>
                </c:pt>
                <c:pt idx="47">
                  <c:v>1997.0</c:v>
                </c:pt>
                <c:pt idx="48">
                  <c:v>1998.0</c:v>
                </c:pt>
                <c:pt idx="49">
                  <c:v>1999.0</c:v>
                </c:pt>
                <c:pt idx="50">
                  <c:v>2000.0</c:v>
                </c:pt>
                <c:pt idx="51">
                  <c:v>2001.0</c:v>
                </c:pt>
                <c:pt idx="52">
                  <c:v>2002.0</c:v>
                </c:pt>
                <c:pt idx="53">
                  <c:v>2003.0</c:v>
                </c:pt>
                <c:pt idx="54">
                  <c:v>2004.0</c:v>
                </c:pt>
                <c:pt idx="55">
                  <c:v>2005.0</c:v>
                </c:pt>
                <c:pt idx="56">
                  <c:v>2006.0</c:v>
                </c:pt>
                <c:pt idx="57">
                  <c:v>2007.0</c:v>
                </c:pt>
                <c:pt idx="58">
                  <c:v>2008.0</c:v>
                </c:pt>
                <c:pt idx="59">
                  <c:v>2009.0</c:v>
                </c:pt>
                <c:pt idx="60">
                  <c:v>2010.0</c:v>
                </c:pt>
                <c:pt idx="61">
                  <c:v>2011.0</c:v>
                </c:pt>
                <c:pt idx="62">
                  <c:v>2012.0</c:v>
                </c:pt>
                <c:pt idx="63">
                  <c:v>2013.0</c:v>
                </c:pt>
                <c:pt idx="64">
                  <c:v>2014.0</c:v>
                </c:pt>
              </c:numCache>
            </c:numRef>
          </c:cat>
          <c:val>
            <c:numRef>
              <c:f>'[Cdn Econ History Assignment.csv]Cdn Econ History Assignment.csv'!$I$2:$I$66</c:f>
              <c:numCache>
                <c:formatCode>General</c:formatCode>
                <c:ptCount val="65"/>
                <c:pt idx="0">
                  <c:v>12420.85140983427</c:v>
                </c:pt>
                <c:pt idx="1">
                  <c:v>12065.81926368154</c:v>
                </c:pt>
                <c:pt idx="2">
                  <c:v>11544.69432128324</c:v>
                </c:pt>
                <c:pt idx="3">
                  <c:v>12564.84302034602</c:v>
                </c:pt>
                <c:pt idx="4">
                  <c:v>13091.98818509146</c:v>
                </c:pt>
                <c:pt idx="5">
                  <c:v>13256.03048538016</c:v>
                </c:pt>
                <c:pt idx="6">
                  <c:v>13224.69294493695</c:v>
                </c:pt>
                <c:pt idx="7">
                  <c:v>12928.20018483022</c:v>
                </c:pt>
                <c:pt idx="8">
                  <c:v>13528.38906002819</c:v>
                </c:pt>
                <c:pt idx="9">
                  <c:v>14203.53789791681</c:v>
                </c:pt>
                <c:pt idx="10">
                  <c:v>14059.69868981324</c:v>
                </c:pt>
                <c:pt idx="11">
                  <c:v>14094.05340776362</c:v>
                </c:pt>
                <c:pt idx="12">
                  <c:v>14650.60933755552</c:v>
                </c:pt>
                <c:pt idx="13">
                  <c:v>15597.37346536369</c:v>
                </c:pt>
                <c:pt idx="14">
                  <c:v>15983.26086372219</c:v>
                </c:pt>
                <c:pt idx="15">
                  <c:v>15926.1120472209</c:v>
                </c:pt>
                <c:pt idx="16">
                  <c:v>16671.18347797962</c:v>
                </c:pt>
                <c:pt idx="17">
                  <c:v>17031.44101326894</c:v>
                </c:pt>
                <c:pt idx="18">
                  <c:v>18058.37136158955</c:v>
                </c:pt>
                <c:pt idx="19">
                  <c:v>19002.2845095442</c:v>
                </c:pt>
                <c:pt idx="20">
                  <c:v>19162.39506778894</c:v>
                </c:pt>
                <c:pt idx="21">
                  <c:v>19372.06424791099</c:v>
                </c:pt>
                <c:pt idx="22">
                  <c:v>19996.73494291257</c:v>
                </c:pt>
                <c:pt idx="23">
                  <c:v>20760.80046841138</c:v>
                </c:pt>
                <c:pt idx="24">
                  <c:v>19874.55055954651</c:v>
                </c:pt>
                <c:pt idx="25">
                  <c:v>19703.43326273977</c:v>
                </c:pt>
                <c:pt idx="26">
                  <c:v>20295.81905130117</c:v>
                </c:pt>
                <c:pt idx="27">
                  <c:v>20204.10735708015</c:v>
                </c:pt>
                <c:pt idx="28">
                  <c:v>21020.53771213964</c:v>
                </c:pt>
                <c:pt idx="29">
                  <c:v>21502.3204871652</c:v>
                </c:pt>
                <c:pt idx="30">
                  <c:v>21954.58907857814</c:v>
                </c:pt>
                <c:pt idx="31">
                  <c:v>22753.38377203036</c:v>
                </c:pt>
                <c:pt idx="32">
                  <c:v>21889.32851284204</c:v>
                </c:pt>
                <c:pt idx="33">
                  <c:v>22836.20044099021</c:v>
                </c:pt>
                <c:pt idx="34">
                  <c:v>23339.15658338431</c:v>
                </c:pt>
                <c:pt idx="35">
                  <c:v>23735.98952583436</c:v>
                </c:pt>
                <c:pt idx="36">
                  <c:v>23833.80883161777</c:v>
                </c:pt>
                <c:pt idx="37">
                  <c:v>25314.23121417895</c:v>
                </c:pt>
                <c:pt idx="38">
                  <c:v>26747.39861949046</c:v>
                </c:pt>
                <c:pt idx="39">
                  <c:v>27438.2008211284</c:v>
                </c:pt>
                <c:pt idx="40">
                  <c:v>26767.96406406342</c:v>
                </c:pt>
                <c:pt idx="41">
                  <c:v>26495.98203675001</c:v>
                </c:pt>
                <c:pt idx="42">
                  <c:v>27234.10368353715</c:v>
                </c:pt>
                <c:pt idx="43">
                  <c:v>28082.41202377122</c:v>
                </c:pt>
                <c:pt idx="44">
                  <c:v>29294.6781418067</c:v>
                </c:pt>
                <c:pt idx="45">
                  <c:v>30488.57654469546</c:v>
                </c:pt>
                <c:pt idx="46">
                  <c:v>31565.90266912832</c:v>
                </c:pt>
                <c:pt idx="47">
                  <c:v>32708.95849185957</c:v>
                </c:pt>
                <c:pt idx="48">
                  <c:v>33788.61240541072</c:v>
                </c:pt>
                <c:pt idx="49">
                  <c:v>35139.05558256502</c:v>
                </c:pt>
                <c:pt idx="50">
                  <c:v>35349.51534891124</c:v>
                </c:pt>
                <c:pt idx="51">
                  <c:v>36297.14530992563</c:v>
                </c:pt>
                <c:pt idx="52">
                  <c:v>37047.05528767624</c:v>
                </c:pt>
                <c:pt idx="53">
                  <c:v>38301.87081443844</c:v>
                </c:pt>
                <c:pt idx="54">
                  <c:v>39134.29940994647</c:v>
                </c:pt>
                <c:pt idx="55">
                  <c:v>39913.88881243736</c:v>
                </c:pt>
                <c:pt idx="56">
                  <c:v>41032.48845446143</c:v>
                </c:pt>
                <c:pt idx="57">
                  <c:v>42021.78766738992</c:v>
                </c:pt>
                <c:pt idx="58">
                  <c:v>42221.57788445934</c:v>
                </c:pt>
                <c:pt idx="59">
                  <c:v>41616.34001954003</c:v>
                </c:pt>
                <c:pt idx="60">
                  <c:v>43154.96152279604</c:v>
                </c:pt>
                <c:pt idx="61">
                  <c:v>43715.88729508533</c:v>
                </c:pt>
                <c:pt idx="62">
                  <c:v>43150.51202732267</c:v>
                </c:pt>
                <c:pt idx="63">
                  <c:v>43238.30926885216</c:v>
                </c:pt>
                <c:pt idx="64">
                  <c:v>43070.61938325957</c:v>
                </c:pt>
              </c:numCache>
            </c:numRef>
          </c:val>
          <c:smooth val="0"/>
        </c:ser>
        <c:dLbls>
          <c:showLegendKey val="0"/>
          <c:showVal val="0"/>
          <c:showCatName val="0"/>
          <c:showSerName val="0"/>
          <c:showPercent val="0"/>
          <c:showBubbleSize val="0"/>
        </c:dLbls>
        <c:marker val="1"/>
        <c:smooth val="0"/>
        <c:axId val="1468009776"/>
        <c:axId val="1468012896"/>
      </c:lineChart>
      <c:catAx>
        <c:axId val="1468009776"/>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a:t>Years Studied</a:t>
                </a:r>
              </a:p>
            </c:rich>
          </c:tx>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468012896"/>
        <c:crosses val="autoZero"/>
        <c:auto val="1"/>
        <c:lblAlgn val="ctr"/>
        <c:lblOffset val="100"/>
        <c:noMultiLvlLbl val="0"/>
      </c:catAx>
      <c:valAx>
        <c:axId val="14680128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US" baseline="0"/>
                  <a:t>Austalia Real GDP Per Capita (USD Thousands $)</a:t>
                </a:r>
              </a:p>
            </c:rich>
          </c:tx>
          <c:layout>
            <c:manualLayout>
              <c:xMode val="edge"/>
              <c:yMode val="edge"/>
              <c:x val="0.0240174672489083"/>
              <c:y val="0.10796934865900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468009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solidFill>
      <a:round/>
    </a:ln>
    <a:effectLst/>
  </c:spPr>
  <c:txPr>
    <a:bodyPr/>
    <a:lstStyle/>
    <a:p>
      <a:pPr>
        <a:defRPr>
          <a:solidFill>
            <a:sysClr val="windowText" lastClr="000000"/>
          </a:solidFill>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Germany</a:t>
            </a:r>
            <a:r>
              <a:rPr lang="en-US" baseline="0"/>
              <a:t> Real GDP Per Capita (1950 to present)</a:t>
            </a:r>
          </a:p>
          <a:p>
            <a:pPr>
              <a:defRPr/>
            </a:pP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0666706118256957"/>
          <c:y val="0.0203864426164606"/>
          <c:w val="0.927816589107698"/>
          <c:h val="0.878078844795563"/>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'[Cdn Econ History Assignment.csv]Cdn Econ History Assignment.csv'!$G$138:$G$202</c:f>
              <c:numCache>
                <c:formatCode>General</c:formatCode>
                <c:ptCount val="65"/>
                <c:pt idx="0">
                  <c:v>1950.0</c:v>
                </c:pt>
                <c:pt idx="1">
                  <c:v>1951.0</c:v>
                </c:pt>
                <c:pt idx="2">
                  <c:v>1952.0</c:v>
                </c:pt>
                <c:pt idx="3">
                  <c:v>1953.0</c:v>
                </c:pt>
                <c:pt idx="4">
                  <c:v>1954.0</c:v>
                </c:pt>
                <c:pt idx="5">
                  <c:v>1955.0</c:v>
                </c:pt>
                <c:pt idx="6">
                  <c:v>1956.0</c:v>
                </c:pt>
                <c:pt idx="7">
                  <c:v>1957.0</c:v>
                </c:pt>
                <c:pt idx="8">
                  <c:v>1958.0</c:v>
                </c:pt>
                <c:pt idx="9">
                  <c:v>1959.0</c:v>
                </c:pt>
                <c:pt idx="10">
                  <c:v>1960.0</c:v>
                </c:pt>
                <c:pt idx="11">
                  <c:v>1961.0</c:v>
                </c:pt>
                <c:pt idx="12">
                  <c:v>1962.0</c:v>
                </c:pt>
                <c:pt idx="13">
                  <c:v>1963.0</c:v>
                </c:pt>
                <c:pt idx="14">
                  <c:v>1964.0</c:v>
                </c:pt>
                <c:pt idx="15">
                  <c:v>1965.0</c:v>
                </c:pt>
                <c:pt idx="16">
                  <c:v>1966.0</c:v>
                </c:pt>
                <c:pt idx="17">
                  <c:v>1967.0</c:v>
                </c:pt>
                <c:pt idx="18">
                  <c:v>1968.0</c:v>
                </c:pt>
                <c:pt idx="19">
                  <c:v>1969.0</c:v>
                </c:pt>
                <c:pt idx="20">
                  <c:v>1970.0</c:v>
                </c:pt>
                <c:pt idx="21">
                  <c:v>1971.0</c:v>
                </c:pt>
                <c:pt idx="22">
                  <c:v>1972.0</c:v>
                </c:pt>
                <c:pt idx="23">
                  <c:v>1973.0</c:v>
                </c:pt>
                <c:pt idx="24">
                  <c:v>1974.0</c:v>
                </c:pt>
                <c:pt idx="25">
                  <c:v>1975.0</c:v>
                </c:pt>
                <c:pt idx="26">
                  <c:v>1976.0</c:v>
                </c:pt>
                <c:pt idx="27">
                  <c:v>1977.0</c:v>
                </c:pt>
                <c:pt idx="28">
                  <c:v>1978.0</c:v>
                </c:pt>
                <c:pt idx="29">
                  <c:v>1979.0</c:v>
                </c:pt>
                <c:pt idx="30">
                  <c:v>1980.0</c:v>
                </c:pt>
                <c:pt idx="31">
                  <c:v>1981.0</c:v>
                </c:pt>
                <c:pt idx="32">
                  <c:v>1982.0</c:v>
                </c:pt>
                <c:pt idx="33">
                  <c:v>1983.0</c:v>
                </c:pt>
                <c:pt idx="34">
                  <c:v>1984.0</c:v>
                </c:pt>
                <c:pt idx="35">
                  <c:v>1985.0</c:v>
                </c:pt>
                <c:pt idx="36">
                  <c:v>1986.0</c:v>
                </c:pt>
                <c:pt idx="37">
                  <c:v>1987.0</c:v>
                </c:pt>
                <c:pt idx="38">
                  <c:v>1988.0</c:v>
                </c:pt>
                <c:pt idx="39">
                  <c:v>1989.0</c:v>
                </c:pt>
                <c:pt idx="40">
                  <c:v>1990.0</c:v>
                </c:pt>
                <c:pt idx="41">
                  <c:v>1991.0</c:v>
                </c:pt>
                <c:pt idx="42">
                  <c:v>1992.0</c:v>
                </c:pt>
                <c:pt idx="43">
                  <c:v>1993.0</c:v>
                </c:pt>
                <c:pt idx="44">
                  <c:v>1994.0</c:v>
                </c:pt>
                <c:pt idx="45">
                  <c:v>1995.0</c:v>
                </c:pt>
                <c:pt idx="46">
                  <c:v>1996.0</c:v>
                </c:pt>
                <c:pt idx="47">
                  <c:v>1997.0</c:v>
                </c:pt>
                <c:pt idx="48">
                  <c:v>1998.0</c:v>
                </c:pt>
                <c:pt idx="49">
                  <c:v>1999.0</c:v>
                </c:pt>
                <c:pt idx="50">
                  <c:v>2000.0</c:v>
                </c:pt>
                <c:pt idx="51">
                  <c:v>2001.0</c:v>
                </c:pt>
                <c:pt idx="52">
                  <c:v>2002.0</c:v>
                </c:pt>
                <c:pt idx="53">
                  <c:v>2003.0</c:v>
                </c:pt>
                <c:pt idx="54">
                  <c:v>2004.0</c:v>
                </c:pt>
                <c:pt idx="55">
                  <c:v>2005.0</c:v>
                </c:pt>
                <c:pt idx="56">
                  <c:v>2006.0</c:v>
                </c:pt>
                <c:pt idx="57">
                  <c:v>2007.0</c:v>
                </c:pt>
                <c:pt idx="58">
                  <c:v>2008.0</c:v>
                </c:pt>
                <c:pt idx="59">
                  <c:v>2009.0</c:v>
                </c:pt>
                <c:pt idx="60">
                  <c:v>2010.0</c:v>
                </c:pt>
                <c:pt idx="61">
                  <c:v>2011.0</c:v>
                </c:pt>
                <c:pt idx="62">
                  <c:v>2012.0</c:v>
                </c:pt>
                <c:pt idx="63">
                  <c:v>2013.0</c:v>
                </c:pt>
                <c:pt idx="64">
                  <c:v>2014.0</c:v>
                </c:pt>
              </c:numCache>
            </c:numRef>
          </c:cat>
          <c:val>
            <c:numRef>
              <c:f>'[Cdn Econ History Assignment.csv]Cdn Econ History Assignment.csv'!$I$138:$I$202</c:f>
              <c:numCache>
                <c:formatCode>General</c:formatCode>
                <c:ptCount val="65"/>
                <c:pt idx="0">
                  <c:v>4714.102214731878</c:v>
                </c:pt>
                <c:pt idx="1">
                  <c:v>5148.626596747623</c:v>
                </c:pt>
                <c:pt idx="2">
                  <c:v>5660.220449815583</c:v>
                </c:pt>
                <c:pt idx="3">
                  <c:v>6145.16220107948</c:v>
                </c:pt>
                <c:pt idx="4">
                  <c:v>6625.576316651104</c:v>
                </c:pt>
                <c:pt idx="5">
                  <c:v>7493.590394457091</c:v>
                </c:pt>
                <c:pt idx="6">
                  <c:v>8018.647492178356</c:v>
                </c:pt>
                <c:pt idx="7">
                  <c:v>8424.272815022612</c:v>
                </c:pt>
                <c:pt idx="8">
                  <c:v>8731.707161281747</c:v>
                </c:pt>
                <c:pt idx="9">
                  <c:v>9416.14062031282</c:v>
                </c:pt>
                <c:pt idx="10">
                  <c:v>10265.41923362709</c:v>
                </c:pt>
                <c:pt idx="11">
                  <c:v>10618.66163672078</c:v>
                </c:pt>
                <c:pt idx="12">
                  <c:v>10957.72633689355</c:v>
                </c:pt>
                <c:pt idx="13">
                  <c:v>11091.65665561764</c:v>
                </c:pt>
                <c:pt idx="14">
                  <c:v>11829.16972241733</c:v>
                </c:pt>
                <c:pt idx="15">
                  <c:v>12322.28985635001</c:v>
                </c:pt>
                <c:pt idx="16">
                  <c:v>12591.02110958843</c:v>
                </c:pt>
                <c:pt idx="17">
                  <c:v>12428.89012868259</c:v>
                </c:pt>
                <c:pt idx="18">
                  <c:v>13073.00034321348</c:v>
                </c:pt>
                <c:pt idx="19">
                  <c:v>14037.73875763733</c:v>
                </c:pt>
                <c:pt idx="20">
                  <c:v>14921.34787515677</c:v>
                </c:pt>
                <c:pt idx="21">
                  <c:v>15437.614197528</c:v>
                </c:pt>
                <c:pt idx="22">
                  <c:v>16188.66030977545</c:v>
                </c:pt>
                <c:pt idx="23">
                  <c:v>17008.78726860812</c:v>
                </c:pt>
                <c:pt idx="24">
                  <c:v>17031.67926011771</c:v>
                </c:pt>
                <c:pt idx="25">
                  <c:v>17137.2528648393</c:v>
                </c:pt>
                <c:pt idx="26">
                  <c:v>18052.75127281879</c:v>
                </c:pt>
                <c:pt idx="27">
                  <c:v>18752.8509331844</c:v>
                </c:pt>
                <c:pt idx="28">
                  <c:v>19577.95567492531</c:v>
                </c:pt>
                <c:pt idx="29">
                  <c:v>20402.54489696362</c:v>
                </c:pt>
                <c:pt idx="30">
                  <c:v>20445.14835664244</c:v>
                </c:pt>
                <c:pt idx="31">
                  <c:v>19771.84195653695</c:v>
                </c:pt>
                <c:pt idx="32">
                  <c:v>19429.07249116811</c:v>
                </c:pt>
                <c:pt idx="33">
                  <c:v>19562.45962798854</c:v>
                </c:pt>
                <c:pt idx="34">
                  <c:v>19703.0636544698</c:v>
                </c:pt>
                <c:pt idx="35">
                  <c:v>19825.18946207675</c:v>
                </c:pt>
                <c:pt idx="36">
                  <c:v>21184.0815305648</c:v>
                </c:pt>
                <c:pt idx="37">
                  <c:v>21937.66235680985</c:v>
                </c:pt>
                <c:pt idx="38">
                  <c:v>23041.42741971541</c:v>
                </c:pt>
                <c:pt idx="39">
                  <c:v>24109.99411703196</c:v>
                </c:pt>
                <c:pt idx="40">
                  <c:v>25732.19023368011</c:v>
                </c:pt>
                <c:pt idx="41">
                  <c:v>27169.25219131928</c:v>
                </c:pt>
                <c:pt idx="42">
                  <c:v>28052.8957886726</c:v>
                </c:pt>
                <c:pt idx="43">
                  <c:v>28032.29619753454</c:v>
                </c:pt>
                <c:pt idx="44">
                  <c:v>29033.86670173106</c:v>
                </c:pt>
                <c:pt idx="45">
                  <c:v>29949.68626283345</c:v>
                </c:pt>
                <c:pt idx="46">
                  <c:v>30230.04962015016</c:v>
                </c:pt>
                <c:pt idx="47">
                  <c:v>31291.78096337515</c:v>
                </c:pt>
                <c:pt idx="48">
                  <c:v>32560.69697392705</c:v>
                </c:pt>
                <c:pt idx="49">
                  <c:v>33780.39056031032</c:v>
                </c:pt>
                <c:pt idx="50">
                  <c:v>34148.8022755711</c:v>
                </c:pt>
                <c:pt idx="51">
                  <c:v>34665.03461373247</c:v>
                </c:pt>
                <c:pt idx="52">
                  <c:v>34588.82698518255</c:v>
                </c:pt>
                <c:pt idx="53">
                  <c:v>34673.37250803397</c:v>
                </c:pt>
                <c:pt idx="54">
                  <c:v>35385.13775201784</c:v>
                </c:pt>
                <c:pt idx="55">
                  <c:v>35778.1686690655</c:v>
                </c:pt>
                <c:pt idx="56">
                  <c:v>37397.69221499275</c:v>
                </c:pt>
                <c:pt idx="57">
                  <c:v>39480.64001125972</c:v>
                </c:pt>
                <c:pt idx="58">
                  <c:v>40394.82616112933</c:v>
                </c:pt>
                <c:pt idx="59">
                  <c:v>38725.63895400237</c:v>
                </c:pt>
                <c:pt idx="60">
                  <c:v>40758.49427664894</c:v>
                </c:pt>
                <c:pt idx="61">
                  <c:v>42815.42857530088</c:v>
                </c:pt>
                <c:pt idx="62">
                  <c:v>43547.49857451641</c:v>
                </c:pt>
                <c:pt idx="63">
                  <c:v>44522.47460000458</c:v>
                </c:pt>
                <c:pt idx="64">
                  <c:v>45961.05458675816</c:v>
                </c:pt>
              </c:numCache>
            </c:numRef>
          </c:val>
          <c:smooth val="0"/>
        </c:ser>
        <c:dLbls>
          <c:showLegendKey val="0"/>
          <c:showVal val="0"/>
          <c:showCatName val="0"/>
          <c:showSerName val="0"/>
          <c:showPercent val="0"/>
          <c:showBubbleSize val="0"/>
        </c:dLbls>
        <c:marker val="1"/>
        <c:smooth val="0"/>
        <c:axId val="1369619056"/>
        <c:axId val="1448405040"/>
      </c:lineChart>
      <c:catAx>
        <c:axId val="13696190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Years</a:t>
                </a:r>
                <a:r>
                  <a:rPr lang="en-US" baseline="0"/>
                  <a:t> Studied</a:t>
                </a:r>
              </a:p>
            </c:rich>
          </c:tx>
          <c:layout>
            <c:manualLayout>
              <c:xMode val="edge"/>
              <c:yMode val="edge"/>
              <c:x val="0.468608699332129"/>
              <c:y val="0.78665521539537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8405040"/>
        <c:crosses val="autoZero"/>
        <c:auto val="1"/>
        <c:lblAlgn val="ctr"/>
        <c:lblOffset val="100"/>
        <c:noMultiLvlLbl val="0"/>
      </c:catAx>
      <c:valAx>
        <c:axId val="1448405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Germany</a:t>
                </a:r>
                <a:r>
                  <a:rPr lang="en-US" baseline="0"/>
                  <a:t> Real GDP Per Capita ($USD Thousands)</a:t>
                </a:r>
              </a:p>
              <a:p>
                <a:pPr>
                  <a:defRPr/>
                </a:pPr>
                <a:endParaRPr lang="en-US"/>
              </a:p>
            </c:rich>
          </c:tx>
          <c:layout>
            <c:manualLayout>
              <c:xMode val="edge"/>
              <c:yMode val="edge"/>
              <c:x val="0.0811670505648788"/>
              <c:y val="0.032625482625482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96190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Iraq Real GDP Per</a:t>
            </a:r>
            <a:r>
              <a:rPr lang="en-US" baseline="0"/>
              <a:t> Capita (1970 to present)</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'[Cdn Econ History Assignment.csv]Cdn Econ History Assignment.csv'!$G$207:$G$251</c:f>
              <c:numCache>
                <c:formatCode>General</c:formatCode>
                <c:ptCount val="45"/>
                <c:pt idx="0">
                  <c:v>1970.0</c:v>
                </c:pt>
                <c:pt idx="1">
                  <c:v>1971.0</c:v>
                </c:pt>
                <c:pt idx="2">
                  <c:v>1972.0</c:v>
                </c:pt>
                <c:pt idx="3">
                  <c:v>1973.0</c:v>
                </c:pt>
                <c:pt idx="4">
                  <c:v>1974.0</c:v>
                </c:pt>
                <c:pt idx="5">
                  <c:v>1975.0</c:v>
                </c:pt>
                <c:pt idx="6">
                  <c:v>1976.0</c:v>
                </c:pt>
                <c:pt idx="7">
                  <c:v>1977.0</c:v>
                </c:pt>
                <c:pt idx="8">
                  <c:v>1978.0</c:v>
                </c:pt>
                <c:pt idx="9">
                  <c:v>1979.0</c:v>
                </c:pt>
                <c:pt idx="10">
                  <c:v>1980.0</c:v>
                </c:pt>
                <c:pt idx="11">
                  <c:v>1981.0</c:v>
                </c:pt>
                <c:pt idx="12">
                  <c:v>1982.0</c:v>
                </c:pt>
                <c:pt idx="13">
                  <c:v>1983.0</c:v>
                </c:pt>
                <c:pt idx="14">
                  <c:v>1984.0</c:v>
                </c:pt>
                <c:pt idx="15">
                  <c:v>1985.0</c:v>
                </c:pt>
                <c:pt idx="16">
                  <c:v>1986.0</c:v>
                </c:pt>
                <c:pt idx="17">
                  <c:v>1987.0</c:v>
                </c:pt>
                <c:pt idx="18">
                  <c:v>1988.0</c:v>
                </c:pt>
                <c:pt idx="19">
                  <c:v>1989.0</c:v>
                </c:pt>
                <c:pt idx="20">
                  <c:v>1990.0</c:v>
                </c:pt>
                <c:pt idx="21">
                  <c:v>1991.0</c:v>
                </c:pt>
                <c:pt idx="22">
                  <c:v>1992.0</c:v>
                </c:pt>
                <c:pt idx="23">
                  <c:v>1993.0</c:v>
                </c:pt>
                <c:pt idx="24">
                  <c:v>1994.0</c:v>
                </c:pt>
                <c:pt idx="25">
                  <c:v>1995.0</c:v>
                </c:pt>
                <c:pt idx="26">
                  <c:v>1996.0</c:v>
                </c:pt>
                <c:pt idx="27">
                  <c:v>1997.0</c:v>
                </c:pt>
                <c:pt idx="28">
                  <c:v>1998.0</c:v>
                </c:pt>
                <c:pt idx="29">
                  <c:v>1999.0</c:v>
                </c:pt>
                <c:pt idx="30">
                  <c:v>2000.0</c:v>
                </c:pt>
                <c:pt idx="31">
                  <c:v>2001.0</c:v>
                </c:pt>
                <c:pt idx="32">
                  <c:v>2002.0</c:v>
                </c:pt>
                <c:pt idx="33">
                  <c:v>2003.0</c:v>
                </c:pt>
                <c:pt idx="34">
                  <c:v>2004.0</c:v>
                </c:pt>
                <c:pt idx="35">
                  <c:v>2005.0</c:v>
                </c:pt>
                <c:pt idx="36">
                  <c:v>2006.0</c:v>
                </c:pt>
                <c:pt idx="37">
                  <c:v>2007.0</c:v>
                </c:pt>
                <c:pt idx="38">
                  <c:v>2008.0</c:v>
                </c:pt>
                <c:pt idx="39">
                  <c:v>2009.0</c:v>
                </c:pt>
                <c:pt idx="40">
                  <c:v>2010.0</c:v>
                </c:pt>
                <c:pt idx="41">
                  <c:v>2011.0</c:v>
                </c:pt>
                <c:pt idx="42">
                  <c:v>2012.0</c:v>
                </c:pt>
                <c:pt idx="43">
                  <c:v>2013.0</c:v>
                </c:pt>
                <c:pt idx="44">
                  <c:v>2014.0</c:v>
                </c:pt>
              </c:numCache>
            </c:numRef>
          </c:cat>
          <c:val>
            <c:numRef>
              <c:f>'[Cdn Econ History Assignment.csv]Cdn Econ History Assignment.csv'!$I$207:$I$251</c:f>
              <c:numCache>
                <c:formatCode>General</c:formatCode>
                <c:ptCount val="45"/>
                <c:pt idx="0">
                  <c:v>3343.82302392765</c:v>
                </c:pt>
                <c:pt idx="1">
                  <c:v>3453.707310930368</c:v>
                </c:pt>
                <c:pt idx="2">
                  <c:v>3242.232393046088</c:v>
                </c:pt>
                <c:pt idx="3">
                  <c:v>3772.677287922413</c:v>
                </c:pt>
                <c:pt idx="4">
                  <c:v>4076.752608818681</c:v>
                </c:pt>
                <c:pt idx="5">
                  <c:v>4519.248477267271</c:v>
                </c:pt>
                <c:pt idx="6">
                  <c:v>5169.491352062177</c:v>
                </c:pt>
                <c:pt idx="7">
                  <c:v>5048.013200207818</c:v>
                </c:pt>
                <c:pt idx="8">
                  <c:v>5756.632315000918</c:v>
                </c:pt>
                <c:pt idx="9">
                  <c:v>7124.927566826143</c:v>
                </c:pt>
                <c:pt idx="10">
                  <c:v>7025.969018940246</c:v>
                </c:pt>
                <c:pt idx="11">
                  <c:v>5656.383680923758</c:v>
                </c:pt>
                <c:pt idx="12">
                  <c:v>5367.409842217517</c:v>
                </c:pt>
                <c:pt idx="13">
                  <c:v>4651.92761140127</c:v>
                </c:pt>
                <c:pt idx="14">
                  <c:v>4571.200683819381</c:v>
                </c:pt>
                <c:pt idx="15">
                  <c:v>4522.388093657865</c:v>
                </c:pt>
                <c:pt idx="16">
                  <c:v>4731.02086876259</c:v>
                </c:pt>
                <c:pt idx="17">
                  <c:v>5542.597330756717</c:v>
                </c:pt>
                <c:pt idx="18">
                  <c:v>5600.025281839494</c:v>
                </c:pt>
                <c:pt idx="19">
                  <c:v>4953.317983540401</c:v>
                </c:pt>
                <c:pt idx="20">
                  <c:v>4816.92854145289</c:v>
                </c:pt>
                <c:pt idx="21">
                  <c:v>1580.118336428097</c:v>
                </c:pt>
                <c:pt idx="22">
                  <c:v>1928.379029038113</c:v>
                </c:pt>
                <c:pt idx="23">
                  <c:v>2786.49753006616</c:v>
                </c:pt>
                <c:pt idx="24">
                  <c:v>2547.054795647143</c:v>
                </c:pt>
                <c:pt idx="25">
                  <c:v>2012.710513254708</c:v>
                </c:pt>
                <c:pt idx="26">
                  <c:v>2919.03303929609</c:v>
                </c:pt>
                <c:pt idx="27">
                  <c:v>3450.206351435424</c:v>
                </c:pt>
                <c:pt idx="28">
                  <c:v>4500.06687529996</c:v>
                </c:pt>
                <c:pt idx="29">
                  <c:v>5069.951239372438</c:v>
                </c:pt>
                <c:pt idx="30">
                  <c:v>5023.336792083192</c:v>
                </c:pt>
                <c:pt idx="31">
                  <c:v>4997.755594837072</c:v>
                </c:pt>
                <c:pt idx="32">
                  <c:v>4551.013828370048</c:v>
                </c:pt>
                <c:pt idx="33">
                  <c:v>2906.469017038577</c:v>
                </c:pt>
                <c:pt idx="34">
                  <c:v>4469.156894826966</c:v>
                </c:pt>
                <c:pt idx="35">
                  <c:v>4472.435584571338</c:v>
                </c:pt>
                <c:pt idx="36">
                  <c:v>5232.705048561742</c:v>
                </c:pt>
                <c:pt idx="37">
                  <c:v>5866.86342935211</c:v>
                </c:pt>
                <c:pt idx="38">
                  <c:v>6804.395551303183</c:v>
                </c:pt>
                <c:pt idx="39">
                  <c:v>7999.112356114988</c:v>
                </c:pt>
                <c:pt idx="40">
                  <c:v>9451.069696226748</c:v>
                </c:pt>
                <c:pt idx="41">
                  <c:v>12120.63027778735</c:v>
                </c:pt>
                <c:pt idx="42">
                  <c:v>13164.04517898773</c:v>
                </c:pt>
                <c:pt idx="43">
                  <c:v>13387.58832916033</c:v>
                </c:pt>
                <c:pt idx="44">
                  <c:v>12095.6296170023</c:v>
                </c:pt>
              </c:numCache>
            </c:numRef>
          </c:val>
          <c:smooth val="0"/>
        </c:ser>
        <c:dLbls>
          <c:showLegendKey val="0"/>
          <c:showVal val="0"/>
          <c:showCatName val="0"/>
          <c:showSerName val="0"/>
          <c:showPercent val="0"/>
          <c:showBubbleSize val="0"/>
        </c:dLbls>
        <c:marker val="1"/>
        <c:smooth val="0"/>
        <c:axId val="1448956672"/>
        <c:axId val="1448959792"/>
      </c:lineChart>
      <c:catAx>
        <c:axId val="14489566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Years</a:t>
                </a:r>
                <a:r>
                  <a:rPr lang="en-US" baseline="0"/>
                  <a:t> Studied</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8959792"/>
        <c:crosses val="autoZero"/>
        <c:auto val="1"/>
        <c:lblAlgn val="ctr"/>
        <c:lblOffset val="100"/>
        <c:noMultiLvlLbl val="0"/>
      </c:catAx>
      <c:valAx>
        <c:axId val="1448959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Iraq Real GDP Per Capita ($USD Thousands)</a:t>
                </a:r>
              </a:p>
              <a:p>
                <a:pPr>
                  <a:defRPr/>
                </a:pPr>
                <a:r>
                  <a:rPr lang="en-US"/>
                  <a:t> </a:t>
                </a:r>
              </a:p>
            </c:rich>
          </c:tx>
          <c:layout>
            <c:manualLayout>
              <c:xMode val="edge"/>
              <c:yMode val="edge"/>
              <c:x val="0.0301726226529376"/>
              <c:y val="0.22075887392900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89566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Real GDP Per Capita Amungst</a:t>
            </a:r>
            <a:r>
              <a:rPr lang="en-US" baseline="0"/>
              <a:t> Studied Countries</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'[Cdn Econ History Assignment.csv]Cdn Econ History Assignment.csv'!$B$253</c:f>
              <c:strCache>
                <c:ptCount val="1"/>
                <c:pt idx="0">
                  <c:v>Average Real GDP Per Capita</c:v>
                </c:pt>
              </c:strCache>
            </c:strRef>
          </c:tx>
          <c:spPr>
            <a:solidFill>
              <a:schemeClr val="accent1"/>
            </a:solidFill>
            <a:ln>
              <a:noFill/>
            </a:ln>
            <a:effectLst/>
          </c:spPr>
          <c:invertIfNegative val="0"/>
          <c:cat>
            <c:strRef>
              <c:f>'[Cdn Econ History Assignment.csv]Cdn Econ History Assignment.csv'!$A$254:$A$257</c:f>
              <c:strCache>
                <c:ptCount val="4"/>
                <c:pt idx="0">
                  <c:v>Canada</c:v>
                </c:pt>
                <c:pt idx="1">
                  <c:v>Australia</c:v>
                </c:pt>
                <c:pt idx="2">
                  <c:v>Germany</c:v>
                </c:pt>
                <c:pt idx="3">
                  <c:v>Iraq</c:v>
                </c:pt>
              </c:strCache>
            </c:strRef>
          </c:cat>
          <c:val>
            <c:numRef>
              <c:f>'[Cdn Econ History Assignment.csv]Cdn Econ History Assignment.csv'!$B$254:$B$257</c:f>
              <c:numCache>
                <c:formatCode>General</c:formatCode>
                <c:ptCount val="4"/>
                <c:pt idx="0">
                  <c:v>26517.5930643441</c:v>
                </c:pt>
                <c:pt idx="1">
                  <c:v>25663.60921334861</c:v>
                </c:pt>
                <c:pt idx="2">
                  <c:v>22684.23752846405</c:v>
                </c:pt>
                <c:pt idx="3">
                  <c:v>3785.670302802867</c:v>
                </c:pt>
              </c:numCache>
            </c:numRef>
          </c:val>
        </c:ser>
        <c:dLbls>
          <c:showLegendKey val="0"/>
          <c:showVal val="0"/>
          <c:showCatName val="0"/>
          <c:showSerName val="0"/>
          <c:showPercent val="0"/>
          <c:showBubbleSize val="0"/>
        </c:dLbls>
        <c:gapWidth val="219"/>
        <c:overlap val="-27"/>
        <c:axId val="1369376400"/>
        <c:axId val="1471132272"/>
      </c:barChart>
      <c:catAx>
        <c:axId val="13693764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Countries</a:t>
                </a:r>
                <a:r>
                  <a:rPr lang="en-US" baseline="0"/>
                  <a:t> Studied</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1132272"/>
        <c:crosses val="autoZero"/>
        <c:auto val="1"/>
        <c:lblAlgn val="ctr"/>
        <c:lblOffset val="100"/>
        <c:noMultiLvlLbl val="0"/>
      </c:catAx>
      <c:valAx>
        <c:axId val="14711322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a:t>
                </a:r>
                <a:r>
                  <a:rPr lang="en-US" baseline="0"/>
                  <a:t> Real GDP Per Capita</a:t>
                </a:r>
                <a:endParaRPr lang="en-US"/>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9376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1325</Words>
  <Characters>7558</Characters>
  <Application>Microsoft Macintosh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Thompson</dc:creator>
  <cp:keywords/>
  <dc:description/>
  <cp:lastModifiedBy>Kevin Thompson</cp:lastModifiedBy>
  <cp:revision>2</cp:revision>
  <dcterms:created xsi:type="dcterms:W3CDTF">2016-11-10T15:09:00Z</dcterms:created>
  <dcterms:modified xsi:type="dcterms:W3CDTF">2016-11-10T15:09:00Z</dcterms:modified>
</cp:coreProperties>
</file>