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4F6" w:rsidRDefault="00B65816">
      <w:pPr>
        <w:pStyle w:val="Heading1"/>
        <w:spacing w:before="39" w:line="480" w:lineRule="auto"/>
        <w:ind w:left="569"/>
      </w:pPr>
      <w:r>
        <w:t>Biol364 Reading List and Practice Questions for Olfaction, Taste and Hearing Reading</w:t>
      </w:r>
    </w:p>
    <w:p w:rsidR="006434F6" w:rsidRDefault="00B65816">
      <w:pPr>
        <w:pStyle w:val="BodyText"/>
        <w:spacing w:line="280" w:lineRule="exact"/>
        <w:ind w:right="117"/>
      </w:pPr>
      <w:r>
        <w:rPr>
          <w:color w:val="3A3A3A"/>
        </w:rPr>
        <w:t xml:space="preserve">Molecular Cell Biology, </w:t>
      </w:r>
      <w:proofErr w:type="spellStart"/>
      <w:r>
        <w:rPr>
          <w:color w:val="3A3A3A"/>
        </w:rPr>
        <w:t>Lodish</w:t>
      </w:r>
      <w:proofErr w:type="spellEnd"/>
      <w:r>
        <w:rPr>
          <w:color w:val="3A3A3A"/>
        </w:rPr>
        <w:t xml:space="preserve"> et al. 7</w:t>
      </w:r>
      <w:proofErr w:type="spellStart"/>
      <w:r>
        <w:rPr>
          <w:color w:val="3A3A3A"/>
          <w:position w:val="6"/>
          <w:sz w:val="16"/>
        </w:rPr>
        <w:t>th</w:t>
      </w:r>
      <w:proofErr w:type="spellEnd"/>
      <w:r>
        <w:rPr>
          <w:color w:val="3A3A3A"/>
          <w:position w:val="6"/>
          <w:sz w:val="16"/>
        </w:rPr>
        <w:t xml:space="preserve"> </w:t>
      </w:r>
      <w:proofErr w:type="gramStart"/>
      <w:r>
        <w:rPr>
          <w:color w:val="3A3A3A"/>
        </w:rPr>
        <w:t>ed</w:t>
      </w:r>
      <w:proofErr w:type="gramEnd"/>
      <w:r>
        <w:rPr>
          <w:color w:val="3A3A3A"/>
        </w:rPr>
        <w:t>.</w:t>
      </w:r>
    </w:p>
    <w:p w:rsidR="006434F6" w:rsidRDefault="00B65816">
      <w:pPr>
        <w:pStyle w:val="BodyText"/>
        <w:spacing w:before="2"/>
        <w:ind w:right="117"/>
      </w:pPr>
      <w:r>
        <w:rPr>
          <w:color w:val="3A3A3A"/>
        </w:rPr>
        <w:t>Chapt</w:t>
      </w:r>
      <w:r>
        <w:rPr>
          <w:color w:val="3A3A3A"/>
          <w:spacing w:val="-1"/>
        </w:rPr>
        <w:t>e</w:t>
      </w:r>
      <w:r>
        <w:rPr>
          <w:color w:val="3A3A3A"/>
        </w:rPr>
        <w:t xml:space="preserve">r </w:t>
      </w:r>
      <w:r>
        <w:rPr>
          <w:color w:val="3A3A3A"/>
          <w:spacing w:val="-1"/>
        </w:rPr>
        <w:t>22</w:t>
      </w:r>
      <w:r>
        <w:rPr>
          <w:color w:val="3A3A3A"/>
        </w:rPr>
        <w:t>.4:</w:t>
      </w:r>
      <w:r>
        <w:rPr>
          <w:color w:val="3A3A3A"/>
          <w:spacing w:val="-1"/>
        </w:rPr>
        <w:t xml:space="preserve"> </w:t>
      </w:r>
      <w:r>
        <w:rPr>
          <w:color w:val="3A3A3A"/>
        </w:rPr>
        <w:t>S</w:t>
      </w:r>
      <w:r>
        <w:rPr>
          <w:color w:val="3A3A3A"/>
          <w:spacing w:val="-1"/>
        </w:rPr>
        <w:t>e</w:t>
      </w:r>
      <w:r>
        <w:rPr>
          <w:color w:val="3A3A3A"/>
        </w:rPr>
        <w:t>n</w:t>
      </w:r>
      <w:r>
        <w:rPr>
          <w:color w:val="3A3A3A"/>
          <w:spacing w:val="-1"/>
        </w:rPr>
        <w:t>s</w:t>
      </w:r>
      <w:r>
        <w:rPr>
          <w:color w:val="3A3A3A"/>
        </w:rPr>
        <w:t>at</w:t>
      </w:r>
      <w:r>
        <w:rPr>
          <w:color w:val="3A3A3A"/>
          <w:spacing w:val="-1"/>
        </w:rPr>
        <w:t>io</w:t>
      </w:r>
      <w:r>
        <w:rPr>
          <w:color w:val="3A3A3A"/>
        </w:rPr>
        <w:t xml:space="preserve">nal </w:t>
      </w:r>
      <w:r>
        <w:rPr>
          <w:color w:val="3A3A3A"/>
          <w:spacing w:val="-1"/>
        </w:rPr>
        <w:t>ce</w:t>
      </w:r>
      <w:r>
        <w:rPr>
          <w:color w:val="3A3A3A"/>
        </w:rPr>
        <w:t>lls:</w:t>
      </w:r>
      <w:r>
        <w:rPr>
          <w:color w:val="3A3A3A"/>
          <w:spacing w:val="-1"/>
        </w:rPr>
        <w:t xml:space="preserve"> seei</w:t>
      </w:r>
      <w:r>
        <w:rPr>
          <w:color w:val="3A3A3A"/>
        </w:rPr>
        <w:t xml:space="preserve">ng, </w:t>
      </w:r>
      <w:r>
        <w:rPr>
          <w:color w:val="3A3A3A"/>
          <w:spacing w:val="-1"/>
        </w:rPr>
        <w:t>feeli</w:t>
      </w:r>
      <w:r>
        <w:rPr>
          <w:color w:val="3A3A3A"/>
        </w:rPr>
        <w:t xml:space="preserve">ng, </w:t>
      </w:r>
      <w:r>
        <w:rPr>
          <w:color w:val="3A3A3A"/>
          <w:spacing w:val="-1"/>
        </w:rPr>
        <w:t>hea</w:t>
      </w:r>
      <w:r>
        <w:rPr>
          <w:color w:val="3A3A3A"/>
        </w:rPr>
        <w:t>ring, tasting and smelling, pgs.</w:t>
      </w:r>
      <w:r>
        <w:rPr>
          <w:color w:val="3A3A3A"/>
          <w:spacing w:val="-1"/>
        </w:rPr>
        <w:t xml:space="preserve"> </w:t>
      </w:r>
      <w:r>
        <w:rPr>
          <w:color w:val="3A3A3A"/>
        </w:rPr>
        <w:t>104</w:t>
      </w:r>
      <w:r>
        <w:rPr>
          <w:color w:val="3A3A3A"/>
          <w:spacing w:val="-1"/>
        </w:rPr>
        <w:t>7</w:t>
      </w:r>
      <w:r>
        <w:rPr>
          <w:color w:val="3A3A3A"/>
          <w:w w:val="33"/>
        </w:rPr>
        <w:t xml:space="preserve">-­‐ </w:t>
      </w:r>
      <w:r>
        <w:rPr>
          <w:color w:val="3A3A3A"/>
        </w:rPr>
        <w:t>1053</w:t>
      </w:r>
      <w:r>
        <w:rPr>
          <w:color w:val="3A3A3A"/>
          <w:spacing w:val="-1"/>
        </w:rPr>
        <w:t xml:space="preserve"> (</w:t>
      </w:r>
      <w:r>
        <w:rPr>
          <w:color w:val="3A3A3A"/>
        </w:rPr>
        <w:t>p</w:t>
      </w:r>
      <w:r>
        <w:rPr>
          <w:color w:val="3A3A3A"/>
          <w:spacing w:val="-1"/>
        </w:rPr>
        <w:t>gs</w:t>
      </w:r>
      <w:r>
        <w:rPr>
          <w:color w:val="3A3A3A"/>
        </w:rPr>
        <w:t>. 14</w:t>
      </w:r>
      <w:r>
        <w:rPr>
          <w:color w:val="3A3A3A"/>
          <w:spacing w:val="-1"/>
        </w:rPr>
        <w:t>7</w:t>
      </w:r>
      <w:r>
        <w:rPr>
          <w:color w:val="3A3A3A"/>
          <w:w w:val="33"/>
        </w:rPr>
        <w:t>-­‐</w:t>
      </w:r>
      <w:r>
        <w:rPr>
          <w:color w:val="3A3A3A"/>
        </w:rPr>
        <w:t>153</w:t>
      </w:r>
      <w:r>
        <w:rPr>
          <w:color w:val="3A3A3A"/>
          <w:spacing w:val="-1"/>
        </w:rPr>
        <w:t xml:space="preserve"> </w:t>
      </w:r>
      <w:r>
        <w:rPr>
          <w:color w:val="3A3A3A"/>
        </w:rPr>
        <w:t>in</w:t>
      </w:r>
      <w:r>
        <w:rPr>
          <w:color w:val="3A3A3A"/>
          <w:spacing w:val="-1"/>
        </w:rPr>
        <w:t xml:space="preserve"> co</w:t>
      </w:r>
      <w:r>
        <w:rPr>
          <w:color w:val="3A3A3A"/>
        </w:rPr>
        <w:t>urse</w:t>
      </w:r>
      <w:r>
        <w:rPr>
          <w:color w:val="3A3A3A"/>
          <w:spacing w:val="-1"/>
        </w:rPr>
        <w:t xml:space="preserve"> </w:t>
      </w:r>
      <w:r>
        <w:rPr>
          <w:color w:val="3A3A3A"/>
        </w:rPr>
        <w:t>pa</w:t>
      </w:r>
      <w:r>
        <w:rPr>
          <w:color w:val="3A3A3A"/>
          <w:spacing w:val="-1"/>
        </w:rPr>
        <w:t>c</w:t>
      </w:r>
      <w:r>
        <w:rPr>
          <w:color w:val="3A3A3A"/>
        </w:rPr>
        <w:t>k)</w:t>
      </w:r>
    </w:p>
    <w:p w:rsidR="006434F6" w:rsidRDefault="006434F6">
      <w:pPr>
        <w:pStyle w:val="BodyText"/>
        <w:spacing w:before="10"/>
        <w:ind w:left="0"/>
        <w:rPr>
          <w:sz w:val="23"/>
        </w:rPr>
      </w:pPr>
    </w:p>
    <w:p w:rsidR="006434F6" w:rsidRDefault="00B65816">
      <w:pPr>
        <w:pStyle w:val="BodyText"/>
        <w:ind w:right="117"/>
      </w:pPr>
      <w:r>
        <w:rPr>
          <w:color w:val="3A3A3A"/>
        </w:rPr>
        <w:t>Biochemistry, Berg et al. 7</w:t>
      </w:r>
      <w:proofErr w:type="spellStart"/>
      <w:r>
        <w:rPr>
          <w:color w:val="3A3A3A"/>
          <w:position w:val="6"/>
          <w:sz w:val="16"/>
        </w:rPr>
        <w:t>th</w:t>
      </w:r>
      <w:proofErr w:type="spellEnd"/>
      <w:r>
        <w:rPr>
          <w:color w:val="3A3A3A"/>
          <w:position w:val="6"/>
          <w:sz w:val="16"/>
        </w:rPr>
        <w:t xml:space="preserve"> </w:t>
      </w:r>
      <w:proofErr w:type="gramStart"/>
      <w:r>
        <w:rPr>
          <w:color w:val="3A3A3A"/>
        </w:rPr>
        <w:t>ed</w:t>
      </w:r>
      <w:proofErr w:type="gramEnd"/>
      <w:r>
        <w:rPr>
          <w:color w:val="3A3A3A"/>
        </w:rPr>
        <w:t>.</w:t>
      </w:r>
    </w:p>
    <w:p w:rsidR="006434F6" w:rsidRDefault="00B65816">
      <w:pPr>
        <w:pStyle w:val="BodyText"/>
        <w:spacing w:before="2"/>
        <w:ind w:right="117"/>
      </w:pPr>
      <w:r>
        <w:rPr>
          <w:color w:val="3A3A3A"/>
        </w:rPr>
        <w:t>Chapter 33: Sensory systems, p</w:t>
      </w:r>
      <w:r>
        <w:rPr>
          <w:color w:val="3A3A3A"/>
          <w:spacing w:val="-1"/>
        </w:rPr>
        <w:t>g</w:t>
      </w:r>
      <w:r>
        <w:rPr>
          <w:color w:val="3A3A3A"/>
        </w:rPr>
        <w:t>s. 957</w:t>
      </w:r>
      <w:r>
        <w:rPr>
          <w:color w:val="3A3A3A"/>
          <w:w w:val="33"/>
        </w:rPr>
        <w:t>-­‐</w:t>
      </w:r>
      <w:r>
        <w:rPr>
          <w:color w:val="3A3A3A"/>
        </w:rPr>
        <w:t>976 (pgs.</w:t>
      </w:r>
      <w:r>
        <w:rPr>
          <w:color w:val="3A3A3A"/>
          <w:spacing w:val="-1"/>
        </w:rPr>
        <w:t xml:space="preserve"> </w:t>
      </w:r>
      <w:r>
        <w:rPr>
          <w:color w:val="3A3A3A"/>
        </w:rPr>
        <w:t>155</w:t>
      </w:r>
      <w:r>
        <w:rPr>
          <w:color w:val="3A3A3A"/>
          <w:w w:val="33"/>
        </w:rPr>
        <w:t>-­‐</w:t>
      </w:r>
      <w:r>
        <w:rPr>
          <w:color w:val="3A3A3A"/>
        </w:rPr>
        <w:t>174</w:t>
      </w:r>
      <w:r>
        <w:rPr>
          <w:color w:val="3A3A3A"/>
          <w:spacing w:val="-1"/>
        </w:rPr>
        <w:t xml:space="preserve"> </w:t>
      </w:r>
      <w:r>
        <w:rPr>
          <w:color w:val="3A3A3A"/>
        </w:rPr>
        <w:t>in</w:t>
      </w:r>
      <w:r>
        <w:rPr>
          <w:color w:val="3A3A3A"/>
          <w:spacing w:val="-1"/>
        </w:rPr>
        <w:t xml:space="preserve"> co</w:t>
      </w:r>
      <w:r>
        <w:rPr>
          <w:color w:val="3A3A3A"/>
        </w:rPr>
        <w:t>urse</w:t>
      </w:r>
      <w:r>
        <w:rPr>
          <w:color w:val="3A3A3A"/>
          <w:spacing w:val="-1"/>
        </w:rPr>
        <w:t xml:space="preserve"> </w:t>
      </w:r>
      <w:r>
        <w:rPr>
          <w:color w:val="3A3A3A"/>
        </w:rPr>
        <w:t>pa</w:t>
      </w:r>
      <w:r>
        <w:rPr>
          <w:color w:val="3A3A3A"/>
          <w:spacing w:val="-1"/>
        </w:rPr>
        <w:t>c</w:t>
      </w:r>
      <w:r>
        <w:rPr>
          <w:color w:val="3A3A3A"/>
        </w:rPr>
        <w:t>k)</w:t>
      </w:r>
    </w:p>
    <w:p w:rsidR="006434F6" w:rsidRDefault="006434F6">
      <w:pPr>
        <w:pStyle w:val="BodyText"/>
        <w:spacing w:before="10"/>
        <w:ind w:left="0"/>
        <w:rPr>
          <w:sz w:val="23"/>
        </w:rPr>
      </w:pPr>
    </w:p>
    <w:p w:rsidR="006434F6" w:rsidRDefault="00B65816">
      <w:pPr>
        <w:pStyle w:val="Heading1"/>
      </w:pPr>
      <w:r>
        <w:t>Questions</w:t>
      </w:r>
    </w:p>
    <w:p w:rsidR="006434F6" w:rsidRDefault="006434F6">
      <w:pPr>
        <w:pStyle w:val="BodyText"/>
        <w:spacing w:before="10"/>
        <w:ind w:left="0"/>
        <w:rPr>
          <w:b/>
          <w:sz w:val="23"/>
        </w:rPr>
      </w:pPr>
    </w:p>
    <w:p w:rsidR="006434F6" w:rsidRDefault="00B65816">
      <w:pPr>
        <w:pStyle w:val="BodyText"/>
        <w:ind w:right="117"/>
      </w:pPr>
      <w:r>
        <w:t>What is the path for the axon of a ‘specific’ olfactory neuron? What region will they synapse to, and how are these regions co</w:t>
      </w:r>
      <w:r>
        <w:t>nnected to the brain?</w:t>
      </w:r>
    </w:p>
    <w:p w:rsidR="00E650B3" w:rsidRDefault="00E650B3">
      <w:pPr>
        <w:pStyle w:val="BodyText"/>
        <w:ind w:right="117"/>
      </w:pPr>
      <w:r>
        <w:t xml:space="preserve">Olfactory neuron </w:t>
      </w:r>
      <w:r>
        <w:sym w:font="Wingdings" w:char="F0E0"/>
      </w:r>
      <w:r>
        <w:t xml:space="preserve"> Glomerulus </w:t>
      </w:r>
      <w:r>
        <w:sym w:font="Wingdings" w:char="F0E0"/>
      </w:r>
      <w:r>
        <w:t xml:space="preserve"> Mitral cell </w:t>
      </w:r>
      <w:r>
        <w:sym w:font="Wingdings" w:char="F0E0"/>
      </w:r>
      <w:r>
        <w:t xml:space="preserve"> higher regions of the brain </w:t>
      </w:r>
    </w:p>
    <w:p w:rsidR="006434F6" w:rsidRDefault="006434F6">
      <w:pPr>
        <w:pStyle w:val="BodyText"/>
        <w:spacing w:before="10"/>
        <w:ind w:left="0"/>
        <w:rPr>
          <w:sz w:val="23"/>
        </w:rPr>
      </w:pPr>
    </w:p>
    <w:p w:rsidR="006434F6" w:rsidRDefault="00B65816">
      <w:pPr>
        <w:pStyle w:val="BodyText"/>
        <w:ind w:right="117"/>
      </w:pPr>
      <w:r>
        <w:t>What is an odorant?</w:t>
      </w:r>
      <w:r w:rsidR="00E650B3">
        <w:t xml:space="preserve"> Molecule that could be comprised of different combinations of molecules and that could bind to receptors on olfactory neuron.</w:t>
      </w:r>
    </w:p>
    <w:p w:rsidR="006434F6" w:rsidRDefault="006434F6">
      <w:pPr>
        <w:pStyle w:val="BodyText"/>
        <w:spacing w:before="10"/>
        <w:ind w:left="0"/>
        <w:rPr>
          <w:sz w:val="23"/>
        </w:rPr>
      </w:pPr>
    </w:p>
    <w:p w:rsidR="006434F6" w:rsidRDefault="00B65816">
      <w:pPr>
        <w:pStyle w:val="BodyText"/>
        <w:ind w:right="117"/>
      </w:pPr>
      <w:r>
        <w:t>Why does each odor have a unique pattern?</w:t>
      </w:r>
      <w:r w:rsidR="00E650B3">
        <w:t xml:space="preserve"> Each odor have a unique pattern because the odorant may be comprised of different combinations of molecules that bind to multiple receptors and thus elicit a different response in the brain</w:t>
      </w:r>
    </w:p>
    <w:p w:rsidR="006434F6" w:rsidRDefault="006434F6">
      <w:pPr>
        <w:pStyle w:val="BodyText"/>
        <w:spacing w:before="10"/>
        <w:ind w:left="0"/>
        <w:rPr>
          <w:sz w:val="23"/>
        </w:rPr>
      </w:pPr>
    </w:p>
    <w:p w:rsidR="00E650B3" w:rsidRDefault="00B65816" w:rsidP="00E650B3">
      <w:pPr>
        <w:pStyle w:val="BodyText"/>
        <w:ind w:left="102" w:right="2892"/>
      </w:pPr>
      <w:r>
        <w:t>How many types of receptors does an olfactory neuron express?</w:t>
      </w:r>
      <w:r w:rsidR="00E650B3">
        <w:t xml:space="preserve"> Only one type </w:t>
      </w:r>
    </w:p>
    <w:p w:rsidR="00E650B3" w:rsidRDefault="00E650B3">
      <w:pPr>
        <w:pStyle w:val="BodyText"/>
        <w:spacing w:line="482" w:lineRule="auto"/>
        <w:ind w:right="2891"/>
      </w:pPr>
    </w:p>
    <w:p w:rsidR="006434F6" w:rsidRDefault="00B65816" w:rsidP="00E650B3">
      <w:pPr>
        <w:pStyle w:val="BodyText"/>
        <w:ind w:left="102" w:right="2892"/>
      </w:pPr>
      <w:r>
        <w:t xml:space="preserve"> </w:t>
      </w:r>
      <w:r>
        <w:t xml:space="preserve">What are the main classes of </w:t>
      </w:r>
      <w:proofErr w:type="spellStart"/>
      <w:r>
        <w:t>tastants</w:t>
      </w:r>
      <w:proofErr w:type="spellEnd"/>
      <w:r>
        <w:t>?</w:t>
      </w:r>
      <w:r w:rsidR="00E650B3">
        <w:t xml:space="preserve"> Sweet, salt, bitter, sour, umami </w:t>
      </w:r>
    </w:p>
    <w:p w:rsidR="00E650B3" w:rsidRDefault="00E650B3" w:rsidP="00E650B3">
      <w:pPr>
        <w:pStyle w:val="BodyText"/>
        <w:ind w:left="102" w:right="2892"/>
      </w:pPr>
    </w:p>
    <w:p w:rsidR="006434F6" w:rsidRDefault="00B65816">
      <w:pPr>
        <w:pStyle w:val="BodyText"/>
        <w:spacing w:before="1" w:line="278" w:lineRule="exact"/>
        <w:ind w:right="1230"/>
      </w:pPr>
      <w:r>
        <w:t xml:space="preserve">What are the receptor cells for </w:t>
      </w:r>
      <w:proofErr w:type="spellStart"/>
      <w:r>
        <w:t>tastants</w:t>
      </w:r>
      <w:proofErr w:type="spellEnd"/>
      <w:r>
        <w:t xml:space="preserve"> – do they generate generator or receptor potentials?</w:t>
      </w:r>
      <w:r w:rsidR="00E650B3">
        <w:t xml:space="preserve"> The receptor cells for </w:t>
      </w:r>
      <w:proofErr w:type="spellStart"/>
      <w:r w:rsidR="00E650B3">
        <w:t>tastants</w:t>
      </w:r>
      <w:proofErr w:type="spellEnd"/>
      <w:r w:rsidR="00E650B3">
        <w:t xml:space="preserve"> are epithelial cells that release neurotransmitter; they generate receptor potential </w:t>
      </w:r>
    </w:p>
    <w:p w:rsidR="006434F6" w:rsidRDefault="006434F6">
      <w:pPr>
        <w:pStyle w:val="BodyText"/>
        <w:spacing w:before="7"/>
        <w:ind w:left="0"/>
      </w:pPr>
    </w:p>
    <w:p w:rsidR="006434F6" w:rsidRDefault="00B65816">
      <w:pPr>
        <w:pStyle w:val="BodyText"/>
        <w:spacing w:line="278" w:lineRule="exact"/>
        <w:ind w:right="219"/>
      </w:pPr>
      <w:r>
        <w:t xml:space="preserve">Compare and contrast chemoreception for odors vs. taste (cell types, number of receptors, chemical signals, receptor cell, </w:t>
      </w:r>
      <w:proofErr w:type="gramStart"/>
      <w:r>
        <w:t>organization</w:t>
      </w:r>
      <w:proofErr w:type="gramEnd"/>
      <w:r>
        <w:t>).</w:t>
      </w:r>
    </w:p>
    <w:p w:rsidR="006434F6" w:rsidRDefault="00E650B3">
      <w:pPr>
        <w:pStyle w:val="BodyText"/>
        <w:spacing w:before="1"/>
        <w:ind w:left="0"/>
      </w:pPr>
      <w:r>
        <w:t>Chemoreceptors for odors are neurons (generat</w:t>
      </w:r>
      <w:r w:rsidR="008004D6">
        <w:t>or potential)</w:t>
      </w:r>
      <w:r>
        <w:t xml:space="preserve">, expressing one type of receptors </w:t>
      </w:r>
      <w:r w:rsidR="008004D6">
        <w:t>(100-1000 depending of the organism) which can recognize more than one odorant with varying affinity, the receptor are bipolar neurons with hairs, located in the roof of the nasal cavity and linked to a G-protein signaling pathway. Odorant molecules are comprised of combinations of molecules.</w:t>
      </w:r>
    </w:p>
    <w:p w:rsidR="00DE3811" w:rsidRDefault="00DE3811">
      <w:pPr>
        <w:pStyle w:val="BodyText"/>
        <w:spacing w:before="1"/>
        <w:ind w:left="0"/>
      </w:pPr>
    </w:p>
    <w:p w:rsidR="00DE3811" w:rsidRDefault="00DE3811">
      <w:pPr>
        <w:pStyle w:val="BodyText"/>
        <w:spacing w:before="1"/>
        <w:ind w:left="0"/>
      </w:pPr>
    </w:p>
    <w:p w:rsidR="00DE3811" w:rsidRDefault="00DE3811">
      <w:pPr>
        <w:pStyle w:val="BodyText"/>
        <w:spacing w:before="1"/>
        <w:ind w:left="0"/>
      </w:pPr>
    </w:p>
    <w:p w:rsidR="00DE3811" w:rsidRDefault="00DE3811">
      <w:pPr>
        <w:pStyle w:val="BodyText"/>
        <w:spacing w:before="1"/>
        <w:ind w:left="0"/>
      </w:pPr>
    </w:p>
    <w:p w:rsidR="00DE3811" w:rsidRDefault="00DE3811">
      <w:pPr>
        <w:pStyle w:val="BodyText"/>
        <w:spacing w:before="1"/>
        <w:ind w:left="0"/>
      </w:pPr>
    </w:p>
    <w:p w:rsidR="008004D6" w:rsidRDefault="008004D6">
      <w:pPr>
        <w:pStyle w:val="BodyText"/>
        <w:spacing w:before="1"/>
        <w:ind w:left="0"/>
      </w:pPr>
      <w:r>
        <w:lastRenderedPageBreak/>
        <w:t xml:space="preserve">Chemoreceptors for </w:t>
      </w:r>
      <w:proofErr w:type="spellStart"/>
      <w:r>
        <w:t>tastants</w:t>
      </w:r>
      <w:proofErr w:type="spellEnd"/>
      <w:r>
        <w:t xml:space="preserve"> are epithelial cells that release neurotransmitter (receptor potential); the taste receptors are clustered in groups and express more than one type of receptor. There is 5 classes of </w:t>
      </w:r>
      <w:proofErr w:type="spellStart"/>
      <w:r>
        <w:t>tastants</w:t>
      </w:r>
      <w:proofErr w:type="spellEnd"/>
      <w:r>
        <w:t xml:space="preserve"> (sweet, salt, bitter, sour, umami)</w:t>
      </w:r>
      <w:r w:rsidR="00DE3811">
        <w:t xml:space="preserve">. Bitter, umami and sweet receptors are linked to a G-protein signaling pathway like in chemoreception for odors but salt and sour receptors use Na+ channel (not specific) that cause depolarization and neurotransmitter release. </w:t>
      </w:r>
    </w:p>
    <w:p w:rsidR="003F7106" w:rsidRDefault="003F7106">
      <w:pPr>
        <w:pStyle w:val="BodyText"/>
        <w:spacing w:before="1"/>
        <w:ind w:left="0"/>
      </w:pPr>
    </w:p>
    <w:p w:rsidR="00E650B3" w:rsidRDefault="00E650B3">
      <w:pPr>
        <w:pStyle w:val="BodyText"/>
        <w:spacing w:before="1"/>
        <w:ind w:left="0"/>
      </w:pPr>
    </w:p>
    <w:p w:rsidR="006434F6" w:rsidRDefault="00B65816">
      <w:pPr>
        <w:pStyle w:val="BodyText"/>
        <w:ind w:right="117"/>
      </w:pPr>
      <w:r>
        <w:t xml:space="preserve">Describe and distinguish the signaling pathways for the different </w:t>
      </w:r>
      <w:proofErr w:type="spellStart"/>
      <w:r>
        <w:t>tastants</w:t>
      </w:r>
      <w:proofErr w:type="spellEnd"/>
      <w:r>
        <w:t>.</w:t>
      </w:r>
    </w:p>
    <w:p w:rsidR="003F7106" w:rsidRDefault="003F7106">
      <w:pPr>
        <w:pStyle w:val="BodyText"/>
        <w:ind w:right="117"/>
      </w:pPr>
      <w:r>
        <w:t xml:space="preserve">For salty and acids </w:t>
      </w:r>
      <w:proofErr w:type="spellStart"/>
      <w:r>
        <w:t>tastants</w:t>
      </w:r>
      <w:proofErr w:type="spellEnd"/>
      <w:r>
        <w:t xml:space="preserve">, they use </w:t>
      </w:r>
      <w:proofErr w:type="spellStart"/>
      <w:r>
        <w:t>amiloride</w:t>
      </w:r>
      <w:proofErr w:type="spellEnd"/>
      <w:r>
        <w:t>-sensitive Na+ channels, from where they can enter cells directly and cause depolarization.</w:t>
      </w:r>
    </w:p>
    <w:p w:rsidR="003F7106" w:rsidRDefault="003F7106">
      <w:pPr>
        <w:pStyle w:val="BodyText"/>
        <w:ind w:right="117"/>
      </w:pPr>
    </w:p>
    <w:p w:rsidR="003F7106" w:rsidRDefault="003F7106">
      <w:pPr>
        <w:pStyle w:val="BodyText"/>
        <w:ind w:right="117"/>
      </w:pPr>
      <w:r>
        <w:t xml:space="preserve">For sugars and sweeteners </w:t>
      </w:r>
      <w:proofErr w:type="spellStart"/>
      <w:r>
        <w:t>tastants</w:t>
      </w:r>
      <w:proofErr w:type="spellEnd"/>
      <w:r>
        <w:t xml:space="preserve">, they bind to T1R </w:t>
      </w:r>
      <w:proofErr w:type="spellStart"/>
      <w:r>
        <w:t>receptos</w:t>
      </w:r>
      <w:proofErr w:type="spellEnd"/>
      <w:r>
        <w:t xml:space="preserve"> (GPCRs), which activate G protein </w:t>
      </w:r>
      <w:proofErr w:type="spellStart"/>
      <w:r>
        <w:t>gustducin</w:t>
      </w:r>
      <w:proofErr w:type="spellEnd"/>
      <w:r>
        <w:t xml:space="preserve">, which activate adenylate cyclase, then production of </w:t>
      </w:r>
      <w:proofErr w:type="spellStart"/>
      <w:r>
        <w:t>cAMP</w:t>
      </w:r>
      <w:proofErr w:type="spellEnd"/>
      <w:r>
        <w:t xml:space="preserve"> which activates PKA which phosphorylates and closes K+ channel, thus more positive membrane potential, opening of voltage-gated Ca2+ channels which causes neurotransmitter release</w:t>
      </w:r>
    </w:p>
    <w:p w:rsidR="003F7106" w:rsidRDefault="003F7106">
      <w:pPr>
        <w:pStyle w:val="BodyText"/>
        <w:ind w:right="117"/>
      </w:pPr>
    </w:p>
    <w:p w:rsidR="003F7106" w:rsidRDefault="003F7106">
      <w:pPr>
        <w:pStyle w:val="BodyText"/>
        <w:ind w:right="117"/>
      </w:pPr>
      <w:r>
        <w:t xml:space="preserve">For bitter </w:t>
      </w:r>
      <w:proofErr w:type="spellStart"/>
      <w:r>
        <w:t>tastants</w:t>
      </w:r>
      <w:proofErr w:type="spellEnd"/>
      <w:r>
        <w:t xml:space="preserve">, they bind to T2R receptors (GPCRs), which activate G protein </w:t>
      </w:r>
      <w:proofErr w:type="spellStart"/>
      <w:r>
        <w:t>transducin</w:t>
      </w:r>
      <w:proofErr w:type="spellEnd"/>
      <w:r>
        <w:t xml:space="preserve">, which activates PLC, which cleaves PIP2 into DAG and IP3, IP3 causes Ca2+ release from intracellular stores and the influx of CA2+ causes NT release </w:t>
      </w:r>
    </w:p>
    <w:p w:rsidR="003F7106" w:rsidRDefault="003F7106">
      <w:pPr>
        <w:pStyle w:val="BodyText"/>
        <w:ind w:right="117"/>
      </w:pPr>
    </w:p>
    <w:p w:rsidR="003F7106" w:rsidRDefault="003F7106">
      <w:pPr>
        <w:pStyle w:val="BodyText"/>
        <w:ind w:right="117"/>
      </w:pPr>
      <w:r>
        <w:t xml:space="preserve">Umami </w:t>
      </w:r>
      <w:proofErr w:type="spellStart"/>
      <w:r>
        <w:t>tastants</w:t>
      </w:r>
      <w:proofErr w:type="spellEnd"/>
      <w:r>
        <w:t xml:space="preserve"> use G-protein coupled receptors too. </w:t>
      </w:r>
    </w:p>
    <w:p w:rsidR="00DE3811" w:rsidRDefault="00DE3811">
      <w:pPr>
        <w:pStyle w:val="BodyText"/>
        <w:ind w:right="117"/>
      </w:pPr>
    </w:p>
    <w:p w:rsidR="00DE3811" w:rsidRDefault="00DE3811">
      <w:pPr>
        <w:pStyle w:val="BodyText"/>
        <w:ind w:right="117"/>
      </w:pPr>
    </w:p>
    <w:p w:rsidR="00DE3811" w:rsidRDefault="00DE3811">
      <w:pPr>
        <w:pStyle w:val="BodyText"/>
        <w:ind w:right="117"/>
      </w:pPr>
    </w:p>
    <w:p w:rsidR="006434F6" w:rsidRDefault="006434F6">
      <w:pPr>
        <w:pStyle w:val="BodyText"/>
        <w:spacing w:before="10"/>
        <w:ind w:left="0"/>
        <w:rPr>
          <w:sz w:val="23"/>
        </w:rPr>
      </w:pPr>
    </w:p>
    <w:p w:rsidR="00DE3811" w:rsidRDefault="00B65816">
      <w:pPr>
        <w:pStyle w:val="BodyText"/>
        <w:spacing w:line="480" w:lineRule="auto"/>
        <w:ind w:right="373"/>
      </w:pPr>
      <w:r>
        <w:t xml:space="preserve">Which </w:t>
      </w:r>
      <w:proofErr w:type="spellStart"/>
      <w:r>
        <w:t>tastants</w:t>
      </w:r>
      <w:proofErr w:type="spellEnd"/>
      <w:r>
        <w:t xml:space="preserve"> generally are ‘go eat’ signals, and which are ‘avoid’ signals for organisms? </w:t>
      </w:r>
    </w:p>
    <w:p w:rsidR="00DE3811" w:rsidRDefault="00DE3811" w:rsidP="00DE3811">
      <w:pPr>
        <w:pStyle w:val="BodyText"/>
        <w:spacing w:line="480" w:lineRule="auto"/>
        <w:ind w:left="0" w:right="373"/>
      </w:pPr>
      <w:r>
        <w:t>Sweet, salt, umami are ‘go eat’ signals</w:t>
      </w:r>
    </w:p>
    <w:p w:rsidR="00DE3811" w:rsidRDefault="00DE3811" w:rsidP="00DE3811">
      <w:pPr>
        <w:pStyle w:val="BodyText"/>
        <w:spacing w:line="480" w:lineRule="auto"/>
        <w:ind w:left="0" w:right="373"/>
      </w:pPr>
      <w:r>
        <w:t>Sour and bitter are ‘avoid’ signals</w:t>
      </w:r>
    </w:p>
    <w:p w:rsidR="00DE3811" w:rsidRDefault="00DE3811" w:rsidP="00DE3811">
      <w:pPr>
        <w:pStyle w:val="BodyText"/>
        <w:spacing w:line="480" w:lineRule="auto"/>
        <w:ind w:left="0" w:right="373"/>
      </w:pPr>
    </w:p>
    <w:p w:rsidR="006434F6" w:rsidRDefault="00B65816" w:rsidP="00DE3811">
      <w:pPr>
        <w:pStyle w:val="BodyText"/>
        <w:spacing w:line="480" w:lineRule="auto"/>
        <w:ind w:left="0" w:right="373"/>
      </w:pPr>
      <w:r>
        <w:t xml:space="preserve">What can be sensed by </w:t>
      </w:r>
      <w:proofErr w:type="spellStart"/>
      <w:r>
        <w:t>mechanoreception</w:t>
      </w:r>
      <w:proofErr w:type="spellEnd"/>
      <w:r>
        <w:t>?</w:t>
      </w:r>
      <w:r w:rsidR="00DE3811">
        <w:t xml:space="preserve"> Hearing and equilibrium</w:t>
      </w:r>
    </w:p>
    <w:p w:rsidR="00DE3811" w:rsidRDefault="00DE3811" w:rsidP="00DE3811">
      <w:pPr>
        <w:pStyle w:val="BodyText"/>
        <w:spacing w:line="480" w:lineRule="auto"/>
        <w:ind w:left="0" w:right="373"/>
      </w:pPr>
    </w:p>
    <w:p w:rsidR="006434F6" w:rsidRDefault="00B65816">
      <w:pPr>
        <w:pStyle w:val="BodyText"/>
        <w:spacing w:line="280" w:lineRule="exact"/>
        <w:ind w:right="117"/>
      </w:pPr>
      <w:r>
        <w:t xml:space="preserve">What are </w:t>
      </w:r>
      <w:proofErr w:type="spellStart"/>
      <w:r>
        <w:t>statocysts</w:t>
      </w:r>
      <w:proofErr w:type="spellEnd"/>
      <w:r>
        <w:t xml:space="preserve"> and how do they work?</w:t>
      </w:r>
      <w:r w:rsidR="00DE3811">
        <w:t xml:space="preserve"> </w:t>
      </w:r>
      <w:proofErr w:type="spellStart"/>
      <w:r w:rsidR="00DE3811">
        <w:t>Statocysts</w:t>
      </w:r>
      <w:proofErr w:type="spellEnd"/>
      <w:r w:rsidR="00DE3811">
        <w:t xml:space="preserve"> are organs (mechanoreceptors) used for equilibrium in invertebrates.</w:t>
      </w:r>
    </w:p>
    <w:p w:rsidR="00DE3811" w:rsidRDefault="00DE3811">
      <w:pPr>
        <w:pStyle w:val="BodyText"/>
        <w:spacing w:line="280" w:lineRule="exact"/>
        <w:ind w:right="117"/>
      </w:pPr>
    </w:p>
    <w:p w:rsidR="006434F6" w:rsidRDefault="006434F6">
      <w:pPr>
        <w:pStyle w:val="BodyText"/>
        <w:spacing w:before="10"/>
        <w:ind w:left="0"/>
        <w:rPr>
          <w:sz w:val="23"/>
        </w:rPr>
      </w:pPr>
    </w:p>
    <w:p w:rsidR="003F7106" w:rsidRDefault="003F7106">
      <w:pPr>
        <w:pStyle w:val="BodyText"/>
        <w:ind w:right="1993"/>
      </w:pPr>
    </w:p>
    <w:p w:rsidR="003F7106" w:rsidRDefault="003F7106">
      <w:pPr>
        <w:pStyle w:val="BodyText"/>
        <w:ind w:right="1993"/>
      </w:pPr>
    </w:p>
    <w:p w:rsidR="003F7106" w:rsidRDefault="003F7106">
      <w:pPr>
        <w:pStyle w:val="BodyText"/>
        <w:ind w:right="1993"/>
      </w:pPr>
    </w:p>
    <w:p w:rsidR="003F7106" w:rsidRDefault="003F7106">
      <w:pPr>
        <w:pStyle w:val="BodyText"/>
        <w:ind w:right="1993"/>
      </w:pPr>
    </w:p>
    <w:p w:rsidR="003F7106" w:rsidRDefault="003F7106">
      <w:pPr>
        <w:pStyle w:val="BodyText"/>
        <w:ind w:right="1993"/>
      </w:pPr>
    </w:p>
    <w:p w:rsidR="006434F6" w:rsidRDefault="00B65816">
      <w:pPr>
        <w:pStyle w:val="BodyText"/>
        <w:ind w:right="1993"/>
      </w:pPr>
      <w:r>
        <w:lastRenderedPageBreak/>
        <w:t>Desc</w:t>
      </w:r>
      <w:r>
        <w:t>ribe vertebrate hair cells. What type of cells are these? How are they modified/specialized to cause a change in membrane potential?</w:t>
      </w:r>
    </w:p>
    <w:p w:rsidR="006434F6" w:rsidRDefault="00DE3811">
      <w:pPr>
        <w:pStyle w:val="BodyText"/>
        <w:spacing w:before="10"/>
        <w:ind w:left="0"/>
        <w:rPr>
          <w:sz w:val="23"/>
        </w:rPr>
      </w:pPr>
      <w:r>
        <w:rPr>
          <w:sz w:val="23"/>
        </w:rPr>
        <w:t xml:space="preserve">Vertebrate hair cells are mechanoreceptors for hearing and balance; they are not neurons but modified epithelial cells: </w:t>
      </w:r>
      <w:proofErr w:type="spellStart"/>
      <w:r>
        <w:rPr>
          <w:sz w:val="23"/>
        </w:rPr>
        <w:t>Kinocilium</w:t>
      </w:r>
      <w:proofErr w:type="spellEnd"/>
      <w:r>
        <w:rPr>
          <w:sz w:val="23"/>
        </w:rPr>
        <w:t xml:space="preserve"> (true </w:t>
      </w:r>
      <w:proofErr w:type="spellStart"/>
      <w:r>
        <w:rPr>
          <w:sz w:val="23"/>
        </w:rPr>
        <w:t>cilum</w:t>
      </w:r>
      <w:proofErr w:type="spellEnd"/>
      <w:r>
        <w:rPr>
          <w:sz w:val="23"/>
        </w:rPr>
        <w:t xml:space="preserve">) and </w:t>
      </w:r>
      <w:proofErr w:type="spellStart"/>
      <w:r>
        <w:rPr>
          <w:sz w:val="23"/>
        </w:rPr>
        <w:t>streocilia</w:t>
      </w:r>
      <w:proofErr w:type="spellEnd"/>
      <w:r>
        <w:rPr>
          <w:sz w:val="23"/>
        </w:rPr>
        <w:t xml:space="preserve"> (microvilli) connected by tip links. There are mechanosensitive ion channels in </w:t>
      </w:r>
      <w:proofErr w:type="spellStart"/>
      <w:r>
        <w:rPr>
          <w:sz w:val="23"/>
        </w:rPr>
        <w:t>stereocilia</w:t>
      </w:r>
      <w:proofErr w:type="spellEnd"/>
      <w:r>
        <w:rPr>
          <w:sz w:val="23"/>
        </w:rPr>
        <w:t xml:space="preserve"> that change their conformation when the </w:t>
      </w:r>
      <w:proofErr w:type="spellStart"/>
      <w:r>
        <w:rPr>
          <w:sz w:val="23"/>
        </w:rPr>
        <w:t>stereocilia</w:t>
      </w:r>
      <w:proofErr w:type="spellEnd"/>
      <w:r>
        <w:rPr>
          <w:sz w:val="23"/>
        </w:rPr>
        <w:t xml:space="preserve"> move, it induces a change in membrane potential and a change in NT release from hair cell</w:t>
      </w:r>
    </w:p>
    <w:p w:rsidR="00DE3811" w:rsidRDefault="00DE3811">
      <w:pPr>
        <w:pStyle w:val="BodyText"/>
        <w:spacing w:before="10"/>
        <w:ind w:left="0"/>
        <w:rPr>
          <w:sz w:val="23"/>
        </w:rPr>
      </w:pPr>
    </w:p>
    <w:p w:rsidR="00DE3811" w:rsidRDefault="00DE3811">
      <w:pPr>
        <w:pStyle w:val="BodyText"/>
        <w:spacing w:before="10"/>
        <w:ind w:left="0"/>
        <w:rPr>
          <w:sz w:val="23"/>
        </w:rPr>
      </w:pPr>
    </w:p>
    <w:p w:rsidR="006434F6" w:rsidRDefault="00B65816">
      <w:pPr>
        <w:pStyle w:val="BodyText"/>
        <w:ind w:right="117"/>
      </w:pPr>
      <w:r>
        <w:t xml:space="preserve">What is the </w:t>
      </w:r>
      <w:proofErr w:type="spellStart"/>
      <w:r>
        <w:t>kinocilium</w:t>
      </w:r>
      <w:proofErr w:type="spellEnd"/>
      <w:r>
        <w:t>? What is the tip link?</w:t>
      </w:r>
    </w:p>
    <w:p w:rsidR="00DE3811" w:rsidRDefault="00DE3811">
      <w:pPr>
        <w:pStyle w:val="BodyText"/>
        <w:ind w:right="117"/>
      </w:pPr>
      <w:r>
        <w:t xml:space="preserve">The </w:t>
      </w:r>
      <w:proofErr w:type="spellStart"/>
      <w:r>
        <w:t>kinocilium</w:t>
      </w:r>
      <w:proofErr w:type="spellEnd"/>
      <w:r>
        <w:t xml:space="preserve"> is a cilia on the apical surface of the hair cell, made from microtubule and connected to </w:t>
      </w:r>
      <w:proofErr w:type="spellStart"/>
      <w:r>
        <w:t>stereocilia</w:t>
      </w:r>
      <w:proofErr w:type="spellEnd"/>
      <w:r>
        <w:t xml:space="preserve"> by the tip link which a </w:t>
      </w:r>
      <w:r w:rsidR="005079F6">
        <w:t xml:space="preserve">complex of proteins linking </w:t>
      </w:r>
      <w:proofErr w:type="spellStart"/>
      <w:r w:rsidR="005079F6">
        <w:t>stereocilia</w:t>
      </w:r>
      <w:proofErr w:type="spellEnd"/>
      <w:r w:rsidR="005079F6">
        <w:t xml:space="preserve"> together too. </w:t>
      </w:r>
    </w:p>
    <w:p w:rsidR="006434F6" w:rsidRDefault="006434F6">
      <w:pPr>
        <w:pStyle w:val="BodyText"/>
        <w:spacing w:before="9"/>
        <w:ind w:left="0"/>
      </w:pPr>
    </w:p>
    <w:p w:rsidR="005079F6" w:rsidRDefault="005079F6">
      <w:pPr>
        <w:pStyle w:val="BodyText"/>
        <w:spacing w:line="278" w:lineRule="exact"/>
        <w:ind w:right="522"/>
      </w:pPr>
    </w:p>
    <w:p w:rsidR="005079F6" w:rsidRDefault="005079F6">
      <w:pPr>
        <w:pStyle w:val="BodyText"/>
        <w:spacing w:line="278" w:lineRule="exact"/>
        <w:ind w:right="522"/>
      </w:pPr>
    </w:p>
    <w:p w:rsidR="005079F6" w:rsidRDefault="005079F6">
      <w:pPr>
        <w:pStyle w:val="BodyText"/>
        <w:spacing w:line="278" w:lineRule="exact"/>
        <w:ind w:right="522"/>
      </w:pPr>
    </w:p>
    <w:p w:rsidR="006434F6" w:rsidRDefault="00B65816">
      <w:pPr>
        <w:pStyle w:val="BodyText"/>
        <w:spacing w:line="278" w:lineRule="exact"/>
        <w:ind w:right="522"/>
      </w:pPr>
      <w:r>
        <w:t xml:space="preserve">Describe how the movement of </w:t>
      </w:r>
      <w:proofErr w:type="spellStart"/>
      <w:r>
        <w:t>stereocilia</w:t>
      </w:r>
      <w:proofErr w:type="spellEnd"/>
      <w:r>
        <w:t xml:space="preserve"> results in a change in the frequen</w:t>
      </w:r>
      <w:r>
        <w:t>cy of action potentials.</w:t>
      </w:r>
    </w:p>
    <w:p w:rsidR="005079F6" w:rsidRDefault="005079F6" w:rsidP="005079F6">
      <w:pPr>
        <w:pStyle w:val="BodyText"/>
        <w:ind w:right="522"/>
      </w:pPr>
      <w:r>
        <w:t xml:space="preserve">When </w:t>
      </w:r>
      <w:proofErr w:type="spellStart"/>
      <w:r>
        <w:t>stereocilia</w:t>
      </w:r>
      <w:proofErr w:type="spellEnd"/>
      <w:r>
        <w:t xml:space="preserve"> bend toward </w:t>
      </w:r>
      <w:proofErr w:type="spellStart"/>
      <w:r>
        <w:t>kinocilium</w:t>
      </w:r>
      <w:proofErr w:type="spellEnd"/>
      <w:r>
        <w:t xml:space="preserve">, potassium channels on </w:t>
      </w:r>
      <w:proofErr w:type="spellStart"/>
      <w:r>
        <w:t>stereocilia</w:t>
      </w:r>
      <w:proofErr w:type="spellEnd"/>
      <w:r>
        <w:t xml:space="preserve"> change their conformation and open, potassium concentration increases inside the hair cell as there is more potassium outside, and it depolarizes the hair cells, opening more voltage-gated calcium channel, which increases the neurotransmitter release and thus the frequency of the action potential </w:t>
      </w:r>
    </w:p>
    <w:p w:rsidR="005079F6" w:rsidRDefault="005079F6" w:rsidP="005079F6">
      <w:pPr>
        <w:pStyle w:val="BodyText"/>
        <w:ind w:right="522"/>
      </w:pPr>
    </w:p>
    <w:p w:rsidR="005079F6" w:rsidRDefault="005079F6" w:rsidP="005079F6">
      <w:pPr>
        <w:pStyle w:val="BodyText"/>
        <w:ind w:right="522"/>
      </w:pPr>
    </w:p>
    <w:p w:rsidR="005079F6" w:rsidRDefault="005079F6" w:rsidP="005079F6">
      <w:pPr>
        <w:pStyle w:val="BodyText"/>
        <w:spacing w:before="39"/>
        <w:ind w:left="0" w:right="2574"/>
      </w:pPr>
      <w:r>
        <w:t xml:space="preserve">How are sound waves transmitted from the air to a liquid medium? </w:t>
      </w:r>
    </w:p>
    <w:p w:rsidR="000011E7" w:rsidRDefault="000011E7" w:rsidP="005079F6">
      <w:pPr>
        <w:pStyle w:val="BodyText"/>
        <w:spacing w:before="39"/>
        <w:ind w:left="0" w:right="2574"/>
      </w:pPr>
      <w:r>
        <w:t xml:space="preserve">Pinna on outer ear acts as a funnel to collect more sound, then the sound is transferred to the middle ear from the auditory canal, and the middle ear bones increase the amplitude of vibrations from the tympanic membrane to the oval window of the inner ear, which cause a pressure wave in the perilymph of the vestibular duct. </w:t>
      </w:r>
    </w:p>
    <w:p w:rsidR="005079F6" w:rsidRDefault="005079F6" w:rsidP="005079F6">
      <w:pPr>
        <w:pStyle w:val="BodyText"/>
        <w:spacing w:before="39"/>
        <w:ind w:left="0" w:right="2574"/>
      </w:pPr>
    </w:p>
    <w:p w:rsidR="005079F6" w:rsidRDefault="005079F6" w:rsidP="005079F6">
      <w:pPr>
        <w:pStyle w:val="BodyText"/>
        <w:spacing w:before="39"/>
        <w:ind w:left="0" w:right="2574"/>
      </w:pPr>
    </w:p>
    <w:p w:rsidR="005079F6" w:rsidRDefault="005079F6" w:rsidP="005079F6">
      <w:pPr>
        <w:pStyle w:val="BodyText"/>
        <w:spacing w:before="39"/>
        <w:ind w:left="0" w:right="2574"/>
      </w:pPr>
      <w:r>
        <w:t>Describe the structure of the cochlea.</w:t>
      </w:r>
      <w:r>
        <w:br/>
      </w:r>
      <w:r w:rsidR="00015395">
        <w:t>The cochlea is comprised of:</w:t>
      </w:r>
    </w:p>
    <w:p w:rsidR="00015395" w:rsidRDefault="00015395" w:rsidP="005079F6">
      <w:pPr>
        <w:pStyle w:val="BodyText"/>
        <w:spacing w:before="39"/>
        <w:ind w:left="0" w:right="2574"/>
      </w:pPr>
      <w:r>
        <w:t>Vestibular duct, containing the perilymph, lies superior to the cochlear duct and abuts the oval window</w:t>
      </w:r>
    </w:p>
    <w:p w:rsidR="00015395" w:rsidRDefault="00015395" w:rsidP="005079F6">
      <w:pPr>
        <w:pStyle w:val="BodyText"/>
        <w:spacing w:before="39"/>
        <w:ind w:left="0" w:right="2574"/>
      </w:pPr>
      <w:r>
        <w:t xml:space="preserve">Tympanic duct, containing the perilymph, lies inferior to the cochlear duct and terminates at the round window </w:t>
      </w:r>
    </w:p>
    <w:p w:rsidR="00015395" w:rsidRDefault="00015395" w:rsidP="005079F6">
      <w:pPr>
        <w:pStyle w:val="BodyText"/>
        <w:spacing w:before="39"/>
        <w:ind w:left="0" w:right="2574"/>
      </w:pPr>
      <w:r>
        <w:t>Cochlear duct between the vestibular and tympanic duct and filled with endolymph</w:t>
      </w:r>
      <w:r w:rsidR="003F7106">
        <w:t xml:space="preserve">; </w:t>
      </w:r>
      <w:proofErr w:type="spellStart"/>
      <w:r w:rsidR="003F7106">
        <w:t>Stereocilia</w:t>
      </w:r>
      <w:proofErr w:type="spellEnd"/>
      <w:r w:rsidR="003F7106">
        <w:t xml:space="preserve"> and </w:t>
      </w:r>
      <w:proofErr w:type="spellStart"/>
      <w:r w:rsidR="003F7106">
        <w:t>kinocilium</w:t>
      </w:r>
      <w:proofErr w:type="spellEnd"/>
      <w:r w:rsidR="003F7106">
        <w:t xml:space="preserve"> of inner and outer hair cells are embedded in its tectorial membrane </w:t>
      </w:r>
    </w:p>
    <w:p w:rsidR="003F7106" w:rsidRDefault="003F7106" w:rsidP="005079F6">
      <w:pPr>
        <w:pStyle w:val="BodyText"/>
        <w:spacing w:before="39"/>
        <w:ind w:left="0" w:right="2574"/>
      </w:pPr>
      <w:r>
        <w:t xml:space="preserve">Organ of </w:t>
      </w:r>
      <w:proofErr w:type="spellStart"/>
      <w:r>
        <w:t>corti</w:t>
      </w:r>
      <w:proofErr w:type="spellEnd"/>
      <w:r>
        <w:t xml:space="preserve">, a cellular layer on the basilar membrane where basolateral part of outer hair cells are </w:t>
      </w:r>
    </w:p>
    <w:p w:rsidR="005079F6" w:rsidRDefault="005079F6" w:rsidP="005079F6">
      <w:pPr>
        <w:pStyle w:val="BodyText"/>
        <w:spacing w:before="39"/>
        <w:ind w:left="0" w:right="2574"/>
      </w:pPr>
    </w:p>
    <w:p w:rsidR="005079F6" w:rsidRDefault="005079F6" w:rsidP="005079F6">
      <w:pPr>
        <w:pStyle w:val="BodyText"/>
        <w:spacing w:before="39"/>
        <w:ind w:left="0" w:right="2574"/>
      </w:pPr>
    </w:p>
    <w:p w:rsidR="003F7106" w:rsidRDefault="003F7106" w:rsidP="005079F6">
      <w:pPr>
        <w:pStyle w:val="BodyText"/>
        <w:ind w:right="117"/>
      </w:pPr>
    </w:p>
    <w:p w:rsidR="003F7106" w:rsidRDefault="003F7106" w:rsidP="005079F6">
      <w:pPr>
        <w:pStyle w:val="BodyText"/>
        <w:ind w:right="117"/>
      </w:pPr>
    </w:p>
    <w:p w:rsidR="003F7106" w:rsidRDefault="003F7106" w:rsidP="005079F6">
      <w:pPr>
        <w:pStyle w:val="BodyText"/>
        <w:ind w:right="117"/>
      </w:pPr>
    </w:p>
    <w:p w:rsidR="003F7106" w:rsidRDefault="003F7106" w:rsidP="005079F6">
      <w:pPr>
        <w:pStyle w:val="BodyText"/>
        <w:ind w:right="117"/>
      </w:pPr>
    </w:p>
    <w:p w:rsidR="005079F6" w:rsidRDefault="005079F6" w:rsidP="005079F6">
      <w:pPr>
        <w:pStyle w:val="BodyText"/>
        <w:ind w:right="117"/>
      </w:pPr>
      <w:r>
        <w:t>Compare the perilymph vs. the endolymph.</w:t>
      </w:r>
    </w:p>
    <w:p w:rsidR="005079F6" w:rsidRDefault="005079F6" w:rsidP="005079F6">
      <w:pPr>
        <w:pStyle w:val="BodyText"/>
        <w:ind w:right="117"/>
      </w:pPr>
      <w:r>
        <w:t>The perilymph fills vestibular and tympanic ducts and is similar to extracellular fluids (high Na+ and low K+)</w:t>
      </w:r>
    </w:p>
    <w:p w:rsidR="005079F6" w:rsidRDefault="005079F6" w:rsidP="005079F6">
      <w:pPr>
        <w:pStyle w:val="BodyText"/>
        <w:ind w:right="117"/>
      </w:pPr>
      <w:r>
        <w:t>The endolymph fills the cochlear duct and is different from the extracellular fluid (high K+ and low Na+)</w:t>
      </w:r>
    </w:p>
    <w:p w:rsidR="005079F6" w:rsidRDefault="005079F6" w:rsidP="005079F6">
      <w:pPr>
        <w:pStyle w:val="BodyText"/>
        <w:ind w:right="117"/>
      </w:pPr>
    </w:p>
    <w:p w:rsidR="005079F6" w:rsidRDefault="005079F6" w:rsidP="005079F6">
      <w:pPr>
        <w:pStyle w:val="BodyText"/>
        <w:spacing w:before="9"/>
        <w:ind w:left="0"/>
      </w:pPr>
    </w:p>
    <w:p w:rsidR="005079F6" w:rsidRDefault="005079F6" w:rsidP="005079F6">
      <w:pPr>
        <w:pStyle w:val="BodyText"/>
        <w:ind w:right="244"/>
      </w:pPr>
      <w:r>
        <w:t>Describe how sound/pressure waves in the cochlea are transmitted into changes in action potentials.</w:t>
      </w:r>
    </w:p>
    <w:p w:rsidR="005079F6" w:rsidRDefault="005079F6" w:rsidP="005079F6">
      <w:pPr>
        <w:pStyle w:val="BodyText"/>
        <w:ind w:right="244"/>
      </w:pPr>
    </w:p>
    <w:p w:rsidR="005079F6" w:rsidRDefault="005079F6" w:rsidP="005079F6">
      <w:pPr>
        <w:pStyle w:val="BodyText"/>
        <w:ind w:right="244"/>
      </w:pPr>
      <w:r>
        <w:t xml:space="preserve">Sound waves vibrate tympanic membrane, the middle ear bones transmit the vibration to the oval window and that vibration induces pressure waves in the perilymph of vestibular duct, which induces </w:t>
      </w:r>
      <w:r w:rsidR="00015395">
        <w:t>a vibration of the basil</w:t>
      </w:r>
      <w:r>
        <w:t xml:space="preserve">ar membrane and as the </w:t>
      </w:r>
      <w:r w:rsidR="00015395">
        <w:t xml:space="preserve">basolateral part of the hair cells are on basilar membrane, the </w:t>
      </w:r>
      <w:proofErr w:type="spellStart"/>
      <w:r w:rsidR="00015395">
        <w:t>stereocilia</w:t>
      </w:r>
      <w:proofErr w:type="spellEnd"/>
      <w:r w:rsidR="00015395">
        <w:t xml:space="preserve"> of the inner hair cells bend and the bending cause depolarization and release of neurotransmitter (glutamate) which changes the action potential </w:t>
      </w:r>
    </w:p>
    <w:p w:rsidR="005079F6" w:rsidRDefault="005079F6" w:rsidP="005079F6">
      <w:pPr>
        <w:pStyle w:val="BodyText"/>
        <w:spacing w:before="1"/>
        <w:ind w:left="0"/>
      </w:pPr>
    </w:p>
    <w:p w:rsidR="005079F6" w:rsidRDefault="005079F6" w:rsidP="005079F6">
      <w:pPr>
        <w:pStyle w:val="BodyText"/>
        <w:ind w:right="117"/>
      </w:pPr>
      <w:r>
        <w:t>What is the role of the basilar membrane?</w:t>
      </w:r>
    </w:p>
    <w:p w:rsidR="005079F6" w:rsidRDefault="005079F6" w:rsidP="005079F6">
      <w:pPr>
        <w:pStyle w:val="BodyText"/>
        <w:ind w:right="522"/>
        <w:sectPr w:rsidR="005079F6">
          <w:footerReference w:type="default" r:id="rId6"/>
          <w:type w:val="continuous"/>
          <w:pgSz w:w="12240" w:h="15840"/>
          <w:pgMar w:top="1400" w:right="1340" w:bottom="960" w:left="1340" w:header="720" w:footer="765" w:gutter="0"/>
          <w:pgNumType w:start="1"/>
          <w:cols w:space="720"/>
        </w:sectPr>
      </w:pPr>
      <w:r>
        <w:t>The basilar membrane detects frequency of sound. It is stiff and narrow at the proximal end (which vibrates to high frequency sounds) and flexible and wide at the distal end (which vibrates to low frequency sound).</w:t>
      </w:r>
    </w:p>
    <w:p w:rsidR="006434F6" w:rsidRDefault="006434F6" w:rsidP="005079F6">
      <w:pPr>
        <w:pStyle w:val="BodyText"/>
        <w:spacing w:before="39"/>
        <w:ind w:left="0" w:right="2574"/>
      </w:pPr>
      <w:bookmarkStart w:id="0" w:name="_GoBack"/>
      <w:bookmarkEnd w:id="0"/>
    </w:p>
    <w:sectPr w:rsidR="006434F6">
      <w:pgSz w:w="12240" w:h="15840"/>
      <w:pgMar w:top="1400" w:right="1340" w:bottom="960" w:left="1340" w:header="0" w:footer="7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816" w:rsidRDefault="00B65816">
      <w:r>
        <w:separator/>
      </w:r>
    </w:p>
  </w:endnote>
  <w:endnote w:type="continuationSeparator" w:id="0">
    <w:p w:rsidR="00B65816" w:rsidRDefault="00B6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4F6" w:rsidRDefault="00B65816">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position:absolute;margin-left:531.3pt;margin-top:742.75pt;width:10.65pt;height:14pt;z-index:-251658752;mso-position-horizontal-relative:page;mso-position-vertical-relative:page" filled="f" stroked="f">
          <v:textbox inset="0,0,0,0">
            <w:txbxContent>
              <w:p w:rsidR="006434F6" w:rsidRDefault="00B65816">
                <w:pPr>
                  <w:pStyle w:val="BodyText"/>
                  <w:spacing w:line="268" w:lineRule="exact"/>
                  <w:ind w:left="40"/>
                </w:pPr>
                <w:r>
                  <w:fldChar w:fldCharType="begin"/>
                </w:r>
                <w:r>
                  <w:instrText xml:space="preserve"> PAGE </w:instrText>
                </w:r>
                <w:r>
                  <w:fldChar w:fldCharType="separate"/>
                </w:r>
                <w:r w:rsidR="000011E7">
                  <w:rPr>
                    <w:noProof/>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816" w:rsidRDefault="00B65816">
      <w:r>
        <w:separator/>
      </w:r>
    </w:p>
  </w:footnote>
  <w:footnote w:type="continuationSeparator" w:id="0">
    <w:p w:rsidR="00B65816" w:rsidRDefault="00B65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6434F6"/>
    <w:rsid w:val="000011E7"/>
    <w:rsid w:val="00015395"/>
    <w:rsid w:val="003F7106"/>
    <w:rsid w:val="005079F6"/>
    <w:rsid w:val="006434F6"/>
    <w:rsid w:val="008004D6"/>
    <w:rsid w:val="00B65816"/>
    <w:rsid w:val="00DE3811"/>
    <w:rsid w:val="00E650B3"/>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146D0BD8-C4A1-4AA0-AD4B-2A5C8177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567" w:right="567"/>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Concordia University Libraries</Company>
  <LinksUpToDate>false</LinksUpToDate>
  <CharactersWithSpaces>6894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Thierry Fotsing Tadjo</cp:lastModifiedBy>
  <cp:revision>2</cp:revision>
  <dcterms:created xsi:type="dcterms:W3CDTF">2016-02-11T18:52:00Z</dcterms:created>
  <dcterms:modified xsi:type="dcterms:W3CDTF">2016-02-11T19:28:00Z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2016-02-11T00:00:00Z</vt:filetime>
  </property>
</Properties>
</file>