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DDE" w:rsidRDefault="00C922FB">
      <w:r>
        <w:t>X`</w:t>
      </w:r>
    </w:p>
    <w:p w:rsidR="00895511" w:rsidRDefault="00895511" w:rsidP="00895511">
      <w:pPr>
        <w:jc w:val="center"/>
      </w:pPr>
    </w:p>
    <w:p w:rsidR="00895511" w:rsidRDefault="00895511" w:rsidP="00895511">
      <w:pPr>
        <w:jc w:val="center"/>
      </w:pPr>
    </w:p>
    <w:p w:rsidR="00895511" w:rsidRDefault="00895511" w:rsidP="00895511">
      <w:pPr>
        <w:jc w:val="center"/>
      </w:pPr>
    </w:p>
    <w:p w:rsidR="00895511" w:rsidRDefault="00895511" w:rsidP="00895511">
      <w:pPr>
        <w:jc w:val="center"/>
      </w:pPr>
    </w:p>
    <w:p w:rsidR="00895511" w:rsidRDefault="00895511" w:rsidP="00895511">
      <w:pPr>
        <w:jc w:val="center"/>
      </w:pPr>
    </w:p>
    <w:p w:rsidR="00895511" w:rsidRDefault="00895511" w:rsidP="00895511">
      <w:pPr>
        <w:jc w:val="center"/>
      </w:pPr>
    </w:p>
    <w:p w:rsidR="00895511" w:rsidRDefault="00895511" w:rsidP="00895511">
      <w:pPr>
        <w:jc w:val="center"/>
      </w:pPr>
      <w:r>
        <w:t>HW4 General Mills Valuation</w:t>
      </w:r>
    </w:p>
    <w:p w:rsidR="00895511" w:rsidRDefault="00895511" w:rsidP="00895511">
      <w:pPr>
        <w:jc w:val="center"/>
      </w:pPr>
      <w:r>
        <w:t>Name: Cedric Kim</w:t>
      </w:r>
    </w:p>
    <w:p w:rsidR="00895511" w:rsidRDefault="00895511" w:rsidP="00895511">
      <w:pPr>
        <w:jc w:val="center"/>
      </w:pPr>
      <w:r>
        <w:t>Course: RSM429</w:t>
      </w:r>
    </w:p>
    <w:p w:rsidR="00895511" w:rsidRDefault="00895511" w:rsidP="00895511">
      <w:pPr>
        <w:jc w:val="center"/>
      </w:pPr>
      <w:r>
        <w:t xml:space="preserve">Instructor: Matthew </w:t>
      </w:r>
      <w:proofErr w:type="spellStart"/>
      <w:r>
        <w:t>Bamber</w:t>
      </w:r>
      <w:proofErr w:type="spellEnd"/>
    </w:p>
    <w:p w:rsidR="00895511" w:rsidRDefault="00895511" w:rsidP="00895511">
      <w:pPr>
        <w:jc w:val="center"/>
      </w:pPr>
      <w:r>
        <w:t>Date: November 2, 2016</w:t>
      </w:r>
    </w:p>
    <w:p w:rsidR="00A210FA" w:rsidRDefault="00A210FA" w:rsidP="00895511">
      <w:pPr>
        <w:jc w:val="center"/>
      </w:pPr>
      <w:r>
        <w:t>Word Count: 1934</w:t>
      </w:r>
    </w:p>
    <w:p w:rsidR="00895511" w:rsidRDefault="00895511" w:rsidP="00895511">
      <w:pPr>
        <w:jc w:val="center"/>
      </w:pPr>
    </w:p>
    <w:p w:rsidR="00895511" w:rsidRDefault="00895511" w:rsidP="00895511">
      <w:pPr>
        <w:jc w:val="center"/>
      </w:pPr>
    </w:p>
    <w:p w:rsidR="00895511" w:rsidRDefault="00895511" w:rsidP="00895511">
      <w:pPr>
        <w:jc w:val="center"/>
      </w:pPr>
    </w:p>
    <w:p w:rsidR="00895511" w:rsidRDefault="00895511" w:rsidP="00895511">
      <w:pPr>
        <w:jc w:val="center"/>
      </w:pPr>
    </w:p>
    <w:p w:rsidR="00895511" w:rsidRDefault="00895511" w:rsidP="00895511">
      <w:pPr>
        <w:jc w:val="center"/>
      </w:pPr>
    </w:p>
    <w:p w:rsidR="00895511" w:rsidRDefault="00895511" w:rsidP="00895511">
      <w:pPr>
        <w:jc w:val="center"/>
      </w:pPr>
    </w:p>
    <w:p w:rsidR="00895511" w:rsidRDefault="00895511" w:rsidP="00895511">
      <w:pPr>
        <w:jc w:val="center"/>
      </w:pPr>
    </w:p>
    <w:p w:rsidR="00895511" w:rsidRDefault="00895511" w:rsidP="00895511">
      <w:pPr>
        <w:jc w:val="center"/>
      </w:pPr>
    </w:p>
    <w:p w:rsidR="00A06403" w:rsidRDefault="00A06403">
      <w:bookmarkStart w:id="0" w:name="_GoBack"/>
      <w:bookmarkEnd w:id="0"/>
    </w:p>
    <w:p w:rsidR="00A06403" w:rsidRDefault="00575311">
      <w:r>
        <w:t xml:space="preserve">General Mills is a global consumer foods company with numerous products including snacks, frozen meals, yogurt &amp; dairy and beverages. This report will examine and forecast its core business drivers to </w:t>
      </w:r>
      <w:r w:rsidR="00462BA4">
        <w:t xml:space="preserve">value the firms using abnormal earnings and discounted earnings method. </w:t>
      </w:r>
    </w:p>
    <w:p w:rsidR="00462BA4" w:rsidRDefault="00B66C92">
      <w:r>
        <w:t xml:space="preserve">Sales &amp; Growth </w:t>
      </w:r>
      <w:r w:rsidR="00045035">
        <w:t>Value</w:t>
      </w:r>
      <w:r>
        <w:t xml:space="preserve"> (Exhibit 1.)</w:t>
      </w:r>
    </w:p>
    <w:p w:rsidR="00462BA4" w:rsidRDefault="00462BA4">
      <w:r>
        <w:t>A significant challenge lies in its Sales &amp; Growth. Primarily driven by changing consumer demand and a highly competitive environment, General Mills has seen its revenues decline by 9</w:t>
      </w:r>
      <w:r w:rsidR="00A033E3">
        <w:t>, 3</w:t>
      </w:r>
      <w:r>
        <w:t xml:space="preserve">, and 11% respectively in the past 3 years. Revenues are driven by its core product segments- Meals, Snacks and Cereal. </w:t>
      </w:r>
    </w:p>
    <w:p w:rsidR="00462BA4" w:rsidRDefault="00462BA4">
      <w:r>
        <w:t>In the</w:t>
      </w:r>
      <w:r w:rsidR="0070708A">
        <w:t xml:space="preserve"> base scenario, we forecast an overall growth of 1.57% in the first 3 years with a decline to 1.12% and 1% thereafter. While there are material headwinds in changing consumer demand (away from meals &amp; snacks- sugary/high calorie/fat to healthier, natural &amp; organic options), this reversal back to growth is driven by various factors including the EPIC acquisition, (natural &amp; organic processed foods) recent R&amp;D efforts and growth in GM’s Yogurt &amp; dairy segment. We forecast Meals &amp; Snacks to continue to nominally fall due to </w:t>
      </w:r>
      <w:r w:rsidR="00A033E3">
        <w:t>consumer substitution while GM’s impressive Cereal product line (</w:t>
      </w:r>
      <w:r w:rsidR="00600297">
        <w:t>Cheerios</w:t>
      </w:r>
      <w:r w:rsidR="00A033E3">
        <w:t xml:space="preserve">, Lucky Charms, Cinnamon Toast Crunch) will continue to attract consumers. </w:t>
      </w:r>
    </w:p>
    <w:p w:rsidR="00A033E3" w:rsidRDefault="00A033E3">
      <w:r>
        <w:t xml:space="preserve">Optimistic Scenario builds on the base case forecasts while assuming further sales drivers from emerging markets in Asia &amp; Latin America. Overall, Optimistic Scenario forecasts an increase in 4.33% per year and 3.24% thereafter. In this case, we forecast favorable reception in China &amp; Brail to established cereal and food brands. In addition, this case also assumes consumer shift in attitude away from GM’s sugary high calorie cash cow snack brands will be delayed and limited. </w:t>
      </w:r>
    </w:p>
    <w:p w:rsidR="00A033E3" w:rsidRDefault="00A033E3">
      <w:r>
        <w:t xml:space="preserve">In the Pessimistic </w:t>
      </w:r>
      <w:r w:rsidR="00600297">
        <w:t xml:space="preserve">Sales case, not only will consumers taste diverge away from our products but convenience store sales will be greatly affected by numerous external influences. These adverse factors include online grocery services (amazon groceries, Walmart deliveries, various small delivery services) and increased store presence in rural areas. In this case, consumers receive greater utility through online orders and the “convenience” of convenience stores fall out of favor. Finally, this case forecasts relatively flat cereal sales at -0.3%- -1% decreases. </w:t>
      </w:r>
    </w:p>
    <w:p w:rsidR="00600297" w:rsidRDefault="003D6F08">
      <w:r>
        <w:t>Operating Expenses</w:t>
      </w:r>
      <w:r w:rsidR="00F825BC">
        <w:t xml:space="preserve"> (Exhibit 9.)</w:t>
      </w:r>
    </w:p>
    <w:p w:rsidR="003D6F08" w:rsidRDefault="003D6F08">
      <w:r>
        <w:t>In the cases forecasted, operating expenses addresses various dimensions of its GM’s</w:t>
      </w:r>
      <w:r w:rsidR="00126F99">
        <w:t xml:space="preserve"> cost structure. These include sales &amp; m</w:t>
      </w:r>
      <w:r>
        <w:t xml:space="preserve">arketing costs, possibility of rising labour costs and the effectiveness of GM’s productivity programs. </w:t>
      </w:r>
    </w:p>
    <w:p w:rsidR="003D6F08" w:rsidRDefault="003D6F08">
      <w:r>
        <w:t xml:space="preserve">In the base </w:t>
      </w:r>
      <w:r w:rsidR="00DB787B">
        <w:t>scenario</w:t>
      </w:r>
      <w:r>
        <w:t xml:space="preserve">, </w:t>
      </w:r>
      <w:r w:rsidR="00DB787B">
        <w:t xml:space="preserve">Project Century and Project HMM (Holistic Margin Management) will provide modest supply chain efficiencies thereby improving cost of sales by under 1%. We believe GM’s current track record of 2 successful years in cost improvement programs is indicative of competence in providing additional future cost opportunities. Furthermore, this scenario forecasts marginal benefits from project catalyst- a sales &amp; marketing cost cutting program implemented the previous year. Finally, this case projects various divestitures, acquisitions and </w:t>
      </w:r>
      <w:r w:rsidR="00DB787B">
        <w:lastRenderedPageBreak/>
        <w:t xml:space="preserve">impairment charges using historical experience and spread uniformly </w:t>
      </w:r>
      <w:r w:rsidR="005E6BFF">
        <w:t xml:space="preserve">at $50 in annual expenditures. Overall these efforts forecasted projects a decline in 1.5% in Operating expenses over an 8 year period. </w:t>
      </w:r>
    </w:p>
    <w:p w:rsidR="005E6BFF" w:rsidRDefault="00F96CAF">
      <w:r>
        <w:t>In the</w:t>
      </w:r>
      <w:r w:rsidR="00006AA7">
        <w:t xml:space="preserve"> Optimistic scenario, favorable terms of the base case is repeated with additional 1% savings in each program. In addition, productivity gains and savings in overhead are effective in longer duration. In addition, Project Compass is forecasted to enhance international supply chain management &amp; overhead costs. As a consequence, gross margins and operating margins are higher in China, Brazil and India segments. In short, the optimistic case adds 1.5% incremental savings to the base case from a variety of outlined forecasts</w:t>
      </w:r>
      <w:r w:rsidR="002D3773">
        <w:t>, leading to an overall cost savings of 3.2% over a 10 year period.</w:t>
      </w:r>
      <w:r w:rsidR="00006AA7">
        <w:t xml:space="preserve"> </w:t>
      </w:r>
    </w:p>
    <w:p w:rsidR="002D3773" w:rsidRDefault="00006AA7">
      <w:r>
        <w:t>In the Pess</w:t>
      </w:r>
      <w:r w:rsidR="002D3773">
        <w:t>imistic Scenario, Project Catalyst not only is less effective and delayed, but is forecasted to cause additional one time investment to initiate the project. In addition, Project Compass and HMM fail to materialize in cost savings. These inefficiencies translate to a forecasted 1% increase in Sales &amp; Marketing costs. In addition, rising labour costs are forecasted and cause 1.2% additional corrosion in Cost of Sales. In totality, these movements effectively increase operating costs by 2% over the base scenario.</w:t>
      </w:r>
    </w:p>
    <w:p w:rsidR="003D6F08" w:rsidRDefault="003D6F08">
      <w:r>
        <w:t>Tax &amp; Interest Rates</w:t>
      </w:r>
    </w:p>
    <w:p w:rsidR="00045035" w:rsidRDefault="00045035">
      <w:r>
        <w:t xml:space="preserve">Tax and Interest Rates remain </w:t>
      </w:r>
      <w:r w:rsidR="004358A6">
        <w:t xml:space="preserve">largely </w:t>
      </w:r>
      <w:r>
        <w:t xml:space="preserve">constant throughout </w:t>
      </w:r>
      <w:r w:rsidR="004358A6">
        <w:t>the scenarios forecasted- at 33% and running 3 year averages respectively</w:t>
      </w:r>
      <w:r w:rsidR="009744A5">
        <w:t>- based on historical effective rates</w:t>
      </w:r>
      <w:r w:rsidR="004358A6">
        <w:t>. However, in the pessimistic case, we forecast changes in policies increasing tax rates by an additional 2%.</w:t>
      </w:r>
      <w:r w:rsidR="009744A5">
        <w:t xml:space="preserve"> </w:t>
      </w:r>
      <w:r w:rsidR="004358A6">
        <w:t xml:space="preserve"> </w:t>
      </w:r>
    </w:p>
    <w:p w:rsidR="003D6F08" w:rsidRDefault="003D6F08">
      <w:r>
        <w:t>Cost of Equity</w:t>
      </w:r>
    </w:p>
    <w:p w:rsidR="004911FB" w:rsidRDefault="009744A5">
      <w:r>
        <w:t xml:space="preserve">The primary model used to derive cost of equity was the Capital Asset Pricing Model along with data extracted from respected third party sources. The risk free rate was sourced from the current 10 year </w:t>
      </w:r>
      <w:r w:rsidR="004911FB">
        <w:t>Treasury bill. It is evident that these securities represent a riskless investment (backed by the US government) while the term of the bill is pertinent to the valuation period (around 13-15 year). The Market Premium was found by the difference in this bill and SP500’s return in the past 3 years. Finally the consumer food industry Beta was taken from New York University Stern Finance Data</w:t>
      </w:r>
      <w:r w:rsidR="00053697">
        <w:t xml:space="preserve"> (appendix)</w:t>
      </w:r>
      <w:r w:rsidR="004911FB">
        <w:t xml:space="preserve">. </w:t>
      </w:r>
      <w:r w:rsidR="002D711C">
        <w:t>The consumer foods beta at 0.73 is in alignment and justified with the products and business model of this industry. While there are relatively inelastic products such as staple foods, (bread, rice, cereal &amp; baking products) other products such as snacks, candy and processed foods are swayed by market forces and ever-changing consumer behavior. This</w:t>
      </w:r>
      <w:r w:rsidR="00A21C74">
        <w:t xml:space="preserve"> methodology provides a cost of equity of 6.8%. This is a sensible in comparison to its competitors (Heinz, Kraft, </w:t>
      </w:r>
      <w:r w:rsidR="002D711C">
        <w:t>and Nestle</w:t>
      </w:r>
      <w:r w:rsidR="00A21C74">
        <w:t>) as well as the industry as a</w:t>
      </w:r>
      <w:r w:rsidR="002D711C">
        <w:t xml:space="preserve"> w</w:t>
      </w:r>
      <w:r w:rsidR="00267C35">
        <w:t>hole</w:t>
      </w:r>
      <w:r w:rsidR="002D711C">
        <w:t xml:space="preserve">. </w:t>
      </w:r>
    </w:p>
    <w:tbl>
      <w:tblPr>
        <w:tblW w:w="2332" w:type="dxa"/>
        <w:tblLook w:val="04A0" w:firstRow="1" w:lastRow="0" w:firstColumn="1" w:lastColumn="0" w:noHBand="0" w:noVBand="1"/>
      </w:tblPr>
      <w:tblGrid>
        <w:gridCol w:w="1356"/>
        <w:gridCol w:w="976"/>
      </w:tblGrid>
      <w:tr w:rsidR="00A62475" w:rsidRPr="00A62475" w:rsidTr="00A62475">
        <w:trPr>
          <w:trHeight w:val="300"/>
        </w:trPr>
        <w:tc>
          <w:tcPr>
            <w:tcW w:w="1356" w:type="dxa"/>
            <w:tcBorders>
              <w:top w:val="nil"/>
              <w:left w:val="nil"/>
              <w:bottom w:val="nil"/>
              <w:right w:val="nil"/>
            </w:tcBorders>
            <w:shd w:val="clear" w:color="auto" w:fill="auto"/>
            <w:noWrap/>
            <w:vAlign w:val="bottom"/>
            <w:hideMark/>
          </w:tcPr>
          <w:p w:rsidR="00A62475" w:rsidRPr="00A62475" w:rsidRDefault="00A62475" w:rsidP="00A62475">
            <w:pPr>
              <w:spacing w:after="0" w:line="240" w:lineRule="auto"/>
              <w:rPr>
                <w:rFonts w:ascii="Calibri" w:eastAsia="Times New Roman" w:hAnsi="Calibri" w:cs="Calibri"/>
                <w:b/>
                <w:bCs/>
                <w:color w:val="000000"/>
              </w:rPr>
            </w:pPr>
            <w:r w:rsidRPr="00A62475">
              <w:rPr>
                <w:rFonts w:ascii="Calibri" w:eastAsia="Times New Roman" w:hAnsi="Calibri" w:cs="Calibri"/>
                <w:b/>
                <w:bCs/>
                <w:color w:val="000000"/>
              </w:rPr>
              <w:t>Company</w:t>
            </w:r>
          </w:p>
        </w:tc>
        <w:tc>
          <w:tcPr>
            <w:tcW w:w="976" w:type="dxa"/>
            <w:tcBorders>
              <w:top w:val="nil"/>
              <w:left w:val="nil"/>
              <w:bottom w:val="nil"/>
              <w:right w:val="nil"/>
            </w:tcBorders>
            <w:shd w:val="clear" w:color="auto" w:fill="auto"/>
            <w:noWrap/>
            <w:vAlign w:val="bottom"/>
            <w:hideMark/>
          </w:tcPr>
          <w:p w:rsidR="00A62475" w:rsidRPr="00A62475" w:rsidRDefault="00A62475" w:rsidP="00267C35">
            <w:pPr>
              <w:spacing w:after="0" w:line="240" w:lineRule="auto"/>
              <w:jc w:val="center"/>
              <w:rPr>
                <w:rFonts w:ascii="Calibri" w:eastAsia="Times New Roman" w:hAnsi="Calibri" w:cs="Calibri"/>
                <w:b/>
                <w:bCs/>
                <w:color w:val="000000"/>
              </w:rPr>
            </w:pPr>
            <w:proofErr w:type="spellStart"/>
            <w:r w:rsidRPr="00A62475">
              <w:rPr>
                <w:rFonts w:ascii="Calibri" w:eastAsia="Times New Roman" w:hAnsi="Calibri" w:cs="Calibri"/>
                <w:b/>
                <w:bCs/>
                <w:color w:val="000000"/>
              </w:rPr>
              <w:t>Ke</w:t>
            </w:r>
            <w:proofErr w:type="spellEnd"/>
          </w:p>
        </w:tc>
      </w:tr>
      <w:tr w:rsidR="00A62475" w:rsidRPr="00A62475" w:rsidTr="00A62475">
        <w:trPr>
          <w:trHeight w:val="300"/>
        </w:trPr>
        <w:tc>
          <w:tcPr>
            <w:tcW w:w="1356" w:type="dxa"/>
            <w:tcBorders>
              <w:top w:val="nil"/>
              <w:left w:val="nil"/>
              <w:bottom w:val="nil"/>
              <w:right w:val="nil"/>
            </w:tcBorders>
            <w:shd w:val="clear" w:color="auto" w:fill="auto"/>
            <w:noWrap/>
            <w:vAlign w:val="bottom"/>
            <w:hideMark/>
          </w:tcPr>
          <w:p w:rsidR="00A62475" w:rsidRPr="00A62475" w:rsidRDefault="00A62475" w:rsidP="00A62475">
            <w:pPr>
              <w:spacing w:after="0" w:line="240" w:lineRule="auto"/>
              <w:rPr>
                <w:rFonts w:ascii="Calibri" w:eastAsia="Times New Roman" w:hAnsi="Calibri" w:cs="Calibri"/>
                <w:color w:val="000000"/>
              </w:rPr>
            </w:pPr>
            <w:r w:rsidRPr="00A62475">
              <w:rPr>
                <w:rFonts w:ascii="Calibri" w:eastAsia="Times New Roman" w:hAnsi="Calibri" w:cs="Calibri"/>
                <w:color w:val="000000"/>
              </w:rPr>
              <w:t xml:space="preserve">Kraft </w:t>
            </w:r>
          </w:p>
        </w:tc>
        <w:tc>
          <w:tcPr>
            <w:tcW w:w="976" w:type="dxa"/>
            <w:tcBorders>
              <w:top w:val="nil"/>
              <w:left w:val="nil"/>
              <w:bottom w:val="nil"/>
              <w:right w:val="nil"/>
            </w:tcBorders>
            <w:shd w:val="clear" w:color="auto" w:fill="auto"/>
            <w:noWrap/>
            <w:vAlign w:val="bottom"/>
            <w:hideMark/>
          </w:tcPr>
          <w:p w:rsidR="00A62475" w:rsidRPr="00A62475" w:rsidRDefault="00A62475" w:rsidP="00A62475">
            <w:pPr>
              <w:spacing w:after="0" w:line="240" w:lineRule="auto"/>
              <w:jc w:val="right"/>
              <w:rPr>
                <w:rFonts w:ascii="Calibri" w:eastAsia="Times New Roman" w:hAnsi="Calibri" w:cs="Calibri"/>
                <w:color w:val="000000"/>
              </w:rPr>
            </w:pPr>
            <w:r w:rsidRPr="00A62475">
              <w:rPr>
                <w:rFonts w:ascii="Calibri" w:eastAsia="Times New Roman" w:hAnsi="Calibri" w:cs="Calibri"/>
                <w:color w:val="000000"/>
              </w:rPr>
              <w:t>6.20%</w:t>
            </w:r>
          </w:p>
        </w:tc>
      </w:tr>
      <w:tr w:rsidR="00A62475" w:rsidRPr="00A62475" w:rsidTr="00A62475">
        <w:trPr>
          <w:trHeight w:val="300"/>
        </w:trPr>
        <w:tc>
          <w:tcPr>
            <w:tcW w:w="1356" w:type="dxa"/>
            <w:tcBorders>
              <w:top w:val="nil"/>
              <w:left w:val="nil"/>
              <w:bottom w:val="nil"/>
              <w:right w:val="nil"/>
            </w:tcBorders>
            <w:shd w:val="clear" w:color="auto" w:fill="auto"/>
            <w:noWrap/>
            <w:vAlign w:val="bottom"/>
            <w:hideMark/>
          </w:tcPr>
          <w:p w:rsidR="00A62475" w:rsidRPr="00A62475" w:rsidRDefault="00A62475" w:rsidP="00A62475">
            <w:pPr>
              <w:spacing w:after="0" w:line="240" w:lineRule="auto"/>
              <w:rPr>
                <w:rFonts w:ascii="Calibri" w:eastAsia="Times New Roman" w:hAnsi="Calibri" w:cs="Calibri"/>
                <w:color w:val="000000"/>
              </w:rPr>
            </w:pPr>
            <w:r w:rsidRPr="00A62475">
              <w:rPr>
                <w:rFonts w:ascii="Calibri" w:eastAsia="Times New Roman" w:hAnsi="Calibri" w:cs="Calibri"/>
                <w:color w:val="000000"/>
              </w:rPr>
              <w:t>Heinz</w:t>
            </w:r>
          </w:p>
        </w:tc>
        <w:tc>
          <w:tcPr>
            <w:tcW w:w="976" w:type="dxa"/>
            <w:tcBorders>
              <w:top w:val="nil"/>
              <w:left w:val="nil"/>
              <w:bottom w:val="nil"/>
              <w:right w:val="nil"/>
            </w:tcBorders>
            <w:shd w:val="clear" w:color="auto" w:fill="auto"/>
            <w:noWrap/>
            <w:vAlign w:val="bottom"/>
            <w:hideMark/>
          </w:tcPr>
          <w:p w:rsidR="00A62475" w:rsidRPr="00A62475" w:rsidRDefault="00A62475" w:rsidP="00A62475">
            <w:pPr>
              <w:spacing w:after="0" w:line="240" w:lineRule="auto"/>
              <w:jc w:val="right"/>
              <w:rPr>
                <w:rFonts w:ascii="Calibri" w:eastAsia="Times New Roman" w:hAnsi="Calibri" w:cs="Calibri"/>
                <w:color w:val="000000"/>
              </w:rPr>
            </w:pPr>
            <w:r w:rsidRPr="00A62475">
              <w:rPr>
                <w:rFonts w:ascii="Calibri" w:eastAsia="Times New Roman" w:hAnsi="Calibri" w:cs="Calibri"/>
                <w:color w:val="000000"/>
              </w:rPr>
              <w:t>7.70%</w:t>
            </w:r>
          </w:p>
        </w:tc>
      </w:tr>
      <w:tr w:rsidR="00A62475" w:rsidRPr="00A62475" w:rsidTr="00A62475">
        <w:trPr>
          <w:trHeight w:val="300"/>
        </w:trPr>
        <w:tc>
          <w:tcPr>
            <w:tcW w:w="1356" w:type="dxa"/>
            <w:tcBorders>
              <w:top w:val="nil"/>
              <w:left w:val="nil"/>
              <w:bottom w:val="nil"/>
              <w:right w:val="nil"/>
            </w:tcBorders>
            <w:shd w:val="clear" w:color="auto" w:fill="auto"/>
            <w:noWrap/>
            <w:vAlign w:val="bottom"/>
            <w:hideMark/>
          </w:tcPr>
          <w:p w:rsidR="00A62475" w:rsidRPr="00A62475" w:rsidRDefault="00A62475" w:rsidP="00A62475">
            <w:pPr>
              <w:spacing w:after="0" w:line="240" w:lineRule="auto"/>
              <w:rPr>
                <w:rFonts w:ascii="Calibri" w:eastAsia="Times New Roman" w:hAnsi="Calibri" w:cs="Calibri"/>
                <w:color w:val="000000"/>
              </w:rPr>
            </w:pPr>
            <w:r w:rsidRPr="00A62475">
              <w:rPr>
                <w:rFonts w:ascii="Calibri" w:eastAsia="Times New Roman" w:hAnsi="Calibri" w:cs="Calibri"/>
                <w:color w:val="000000"/>
              </w:rPr>
              <w:t>Nestle</w:t>
            </w:r>
          </w:p>
        </w:tc>
        <w:tc>
          <w:tcPr>
            <w:tcW w:w="976" w:type="dxa"/>
            <w:tcBorders>
              <w:top w:val="nil"/>
              <w:left w:val="nil"/>
              <w:bottom w:val="nil"/>
              <w:right w:val="nil"/>
            </w:tcBorders>
            <w:shd w:val="clear" w:color="auto" w:fill="auto"/>
            <w:noWrap/>
            <w:vAlign w:val="bottom"/>
            <w:hideMark/>
          </w:tcPr>
          <w:p w:rsidR="00A62475" w:rsidRPr="00A62475" w:rsidRDefault="00A62475" w:rsidP="00A62475">
            <w:pPr>
              <w:spacing w:after="0" w:line="240" w:lineRule="auto"/>
              <w:jc w:val="right"/>
              <w:rPr>
                <w:rFonts w:ascii="Calibri" w:eastAsia="Times New Roman" w:hAnsi="Calibri" w:cs="Calibri"/>
                <w:color w:val="000000"/>
              </w:rPr>
            </w:pPr>
            <w:r w:rsidRPr="00A62475">
              <w:rPr>
                <w:rFonts w:ascii="Calibri" w:eastAsia="Times New Roman" w:hAnsi="Calibri" w:cs="Calibri"/>
                <w:color w:val="000000"/>
              </w:rPr>
              <w:t>5.95%</w:t>
            </w:r>
          </w:p>
        </w:tc>
      </w:tr>
      <w:tr w:rsidR="00A62475" w:rsidRPr="00A62475" w:rsidTr="00A62475">
        <w:trPr>
          <w:trHeight w:val="300"/>
        </w:trPr>
        <w:tc>
          <w:tcPr>
            <w:tcW w:w="1356" w:type="dxa"/>
            <w:tcBorders>
              <w:top w:val="nil"/>
              <w:left w:val="nil"/>
              <w:bottom w:val="nil"/>
              <w:right w:val="nil"/>
            </w:tcBorders>
            <w:shd w:val="clear" w:color="auto" w:fill="auto"/>
            <w:noWrap/>
            <w:vAlign w:val="bottom"/>
            <w:hideMark/>
          </w:tcPr>
          <w:p w:rsidR="00A62475" w:rsidRPr="00A62475" w:rsidRDefault="00A62475" w:rsidP="00A62475">
            <w:pPr>
              <w:spacing w:after="0" w:line="240" w:lineRule="auto"/>
              <w:rPr>
                <w:rFonts w:ascii="Calibri" w:eastAsia="Times New Roman" w:hAnsi="Calibri" w:cs="Calibri"/>
                <w:color w:val="000000"/>
              </w:rPr>
            </w:pPr>
            <w:r w:rsidRPr="00A62475">
              <w:rPr>
                <w:rFonts w:ascii="Calibri" w:eastAsia="Times New Roman" w:hAnsi="Calibri" w:cs="Calibri"/>
                <w:color w:val="000000"/>
              </w:rPr>
              <w:lastRenderedPageBreak/>
              <w:t>General Mills</w:t>
            </w:r>
          </w:p>
        </w:tc>
        <w:tc>
          <w:tcPr>
            <w:tcW w:w="976" w:type="dxa"/>
            <w:tcBorders>
              <w:top w:val="nil"/>
              <w:left w:val="nil"/>
              <w:bottom w:val="nil"/>
              <w:right w:val="nil"/>
            </w:tcBorders>
            <w:shd w:val="clear" w:color="auto" w:fill="auto"/>
            <w:noWrap/>
            <w:vAlign w:val="bottom"/>
            <w:hideMark/>
          </w:tcPr>
          <w:p w:rsidR="00A62475" w:rsidRPr="00A62475" w:rsidRDefault="00A62475" w:rsidP="00A62475">
            <w:pPr>
              <w:spacing w:after="0" w:line="240" w:lineRule="auto"/>
              <w:jc w:val="right"/>
              <w:rPr>
                <w:rFonts w:ascii="Calibri" w:eastAsia="Times New Roman" w:hAnsi="Calibri" w:cs="Calibri"/>
                <w:color w:val="000000"/>
              </w:rPr>
            </w:pPr>
            <w:r w:rsidRPr="00A62475">
              <w:rPr>
                <w:rFonts w:ascii="Calibri" w:eastAsia="Times New Roman" w:hAnsi="Calibri" w:cs="Calibri"/>
                <w:color w:val="000000"/>
              </w:rPr>
              <w:t>6.80%</w:t>
            </w:r>
          </w:p>
        </w:tc>
      </w:tr>
    </w:tbl>
    <w:p w:rsidR="00A62475" w:rsidRDefault="00A62475"/>
    <w:p w:rsidR="003D6F08" w:rsidRDefault="003D6F08">
      <w:r>
        <w:t xml:space="preserve">Abnormal Model </w:t>
      </w:r>
    </w:p>
    <w:p w:rsidR="002D711C" w:rsidRDefault="003A034D">
      <w:r>
        <w:t xml:space="preserve">Based on the outlined forecasts and derivation of cost of equity, the base Abnormal Earnings model values </w:t>
      </w:r>
      <w:r w:rsidR="00B5030E">
        <w:t>GM’</w:t>
      </w:r>
      <w:r w:rsidR="00841D7D">
        <w:t>s shares at $56, 5</w:t>
      </w:r>
      <w:r w:rsidR="00B5030E">
        <w:t xml:space="preserve"> dollars less than its current price. The expected return was derived as cost of equity multiplied by the book value of equity. Intuitively, this is the amount required by the investors during a given period. As a result, the excess amount of net income over the expected return (normal earnings) was identified as abnormal earnings. These earnings in aggregate along with the terminal value was discounted to present value to obtain the value of the firm. The terminal value in this case consisted of a net income derived from 1% growth in sales and flat operating expenses from 2021 outlined in the forecast assumptions mentioned. This terminal value is justified given its track record and the various modest benefits from investments we are forecas</w:t>
      </w:r>
      <w:r w:rsidR="006E2AFB">
        <w:t>ting. What this valuation of $56</w:t>
      </w:r>
      <w:r w:rsidR="00B5030E">
        <w:t xml:space="preserve"> expresses is not only the required abnormal earnings but the expectation of the market is closely aligned with these current forecasts. (</w:t>
      </w:r>
      <w:r w:rsidR="007428FD">
        <w:t>Similarly</w:t>
      </w:r>
      <w:r w:rsidR="008D2439">
        <w:t xml:space="preserve"> </w:t>
      </w:r>
      <w:r w:rsidR="00B5030E">
        <w:t>priced at $61 a share)</w:t>
      </w:r>
      <w:r w:rsidR="008D2439">
        <w:t>.</w:t>
      </w:r>
    </w:p>
    <w:p w:rsidR="009B78C0" w:rsidRDefault="007428FD">
      <w:r>
        <w:t xml:space="preserve">Optimistic scenario yields a valuation of $69, </w:t>
      </w:r>
      <w:r w:rsidR="00290BBB">
        <w:t>-</w:t>
      </w:r>
      <w:r>
        <w:t xml:space="preserve">$8 greater than its current market price. </w:t>
      </w:r>
      <w:r w:rsidR="00BB7B33">
        <w:t xml:space="preserve">Combined benefits of both sales and productivity gains boost GM’s net earnings by almost 20% over the base scenario in </w:t>
      </w:r>
      <w:r w:rsidR="009B78C0">
        <w:t>an</w:t>
      </w:r>
      <w:r w:rsidR="00BB7B33">
        <w:t xml:space="preserve"> 8 year growth period. </w:t>
      </w:r>
      <w:r w:rsidR="009B78C0">
        <w:t>Terminal value</w:t>
      </w:r>
      <w:r w:rsidR="006B737D">
        <w:t xml:space="preserve"> was determined by building on the forecasts of the base scenario mentioned with incremental savings benefits in Project Compass &amp; </w:t>
      </w:r>
      <w:proofErr w:type="spellStart"/>
      <w:r w:rsidR="006B737D">
        <w:t>Cataylst</w:t>
      </w:r>
      <w:proofErr w:type="spellEnd"/>
      <w:r w:rsidR="006B737D">
        <w:t xml:space="preserve"> – (1% less in Cost of Sales). </w:t>
      </w:r>
    </w:p>
    <w:p w:rsidR="008D2439" w:rsidRDefault="00290BBB">
      <w:r>
        <w:t xml:space="preserve">What is intriguing is the large variation of the pessimistic valuation. Valued at $16, its discrepancy to the current price is the largest in the models or other scenarios. This is driven by compounding of adverse factors included in the forecast. Not only are sales projected to decrease overall by 2% over 5 years and -1% terminal decline but marginal increases in operating expenses and tax rates </w:t>
      </w:r>
      <w:r w:rsidR="00755161">
        <w:t xml:space="preserve">corrode into earnings- providing minimal excess income over normal earnings. </w:t>
      </w:r>
    </w:p>
    <w:p w:rsidR="00053697" w:rsidRPr="00053697" w:rsidRDefault="00053697">
      <w:pPr>
        <w:rPr>
          <w:b/>
          <w:u w:val="single"/>
        </w:rPr>
      </w:pPr>
      <w:r w:rsidRPr="00053697">
        <w:rPr>
          <w:b/>
          <w:u w:val="single"/>
        </w:rPr>
        <w:t>Valuations</w:t>
      </w:r>
    </w:p>
    <w:tbl>
      <w:tblPr>
        <w:tblW w:w="4289" w:type="dxa"/>
        <w:tblLook w:val="04A0" w:firstRow="1" w:lastRow="0" w:firstColumn="1" w:lastColumn="0" w:noHBand="0" w:noVBand="1"/>
      </w:tblPr>
      <w:tblGrid>
        <w:gridCol w:w="1336"/>
        <w:gridCol w:w="1217"/>
        <w:gridCol w:w="1066"/>
        <w:gridCol w:w="1157"/>
      </w:tblGrid>
      <w:tr w:rsidR="006E2AFB" w:rsidRPr="006E2AFB" w:rsidTr="006E2AFB">
        <w:trPr>
          <w:trHeight w:val="300"/>
        </w:trPr>
        <w:tc>
          <w:tcPr>
            <w:tcW w:w="133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Times New Roman" w:eastAsia="Times New Roman" w:hAnsi="Times New Roman" w:cs="Times New Roman"/>
                <w:sz w:val="24"/>
                <w:szCs w:val="24"/>
              </w:rPr>
            </w:pPr>
          </w:p>
        </w:tc>
        <w:tc>
          <w:tcPr>
            <w:tcW w:w="1001"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b/>
                <w:bCs/>
                <w:color w:val="000000"/>
              </w:rPr>
            </w:pPr>
            <w:r w:rsidRPr="006E2AFB">
              <w:rPr>
                <w:rFonts w:ascii="Calibri" w:eastAsia="Times New Roman" w:hAnsi="Calibri" w:cs="Calibri"/>
                <w:b/>
                <w:bCs/>
                <w:color w:val="000000"/>
              </w:rPr>
              <w:t>Pessimistic</w:t>
            </w:r>
          </w:p>
        </w:tc>
        <w:tc>
          <w:tcPr>
            <w:tcW w:w="97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b/>
                <w:bCs/>
                <w:color w:val="000000"/>
              </w:rPr>
            </w:pPr>
            <w:r w:rsidRPr="006E2AFB">
              <w:rPr>
                <w:rFonts w:ascii="Calibri" w:eastAsia="Times New Roman" w:hAnsi="Calibri" w:cs="Calibri"/>
                <w:b/>
                <w:bCs/>
                <w:color w:val="000000"/>
              </w:rPr>
              <w:t>Base</w:t>
            </w:r>
          </w:p>
        </w:tc>
        <w:tc>
          <w:tcPr>
            <w:tcW w:w="97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b/>
                <w:bCs/>
                <w:color w:val="000000"/>
              </w:rPr>
            </w:pPr>
            <w:r w:rsidRPr="006E2AFB">
              <w:rPr>
                <w:rFonts w:ascii="Calibri" w:eastAsia="Times New Roman" w:hAnsi="Calibri" w:cs="Calibri"/>
                <w:b/>
                <w:bCs/>
                <w:color w:val="000000"/>
              </w:rPr>
              <w:t>Optimistic</w:t>
            </w:r>
          </w:p>
        </w:tc>
      </w:tr>
      <w:tr w:rsidR="006E2AFB" w:rsidRPr="006E2AFB" w:rsidTr="006E2AFB">
        <w:trPr>
          <w:trHeight w:val="300"/>
        </w:trPr>
        <w:tc>
          <w:tcPr>
            <w:tcW w:w="133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b/>
                <w:bCs/>
                <w:color w:val="000000"/>
              </w:rPr>
            </w:pPr>
            <w:r w:rsidRPr="006E2AFB">
              <w:rPr>
                <w:rFonts w:ascii="Calibri" w:eastAsia="Times New Roman" w:hAnsi="Calibri" w:cs="Calibri"/>
                <w:b/>
                <w:bCs/>
                <w:color w:val="000000"/>
              </w:rPr>
              <w:t>A/E Method</w:t>
            </w:r>
          </w:p>
        </w:tc>
        <w:tc>
          <w:tcPr>
            <w:tcW w:w="1001"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color w:val="000000"/>
              </w:rPr>
            </w:pPr>
            <w:r w:rsidRPr="006E2AFB">
              <w:rPr>
                <w:rFonts w:ascii="Calibri" w:eastAsia="Times New Roman" w:hAnsi="Calibri" w:cs="Calibri"/>
                <w:color w:val="000000"/>
              </w:rPr>
              <w:t xml:space="preserve"> $       15.6 </w:t>
            </w:r>
          </w:p>
        </w:tc>
        <w:tc>
          <w:tcPr>
            <w:tcW w:w="97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color w:val="000000"/>
              </w:rPr>
            </w:pPr>
            <w:r w:rsidRPr="006E2AFB">
              <w:rPr>
                <w:rFonts w:ascii="Calibri" w:eastAsia="Times New Roman" w:hAnsi="Calibri" w:cs="Calibri"/>
                <w:color w:val="000000"/>
              </w:rPr>
              <w:t xml:space="preserve"> $       56.5 </w:t>
            </w:r>
          </w:p>
        </w:tc>
        <w:tc>
          <w:tcPr>
            <w:tcW w:w="97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color w:val="000000"/>
              </w:rPr>
            </w:pPr>
            <w:r w:rsidRPr="006E2AFB">
              <w:rPr>
                <w:rFonts w:ascii="Calibri" w:eastAsia="Times New Roman" w:hAnsi="Calibri" w:cs="Calibri"/>
                <w:color w:val="000000"/>
              </w:rPr>
              <w:t xml:space="preserve"> $       68.6 </w:t>
            </w:r>
          </w:p>
        </w:tc>
      </w:tr>
      <w:tr w:rsidR="006E2AFB" w:rsidRPr="006E2AFB" w:rsidTr="006E2AFB">
        <w:trPr>
          <w:trHeight w:val="300"/>
        </w:trPr>
        <w:tc>
          <w:tcPr>
            <w:tcW w:w="133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b/>
                <w:bCs/>
                <w:color w:val="000000"/>
              </w:rPr>
            </w:pPr>
            <w:r>
              <w:rPr>
                <w:rFonts w:ascii="Calibri" w:eastAsia="Times New Roman" w:hAnsi="Calibri" w:cs="Calibri"/>
                <w:b/>
                <w:bCs/>
                <w:color w:val="000000"/>
              </w:rPr>
              <w:t xml:space="preserve">DE </w:t>
            </w:r>
            <w:r w:rsidRPr="006E2AFB">
              <w:rPr>
                <w:rFonts w:ascii="Calibri" w:eastAsia="Times New Roman" w:hAnsi="Calibri" w:cs="Calibri"/>
                <w:b/>
                <w:bCs/>
                <w:color w:val="000000"/>
              </w:rPr>
              <w:t>Method</w:t>
            </w:r>
          </w:p>
        </w:tc>
        <w:tc>
          <w:tcPr>
            <w:tcW w:w="1001"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color w:val="000000"/>
              </w:rPr>
            </w:pPr>
            <w:r w:rsidRPr="006E2AFB">
              <w:rPr>
                <w:rFonts w:ascii="Calibri" w:eastAsia="Times New Roman" w:hAnsi="Calibri" w:cs="Calibri"/>
                <w:color w:val="000000"/>
              </w:rPr>
              <w:t xml:space="preserve"> $       35.6 </w:t>
            </w:r>
          </w:p>
        </w:tc>
        <w:tc>
          <w:tcPr>
            <w:tcW w:w="97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color w:val="000000"/>
              </w:rPr>
            </w:pPr>
            <w:r w:rsidRPr="006E2AFB">
              <w:rPr>
                <w:rFonts w:ascii="Calibri" w:eastAsia="Times New Roman" w:hAnsi="Calibri" w:cs="Calibri"/>
                <w:color w:val="000000"/>
              </w:rPr>
              <w:t xml:space="preserve"> $       58.7 </w:t>
            </w:r>
          </w:p>
        </w:tc>
        <w:tc>
          <w:tcPr>
            <w:tcW w:w="97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color w:val="000000"/>
              </w:rPr>
            </w:pPr>
            <w:r w:rsidRPr="006E2AFB">
              <w:rPr>
                <w:rFonts w:ascii="Calibri" w:eastAsia="Times New Roman" w:hAnsi="Calibri" w:cs="Calibri"/>
                <w:color w:val="000000"/>
              </w:rPr>
              <w:t xml:space="preserve"> $       80.4 </w:t>
            </w:r>
          </w:p>
        </w:tc>
      </w:tr>
      <w:tr w:rsidR="006E2AFB" w:rsidRPr="006E2AFB" w:rsidTr="006E2AFB">
        <w:trPr>
          <w:trHeight w:val="300"/>
        </w:trPr>
        <w:tc>
          <w:tcPr>
            <w:tcW w:w="133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color w:val="000000"/>
              </w:rPr>
            </w:pPr>
          </w:p>
        </w:tc>
        <w:tc>
          <w:tcPr>
            <w:tcW w:w="1001"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Times New Roman" w:eastAsia="Times New Roman" w:hAnsi="Times New Roman" w:cs="Times New Roman"/>
                <w:sz w:val="20"/>
                <w:szCs w:val="20"/>
              </w:rPr>
            </w:pPr>
          </w:p>
        </w:tc>
      </w:tr>
      <w:tr w:rsidR="006E2AFB" w:rsidRPr="006E2AFB" w:rsidTr="006E2AFB">
        <w:trPr>
          <w:trHeight w:val="300"/>
        </w:trPr>
        <w:tc>
          <w:tcPr>
            <w:tcW w:w="133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b/>
                <w:bCs/>
                <w:color w:val="000000"/>
              </w:rPr>
            </w:pPr>
            <w:r w:rsidRPr="006E2AFB">
              <w:rPr>
                <w:rFonts w:ascii="Calibri" w:eastAsia="Times New Roman" w:hAnsi="Calibri" w:cs="Calibri"/>
                <w:b/>
                <w:bCs/>
                <w:color w:val="000000"/>
              </w:rPr>
              <w:t>Current Price</w:t>
            </w:r>
          </w:p>
        </w:tc>
        <w:tc>
          <w:tcPr>
            <w:tcW w:w="1001"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color w:val="000000"/>
              </w:rPr>
            </w:pPr>
            <w:r w:rsidRPr="006E2AFB">
              <w:rPr>
                <w:rFonts w:ascii="Calibri" w:eastAsia="Times New Roman" w:hAnsi="Calibri" w:cs="Calibri"/>
                <w:color w:val="000000"/>
              </w:rPr>
              <w:t xml:space="preserve"> $       61.4 </w:t>
            </w:r>
          </w:p>
        </w:tc>
        <w:tc>
          <w:tcPr>
            <w:tcW w:w="97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rsidR="006E2AFB" w:rsidRPr="006E2AFB" w:rsidRDefault="006E2AFB" w:rsidP="006E2AFB">
            <w:pPr>
              <w:spacing w:after="0" w:line="240" w:lineRule="auto"/>
              <w:rPr>
                <w:rFonts w:ascii="Times New Roman" w:eastAsia="Times New Roman" w:hAnsi="Times New Roman" w:cs="Times New Roman"/>
                <w:sz w:val="20"/>
                <w:szCs w:val="20"/>
              </w:rPr>
            </w:pPr>
          </w:p>
        </w:tc>
      </w:tr>
    </w:tbl>
    <w:p w:rsidR="006E2AFB" w:rsidRDefault="006E2AFB"/>
    <w:p w:rsidR="006E2AFB" w:rsidRDefault="006E2AFB"/>
    <w:p w:rsidR="003D6F08" w:rsidRDefault="006B737D">
      <w:r>
        <w:t>Weighted Average Cost of Capital</w:t>
      </w:r>
    </w:p>
    <w:p w:rsidR="006B737D" w:rsidRDefault="006B737D">
      <w:r>
        <w:t xml:space="preserve">The Weighted Average Cost of Capital </w:t>
      </w:r>
      <w:r w:rsidR="00136D16">
        <w:t xml:space="preserve">(WACC) </w:t>
      </w:r>
      <w:r w:rsidR="00053697">
        <w:t>was utilized to discount cash flows</w:t>
      </w:r>
      <w:r>
        <w:t xml:space="preserve">. </w:t>
      </w:r>
      <w:r w:rsidR="00202BB9">
        <w:t xml:space="preserve">This methodology assumes the existing capital structure of General Mills to obtain financing and similar to the abnormal earnings method, cost of equity was derived from the Capital Asset pricing Model. However, the beta in this case (obtained from Stern Finance) was </w:t>
      </w:r>
      <w:r w:rsidR="00136D16">
        <w:t>unlevered and re</w:t>
      </w:r>
      <w:r w:rsidR="00202BB9">
        <w:t>adjusted to reflect General Mill’s Debt to Equity ratios- providing a significantly more accurate discount rate. Sourced from the balance sheet</w:t>
      </w:r>
      <w:r w:rsidR="006008B7">
        <w:t xml:space="preserve"> and Morningstar bong yields of GM</w:t>
      </w:r>
      <w:r w:rsidR="00202BB9">
        <w:t xml:space="preserve">, debt was </w:t>
      </w:r>
      <w:r w:rsidR="00136D16">
        <w:t xml:space="preserve">also taken into consideration and </w:t>
      </w:r>
      <w:r w:rsidR="00202BB9">
        <w:t xml:space="preserve">adjusted for after tax costs. As a result, this adjustment was reflected in the cost of equity and WACC was computed to be at 5.96%. </w:t>
      </w:r>
      <w:r w:rsidR="006008B7">
        <w:t xml:space="preserve">This figure represents a variation from the discount rate used in the abnormal earnings model. This is attributed to the fact that WACC takes into account debt financing- at </w:t>
      </w:r>
      <w:r w:rsidR="00136D16">
        <w:t xml:space="preserve">5.1% yields. </w:t>
      </w:r>
    </w:p>
    <w:p w:rsidR="00267C35" w:rsidRDefault="00267C35"/>
    <w:tbl>
      <w:tblPr>
        <w:tblW w:w="5812" w:type="dxa"/>
        <w:tblLook w:val="04A0" w:firstRow="1" w:lastRow="0" w:firstColumn="1" w:lastColumn="0" w:noHBand="0" w:noVBand="1"/>
      </w:tblPr>
      <w:tblGrid>
        <w:gridCol w:w="2136"/>
        <w:gridCol w:w="1436"/>
        <w:gridCol w:w="2240"/>
      </w:tblGrid>
      <w:tr w:rsidR="000F524C" w:rsidRPr="000F524C" w:rsidTr="000F524C">
        <w:trPr>
          <w:trHeight w:val="300"/>
        </w:trPr>
        <w:tc>
          <w:tcPr>
            <w:tcW w:w="21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b/>
                <w:bCs/>
                <w:color w:val="000000"/>
              </w:rPr>
            </w:pPr>
            <w:r w:rsidRPr="000F524C">
              <w:rPr>
                <w:rFonts w:ascii="Calibri" w:eastAsia="Times New Roman" w:hAnsi="Calibri" w:cs="Calibri"/>
                <w:b/>
                <w:bCs/>
                <w:color w:val="000000"/>
              </w:rPr>
              <w:t>Item</w:t>
            </w:r>
          </w:p>
        </w:tc>
        <w:tc>
          <w:tcPr>
            <w:tcW w:w="14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jc w:val="right"/>
              <w:rPr>
                <w:rFonts w:ascii="Calibri" w:eastAsia="Times New Roman" w:hAnsi="Calibri" w:cs="Calibri"/>
                <w:b/>
                <w:bCs/>
                <w:color w:val="000000"/>
              </w:rPr>
            </w:pPr>
            <w:r>
              <w:rPr>
                <w:rFonts w:ascii="Calibri" w:eastAsia="Times New Roman" w:hAnsi="Calibri" w:cs="Calibri"/>
                <w:b/>
                <w:bCs/>
                <w:color w:val="000000"/>
              </w:rPr>
              <w:t>R</w:t>
            </w:r>
            <w:r w:rsidRPr="000F524C">
              <w:rPr>
                <w:rFonts w:ascii="Calibri" w:eastAsia="Times New Roman" w:hAnsi="Calibri" w:cs="Calibri"/>
                <w:b/>
                <w:bCs/>
                <w:color w:val="000000"/>
              </w:rPr>
              <w:t>ate</w:t>
            </w:r>
          </w:p>
        </w:tc>
        <w:tc>
          <w:tcPr>
            <w:tcW w:w="2240"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b/>
                <w:bCs/>
                <w:color w:val="000000"/>
              </w:rPr>
            </w:pPr>
            <w:r>
              <w:rPr>
                <w:rFonts w:ascii="Calibri" w:eastAsia="Times New Roman" w:hAnsi="Calibri" w:cs="Calibri"/>
                <w:b/>
                <w:bCs/>
                <w:color w:val="000000"/>
              </w:rPr>
              <w:t>Calculation</w:t>
            </w:r>
            <w:r w:rsidR="006066FF">
              <w:rPr>
                <w:rFonts w:ascii="Calibri" w:eastAsia="Times New Roman" w:hAnsi="Calibri" w:cs="Calibri"/>
                <w:b/>
                <w:bCs/>
                <w:color w:val="000000"/>
              </w:rPr>
              <w:t>/Source</w:t>
            </w:r>
          </w:p>
        </w:tc>
      </w:tr>
      <w:tr w:rsidR="000F524C" w:rsidRPr="000F524C" w:rsidTr="000F524C">
        <w:trPr>
          <w:trHeight w:val="300"/>
        </w:trPr>
        <w:tc>
          <w:tcPr>
            <w:tcW w:w="21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Equity %</w:t>
            </w:r>
          </w:p>
        </w:tc>
        <w:tc>
          <w:tcPr>
            <w:tcW w:w="14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jc w:val="right"/>
              <w:rPr>
                <w:rFonts w:ascii="Calibri" w:eastAsia="Times New Roman" w:hAnsi="Calibri" w:cs="Calibri"/>
                <w:color w:val="000000"/>
              </w:rPr>
            </w:pPr>
            <w:r w:rsidRPr="000F524C">
              <w:rPr>
                <w:rFonts w:ascii="Calibri" w:eastAsia="Times New Roman" w:hAnsi="Calibri" w:cs="Calibri"/>
                <w:color w:val="000000"/>
              </w:rPr>
              <w:t>84%</w:t>
            </w:r>
          </w:p>
        </w:tc>
        <w:tc>
          <w:tcPr>
            <w:tcW w:w="2240"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Balance Sheet</w:t>
            </w:r>
          </w:p>
        </w:tc>
      </w:tr>
      <w:tr w:rsidR="000F524C" w:rsidRPr="000F524C" w:rsidTr="000F524C">
        <w:trPr>
          <w:trHeight w:val="300"/>
        </w:trPr>
        <w:tc>
          <w:tcPr>
            <w:tcW w:w="21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Debt %</w:t>
            </w:r>
          </w:p>
        </w:tc>
        <w:tc>
          <w:tcPr>
            <w:tcW w:w="14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jc w:val="right"/>
              <w:rPr>
                <w:rFonts w:ascii="Calibri" w:eastAsia="Times New Roman" w:hAnsi="Calibri" w:cs="Calibri"/>
                <w:color w:val="000000"/>
              </w:rPr>
            </w:pPr>
            <w:r w:rsidRPr="000F524C">
              <w:rPr>
                <w:rFonts w:ascii="Calibri" w:eastAsia="Times New Roman" w:hAnsi="Calibri" w:cs="Calibri"/>
                <w:color w:val="000000"/>
              </w:rPr>
              <w:t>16%</w:t>
            </w:r>
          </w:p>
        </w:tc>
        <w:tc>
          <w:tcPr>
            <w:tcW w:w="2240"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Balance Sheet</w:t>
            </w:r>
          </w:p>
        </w:tc>
      </w:tr>
      <w:tr w:rsidR="000F524C" w:rsidRPr="000F524C" w:rsidTr="000F524C">
        <w:trPr>
          <w:trHeight w:val="300"/>
        </w:trPr>
        <w:tc>
          <w:tcPr>
            <w:tcW w:w="21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Tax Rate</w:t>
            </w:r>
          </w:p>
        </w:tc>
        <w:tc>
          <w:tcPr>
            <w:tcW w:w="14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jc w:val="right"/>
              <w:rPr>
                <w:rFonts w:ascii="Calibri" w:eastAsia="Times New Roman" w:hAnsi="Calibri" w:cs="Calibri"/>
                <w:color w:val="000000"/>
              </w:rPr>
            </w:pPr>
            <w:r w:rsidRPr="000F524C">
              <w:rPr>
                <w:rFonts w:ascii="Calibri" w:eastAsia="Times New Roman" w:hAnsi="Calibri" w:cs="Calibri"/>
                <w:color w:val="000000"/>
              </w:rPr>
              <w:t>33%</w:t>
            </w:r>
          </w:p>
        </w:tc>
        <w:tc>
          <w:tcPr>
            <w:tcW w:w="2240"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Running 3 year Tax Rate</w:t>
            </w:r>
          </w:p>
        </w:tc>
      </w:tr>
      <w:tr w:rsidR="000F524C" w:rsidRPr="000F524C" w:rsidTr="000F524C">
        <w:trPr>
          <w:trHeight w:val="300"/>
        </w:trPr>
        <w:tc>
          <w:tcPr>
            <w:tcW w:w="21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Industry Unlevered B</w:t>
            </w:r>
          </w:p>
        </w:tc>
        <w:tc>
          <w:tcPr>
            <w:tcW w:w="14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jc w:val="right"/>
              <w:rPr>
                <w:rFonts w:ascii="Calibri" w:eastAsia="Times New Roman" w:hAnsi="Calibri" w:cs="Calibri"/>
                <w:color w:val="000000"/>
              </w:rPr>
            </w:pPr>
            <w:r w:rsidRPr="000F524C">
              <w:rPr>
                <w:rFonts w:ascii="Calibri" w:eastAsia="Times New Roman" w:hAnsi="Calibri" w:cs="Calibri"/>
                <w:color w:val="000000"/>
              </w:rPr>
              <w:t xml:space="preserve">                    0.60 </w:t>
            </w:r>
          </w:p>
        </w:tc>
        <w:tc>
          <w:tcPr>
            <w:tcW w:w="2240"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Stern Finance Data</w:t>
            </w:r>
          </w:p>
        </w:tc>
      </w:tr>
      <w:tr w:rsidR="000F524C" w:rsidRPr="000F524C" w:rsidTr="000F524C">
        <w:trPr>
          <w:trHeight w:val="300"/>
        </w:trPr>
        <w:tc>
          <w:tcPr>
            <w:tcW w:w="21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Equity Beta</w:t>
            </w:r>
          </w:p>
        </w:tc>
        <w:tc>
          <w:tcPr>
            <w:tcW w:w="14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jc w:val="right"/>
              <w:rPr>
                <w:rFonts w:ascii="Calibri" w:eastAsia="Times New Roman" w:hAnsi="Calibri" w:cs="Calibri"/>
                <w:color w:val="000000"/>
              </w:rPr>
            </w:pPr>
            <w:r w:rsidRPr="000F524C">
              <w:rPr>
                <w:rFonts w:ascii="Calibri" w:eastAsia="Times New Roman" w:hAnsi="Calibri" w:cs="Calibri"/>
                <w:color w:val="000000"/>
              </w:rPr>
              <w:t xml:space="preserve">                    0.68 </w:t>
            </w:r>
          </w:p>
        </w:tc>
        <w:tc>
          <w:tcPr>
            <w:tcW w:w="2240"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proofErr w:type="spellStart"/>
            <w:r w:rsidRPr="000F524C">
              <w:rPr>
                <w:rFonts w:ascii="Calibri" w:eastAsia="Times New Roman" w:hAnsi="Calibri" w:cs="Calibri"/>
                <w:color w:val="000000"/>
              </w:rPr>
              <w:t>Ubeta</w:t>
            </w:r>
            <w:proofErr w:type="spellEnd"/>
            <w:r w:rsidRPr="000F524C">
              <w:rPr>
                <w:rFonts w:ascii="Calibri" w:eastAsia="Times New Roman" w:hAnsi="Calibri" w:cs="Calibri"/>
                <w:color w:val="000000"/>
              </w:rPr>
              <w:t>*(1+(1-t)D/E)</w:t>
            </w:r>
          </w:p>
        </w:tc>
      </w:tr>
      <w:tr w:rsidR="000F524C" w:rsidRPr="000F524C" w:rsidTr="000F524C">
        <w:trPr>
          <w:trHeight w:val="300"/>
        </w:trPr>
        <w:tc>
          <w:tcPr>
            <w:tcW w:w="21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proofErr w:type="spellStart"/>
            <w:r w:rsidRPr="000F524C">
              <w:rPr>
                <w:rFonts w:ascii="Calibri" w:eastAsia="Times New Roman" w:hAnsi="Calibri" w:cs="Calibri"/>
                <w:color w:val="000000"/>
              </w:rPr>
              <w:t>Ke</w:t>
            </w:r>
            <w:proofErr w:type="spellEnd"/>
          </w:p>
        </w:tc>
        <w:tc>
          <w:tcPr>
            <w:tcW w:w="14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jc w:val="right"/>
              <w:rPr>
                <w:rFonts w:ascii="Calibri" w:eastAsia="Times New Roman" w:hAnsi="Calibri" w:cs="Calibri"/>
                <w:color w:val="000000"/>
              </w:rPr>
            </w:pPr>
            <w:r w:rsidRPr="000F524C">
              <w:rPr>
                <w:rFonts w:ascii="Calibri" w:eastAsia="Times New Roman" w:hAnsi="Calibri" w:cs="Calibri"/>
                <w:color w:val="000000"/>
              </w:rPr>
              <w:t>6.45%</w:t>
            </w:r>
          </w:p>
        </w:tc>
        <w:tc>
          <w:tcPr>
            <w:tcW w:w="2240"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CAPM</w:t>
            </w:r>
          </w:p>
        </w:tc>
      </w:tr>
      <w:tr w:rsidR="000F524C" w:rsidRPr="000F524C" w:rsidTr="000F524C">
        <w:trPr>
          <w:trHeight w:val="300"/>
        </w:trPr>
        <w:tc>
          <w:tcPr>
            <w:tcW w:w="21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 xml:space="preserve">10 </w:t>
            </w:r>
            <w:proofErr w:type="spellStart"/>
            <w:r w:rsidRPr="000F524C">
              <w:rPr>
                <w:rFonts w:ascii="Calibri" w:eastAsia="Times New Roman" w:hAnsi="Calibri" w:cs="Calibri"/>
                <w:color w:val="000000"/>
              </w:rPr>
              <w:t>yr</w:t>
            </w:r>
            <w:proofErr w:type="spellEnd"/>
            <w:r w:rsidRPr="000F524C">
              <w:rPr>
                <w:rFonts w:ascii="Calibri" w:eastAsia="Times New Roman" w:hAnsi="Calibri" w:cs="Calibri"/>
                <w:color w:val="000000"/>
              </w:rPr>
              <w:t xml:space="preserve"> treasury</w:t>
            </w:r>
          </w:p>
        </w:tc>
        <w:tc>
          <w:tcPr>
            <w:tcW w:w="14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jc w:val="right"/>
              <w:rPr>
                <w:rFonts w:ascii="Calibri" w:eastAsia="Times New Roman" w:hAnsi="Calibri" w:cs="Calibri"/>
                <w:color w:val="000000"/>
              </w:rPr>
            </w:pPr>
            <w:r w:rsidRPr="000F524C">
              <w:rPr>
                <w:rFonts w:ascii="Calibri" w:eastAsia="Times New Roman" w:hAnsi="Calibri" w:cs="Calibri"/>
                <w:color w:val="000000"/>
              </w:rPr>
              <w:t>1.81%</w:t>
            </w:r>
          </w:p>
        </w:tc>
        <w:tc>
          <w:tcPr>
            <w:tcW w:w="2240"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Risk Free Rate</w:t>
            </w:r>
          </w:p>
        </w:tc>
      </w:tr>
      <w:tr w:rsidR="000F524C" w:rsidRPr="000F524C" w:rsidTr="000F524C">
        <w:trPr>
          <w:trHeight w:val="300"/>
        </w:trPr>
        <w:tc>
          <w:tcPr>
            <w:tcW w:w="21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proofErr w:type="spellStart"/>
            <w:r w:rsidRPr="000F524C">
              <w:rPr>
                <w:rFonts w:ascii="Calibri" w:eastAsia="Times New Roman" w:hAnsi="Calibri" w:cs="Calibri"/>
                <w:color w:val="000000"/>
              </w:rPr>
              <w:t>Kd</w:t>
            </w:r>
            <w:proofErr w:type="spellEnd"/>
          </w:p>
        </w:tc>
        <w:tc>
          <w:tcPr>
            <w:tcW w:w="14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jc w:val="right"/>
              <w:rPr>
                <w:rFonts w:ascii="Calibri" w:eastAsia="Times New Roman" w:hAnsi="Calibri" w:cs="Calibri"/>
                <w:color w:val="000000"/>
              </w:rPr>
            </w:pPr>
            <w:r w:rsidRPr="000F524C">
              <w:rPr>
                <w:rFonts w:ascii="Calibri" w:eastAsia="Times New Roman" w:hAnsi="Calibri" w:cs="Calibri"/>
                <w:color w:val="000000"/>
              </w:rPr>
              <w:t>5.10%</w:t>
            </w:r>
          </w:p>
        </w:tc>
        <w:tc>
          <w:tcPr>
            <w:tcW w:w="2240" w:type="dxa"/>
            <w:tcBorders>
              <w:top w:val="nil"/>
              <w:left w:val="nil"/>
              <w:bottom w:val="nil"/>
              <w:right w:val="nil"/>
            </w:tcBorders>
            <w:shd w:val="clear" w:color="auto" w:fill="auto"/>
            <w:noWrap/>
            <w:vAlign w:val="bottom"/>
            <w:hideMark/>
          </w:tcPr>
          <w:p w:rsidR="000F524C" w:rsidRPr="000F524C" w:rsidRDefault="006066FF" w:rsidP="000F524C">
            <w:pPr>
              <w:spacing w:after="0" w:line="240" w:lineRule="auto"/>
              <w:rPr>
                <w:rFonts w:ascii="Calibri" w:eastAsia="Times New Roman" w:hAnsi="Calibri" w:cs="Calibri"/>
                <w:color w:val="000000"/>
              </w:rPr>
            </w:pPr>
            <w:r>
              <w:rPr>
                <w:rFonts w:ascii="Calibri" w:eastAsia="Times New Roman" w:hAnsi="Calibri" w:cs="Calibri"/>
                <w:color w:val="000000"/>
              </w:rPr>
              <w:t>B</w:t>
            </w:r>
            <w:r w:rsidR="00C922FB">
              <w:rPr>
                <w:rFonts w:ascii="Calibri" w:eastAsia="Times New Roman" w:hAnsi="Calibri" w:cs="Calibri"/>
                <w:color w:val="000000"/>
              </w:rPr>
              <w:t>ond</w:t>
            </w:r>
            <w:r>
              <w:rPr>
                <w:rFonts w:ascii="Calibri" w:eastAsia="Times New Roman" w:hAnsi="Calibri" w:cs="Calibri"/>
                <w:color w:val="000000"/>
              </w:rPr>
              <w:t xml:space="preserve"> Yield- </w:t>
            </w:r>
            <w:r w:rsidR="00C922FB">
              <w:rPr>
                <w:rFonts w:ascii="Calibri" w:eastAsia="Times New Roman" w:hAnsi="Calibri" w:cs="Calibri"/>
                <w:color w:val="000000"/>
              </w:rPr>
              <w:t>Mornings</w:t>
            </w:r>
            <w:r w:rsidR="000F524C" w:rsidRPr="000F524C">
              <w:rPr>
                <w:rFonts w:ascii="Calibri" w:eastAsia="Times New Roman" w:hAnsi="Calibri" w:cs="Calibri"/>
                <w:color w:val="000000"/>
              </w:rPr>
              <w:t>tar</w:t>
            </w:r>
          </w:p>
        </w:tc>
      </w:tr>
      <w:tr w:rsidR="000F524C" w:rsidRPr="000F524C" w:rsidTr="000F524C">
        <w:trPr>
          <w:trHeight w:val="300"/>
        </w:trPr>
        <w:tc>
          <w:tcPr>
            <w:tcW w:w="21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risk premium</w:t>
            </w:r>
          </w:p>
        </w:tc>
        <w:tc>
          <w:tcPr>
            <w:tcW w:w="14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jc w:val="right"/>
              <w:rPr>
                <w:rFonts w:ascii="Calibri" w:eastAsia="Times New Roman" w:hAnsi="Calibri" w:cs="Calibri"/>
                <w:color w:val="000000"/>
              </w:rPr>
            </w:pPr>
            <w:r w:rsidRPr="000F524C">
              <w:rPr>
                <w:rFonts w:ascii="Calibri" w:eastAsia="Times New Roman" w:hAnsi="Calibri" w:cs="Calibri"/>
                <w:color w:val="000000"/>
              </w:rPr>
              <w:t>6.84%</w:t>
            </w:r>
          </w:p>
        </w:tc>
        <w:tc>
          <w:tcPr>
            <w:tcW w:w="2240"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r w:rsidRPr="000F524C">
              <w:rPr>
                <w:rFonts w:ascii="Calibri" w:eastAsia="Times New Roman" w:hAnsi="Calibri" w:cs="Calibri"/>
                <w:color w:val="000000"/>
              </w:rPr>
              <w:t xml:space="preserve">SP500 (3 </w:t>
            </w:r>
            <w:proofErr w:type="spellStart"/>
            <w:r w:rsidRPr="000F524C">
              <w:rPr>
                <w:rFonts w:ascii="Calibri" w:eastAsia="Times New Roman" w:hAnsi="Calibri" w:cs="Calibri"/>
                <w:color w:val="000000"/>
              </w:rPr>
              <w:t>yrs</w:t>
            </w:r>
            <w:proofErr w:type="spellEnd"/>
            <w:r w:rsidRPr="000F524C">
              <w:rPr>
                <w:rFonts w:ascii="Calibri" w:eastAsia="Times New Roman" w:hAnsi="Calibri" w:cs="Calibri"/>
                <w:color w:val="000000"/>
              </w:rPr>
              <w:t xml:space="preserve">) - </w:t>
            </w:r>
            <w:proofErr w:type="spellStart"/>
            <w:r w:rsidRPr="000F524C">
              <w:rPr>
                <w:rFonts w:ascii="Calibri" w:eastAsia="Times New Roman" w:hAnsi="Calibri" w:cs="Calibri"/>
                <w:color w:val="000000"/>
              </w:rPr>
              <w:t>rf</w:t>
            </w:r>
            <w:proofErr w:type="spellEnd"/>
          </w:p>
        </w:tc>
      </w:tr>
      <w:tr w:rsidR="000F524C" w:rsidRPr="000F524C" w:rsidTr="000F524C">
        <w:trPr>
          <w:trHeight w:val="300"/>
        </w:trPr>
        <w:tc>
          <w:tcPr>
            <w:tcW w:w="21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color w:val="000000"/>
              </w:rPr>
            </w:pPr>
          </w:p>
        </w:tc>
        <w:tc>
          <w:tcPr>
            <w:tcW w:w="14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Times New Roman" w:eastAsia="Times New Roman" w:hAnsi="Times New Roman" w:cs="Times New Roman"/>
                <w:sz w:val="20"/>
                <w:szCs w:val="20"/>
              </w:rPr>
            </w:pPr>
          </w:p>
        </w:tc>
      </w:tr>
      <w:tr w:rsidR="000F524C" w:rsidRPr="000F524C" w:rsidTr="000F524C">
        <w:trPr>
          <w:trHeight w:val="300"/>
        </w:trPr>
        <w:tc>
          <w:tcPr>
            <w:tcW w:w="2136"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rPr>
                <w:rFonts w:ascii="Calibri" w:eastAsia="Times New Roman" w:hAnsi="Calibri" w:cs="Calibri"/>
                <w:b/>
                <w:bCs/>
                <w:color w:val="000000"/>
                <w:u w:val="single"/>
              </w:rPr>
            </w:pPr>
            <w:r w:rsidRPr="000F524C">
              <w:rPr>
                <w:rFonts w:ascii="Calibri" w:eastAsia="Times New Roman" w:hAnsi="Calibri" w:cs="Calibri"/>
                <w:b/>
                <w:bCs/>
                <w:color w:val="000000"/>
                <w:u w:val="single"/>
              </w:rPr>
              <w:t>WACC</w:t>
            </w:r>
          </w:p>
        </w:tc>
        <w:tc>
          <w:tcPr>
            <w:tcW w:w="1436" w:type="dxa"/>
            <w:tcBorders>
              <w:top w:val="nil"/>
              <w:left w:val="nil"/>
              <w:bottom w:val="nil"/>
              <w:right w:val="nil"/>
            </w:tcBorders>
            <w:shd w:val="clear" w:color="auto" w:fill="auto"/>
            <w:noWrap/>
            <w:vAlign w:val="bottom"/>
            <w:hideMark/>
          </w:tcPr>
          <w:p w:rsidR="000F524C" w:rsidRPr="00334588" w:rsidRDefault="000F524C" w:rsidP="000F524C">
            <w:pPr>
              <w:spacing w:after="0" w:line="240" w:lineRule="auto"/>
              <w:jc w:val="right"/>
              <w:rPr>
                <w:rFonts w:ascii="Calibri" w:eastAsia="Times New Roman" w:hAnsi="Calibri" w:cs="Calibri"/>
                <w:b/>
                <w:color w:val="000000"/>
              </w:rPr>
            </w:pPr>
            <w:r w:rsidRPr="00334588">
              <w:rPr>
                <w:rFonts w:ascii="Calibri" w:eastAsia="Times New Roman" w:hAnsi="Calibri" w:cs="Calibri"/>
                <w:b/>
                <w:color w:val="000000"/>
              </w:rPr>
              <w:t>5.96%</w:t>
            </w:r>
          </w:p>
        </w:tc>
        <w:tc>
          <w:tcPr>
            <w:tcW w:w="2240" w:type="dxa"/>
            <w:tcBorders>
              <w:top w:val="nil"/>
              <w:left w:val="nil"/>
              <w:bottom w:val="nil"/>
              <w:right w:val="nil"/>
            </w:tcBorders>
            <w:shd w:val="clear" w:color="auto" w:fill="auto"/>
            <w:noWrap/>
            <w:vAlign w:val="bottom"/>
            <w:hideMark/>
          </w:tcPr>
          <w:p w:rsidR="000F524C" w:rsidRPr="000F524C" w:rsidRDefault="000F524C" w:rsidP="000F524C">
            <w:pPr>
              <w:spacing w:after="0" w:line="240" w:lineRule="auto"/>
              <w:jc w:val="right"/>
              <w:rPr>
                <w:rFonts w:ascii="Calibri" w:eastAsia="Times New Roman" w:hAnsi="Calibri" w:cs="Calibri"/>
                <w:color w:val="000000"/>
              </w:rPr>
            </w:pPr>
          </w:p>
        </w:tc>
      </w:tr>
    </w:tbl>
    <w:p w:rsidR="00B17F3C" w:rsidRDefault="00B17F3C"/>
    <w:p w:rsidR="003D6F08" w:rsidRDefault="003D6F08">
      <w:r>
        <w:t>Discounted Earnings Model</w:t>
      </w:r>
      <w:r w:rsidR="00631FF0">
        <w:t>, Valuation differences</w:t>
      </w:r>
    </w:p>
    <w:p w:rsidR="003D6F08" w:rsidRDefault="00711680">
      <w:r>
        <w:lastRenderedPageBreak/>
        <w:t>Similar to the abnormal earnings m</w:t>
      </w:r>
      <w:r w:rsidR="00841D7D">
        <w:t>odel, the forecasts outlined in various cases were implemented and hence determined</w:t>
      </w:r>
      <w:r>
        <w:t xml:space="preserve"> earnings in this model. However, this is simply discounted back by the calculated weighted average cost of capital </w:t>
      </w:r>
      <w:r w:rsidR="00841D7D">
        <w:t>in contrast to</w:t>
      </w:r>
      <w:r>
        <w:t xml:space="preserve"> </w:t>
      </w:r>
      <w:r w:rsidR="00631FF0">
        <w:t xml:space="preserve">calculating excess earnings. </w:t>
      </w:r>
    </w:p>
    <w:p w:rsidR="00267C35" w:rsidRDefault="00926CB5">
      <w:r>
        <w:t xml:space="preserve">At </w:t>
      </w:r>
      <w:r w:rsidR="00841D7D">
        <w:t xml:space="preserve">base scenario, the intrinsic value per share was determined at $59, similar to that of the abnormal model and the current price. </w:t>
      </w:r>
      <w:r w:rsidR="00AC58F5">
        <w:t xml:space="preserve">This valuation reflects similar market sentiment and forecasts as our base case. What is intriguing is the stark difference in valuation between abnormal and discounted earnings model in pessimistic and optimistic scenarios, with a greater variance in the pessimistic projection. These differences, as highlighted in the table below are not only due to the difference in discount rate calculations but the methodology of valuation itself. Broadly, the AE (Abnormal Earnings) model is more conservative in its valuation due to the excess income required to make </w:t>
      </w:r>
      <w:r w:rsidR="00F409F7">
        <w:t>incremental</w:t>
      </w:r>
      <w:r w:rsidR="00AC58F5">
        <w:t xml:space="preserve"> impact-resulting in valuation in scenarios are lower for AE. When our pessimistic scenario adjusts greater headwinds (higher COGS, operating expenses), the effect is compounded as</w:t>
      </w:r>
      <w:r>
        <w:t xml:space="preserve"> excess earnings remains </w:t>
      </w:r>
      <w:r w:rsidR="00725F18">
        <w:t>very limited</w:t>
      </w:r>
      <w:r>
        <w:t xml:space="preserve">. As a result, these differences are reflected in the </w:t>
      </w:r>
      <w:r w:rsidR="00F409F7">
        <w:t xml:space="preserve">large </w:t>
      </w:r>
      <w:r>
        <w:t>difference of $20 per share between AE and the Discounted Earnings Model. In contrast, the optimistic scenario yields valuation</w:t>
      </w:r>
      <w:r w:rsidR="00725F18">
        <w:t>s</w:t>
      </w:r>
      <w:r>
        <w:t xml:space="preserve"> of 69 and 80 respectively, illustrating the conservative nature of the AE model. </w:t>
      </w:r>
    </w:p>
    <w:p w:rsidR="00926CB5" w:rsidRDefault="00926CB5">
      <w:r>
        <w:t>Sensitivity Analysis, Risk Factors</w:t>
      </w:r>
    </w:p>
    <w:p w:rsidR="00053697" w:rsidRDefault="00725F18">
      <w:r>
        <w:t xml:space="preserve">In the developed models, there are significant forecast assumptions in the business models revenue and cost structure that have significant impacts on intrinsic valuation. Utilizing the base scenario as our starting point, percentage </w:t>
      </w:r>
      <w:r w:rsidR="001F675A">
        <w:t>fluctuations in revenue and operating impacts have a substantial impact on share price</w:t>
      </w:r>
      <w:r w:rsidR="00EC671B">
        <w:t xml:space="preserve"> as illustrated in the table below</w:t>
      </w:r>
      <w:r w:rsidR="001F675A">
        <w:t xml:space="preserve">. The value in this analysis is its effectiveness as a tool for assessing the impact of current cost cutting initiatives such as project catalyst, compass and HMM embedded in our forecast. </w:t>
      </w:r>
      <w:r w:rsidR="00EC671B">
        <w:t xml:space="preserve">In addition, we can address </w:t>
      </w:r>
      <w:r w:rsidR="001F675A">
        <w:t xml:space="preserve">risks of underperformance in growth, productivity improvements and external forces such as rise in taxes or labour wage increases can be measured. </w:t>
      </w:r>
      <w:r w:rsidR="00EC671B">
        <w:t xml:space="preserve">What is evident are less absolute impacts on the AE model- explained by its methodology and conservative valuation method (excess income). Based on the analysis, the most apparent risk factors lie in the business’s growth followed by tax rate fluctuations and Cost of Goods sold. Due to our assumptions that we cannot influence external forces such as taxes, it is evident that the success or failure of the firm will lie in executing cost savings and driving growth in its product through marketing, acquisitions or R&amp;D in natural/organic products. </w:t>
      </w:r>
    </w:p>
    <w:tbl>
      <w:tblPr>
        <w:tblW w:w="4723" w:type="dxa"/>
        <w:tblLook w:val="04A0" w:firstRow="1" w:lastRow="0" w:firstColumn="1" w:lastColumn="0" w:noHBand="0" w:noVBand="1"/>
      </w:tblPr>
      <w:tblGrid>
        <w:gridCol w:w="2456"/>
        <w:gridCol w:w="1256"/>
        <w:gridCol w:w="1249"/>
      </w:tblGrid>
      <w:tr w:rsidR="00725F18" w:rsidRPr="00725F18" w:rsidTr="00725F18">
        <w:trPr>
          <w:trHeight w:val="300"/>
        </w:trPr>
        <w:tc>
          <w:tcPr>
            <w:tcW w:w="2456" w:type="dxa"/>
            <w:tcBorders>
              <w:top w:val="nil"/>
              <w:left w:val="nil"/>
              <w:bottom w:val="nil"/>
              <w:right w:val="nil"/>
            </w:tcBorders>
            <w:shd w:val="clear" w:color="auto" w:fill="auto"/>
            <w:noWrap/>
            <w:vAlign w:val="bottom"/>
            <w:hideMark/>
          </w:tcPr>
          <w:p w:rsidR="00725F18" w:rsidRPr="00F409F7" w:rsidRDefault="00F409F7" w:rsidP="00725F18">
            <w:pPr>
              <w:spacing w:after="0" w:line="240" w:lineRule="auto"/>
              <w:rPr>
                <w:rFonts w:ascii="Calibri" w:eastAsia="Times New Roman" w:hAnsi="Calibri" w:cs="Calibri"/>
                <w:b/>
                <w:color w:val="000000"/>
              </w:rPr>
            </w:pPr>
            <w:r>
              <w:rPr>
                <w:rFonts w:ascii="Calibri" w:eastAsia="Times New Roman" w:hAnsi="Calibri" w:cs="Calibri"/>
                <w:b/>
                <w:color w:val="000000"/>
              </w:rPr>
              <w:t xml:space="preserve">Impact on </w:t>
            </w:r>
            <w:r w:rsidR="001F675A" w:rsidRPr="00F409F7">
              <w:rPr>
                <w:rFonts w:ascii="Calibri" w:eastAsia="Times New Roman" w:hAnsi="Calibri" w:cs="Calibri"/>
                <w:b/>
                <w:color w:val="000000"/>
              </w:rPr>
              <w:t>Share Price</w:t>
            </w:r>
          </w:p>
        </w:tc>
        <w:tc>
          <w:tcPr>
            <w:tcW w:w="1256" w:type="dxa"/>
            <w:tcBorders>
              <w:top w:val="nil"/>
              <w:left w:val="nil"/>
              <w:bottom w:val="nil"/>
              <w:right w:val="nil"/>
            </w:tcBorders>
            <w:shd w:val="clear" w:color="auto" w:fill="auto"/>
            <w:noWrap/>
            <w:vAlign w:val="bottom"/>
            <w:hideMark/>
          </w:tcPr>
          <w:p w:rsidR="00725F18" w:rsidRPr="00F409F7" w:rsidRDefault="00725F18" w:rsidP="00725F18">
            <w:pPr>
              <w:spacing w:after="0" w:line="240" w:lineRule="auto"/>
              <w:rPr>
                <w:rFonts w:ascii="Calibri" w:eastAsia="Times New Roman" w:hAnsi="Calibri" w:cs="Calibri"/>
                <w:b/>
                <w:color w:val="000000"/>
              </w:rPr>
            </w:pPr>
            <w:r w:rsidRPr="00F409F7">
              <w:rPr>
                <w:rFonts w:ascii="Calibri" w:eastAsia="Times New Roman" w:hAnsi="Calibri" w:cs="Calibri"/>
                <w:b/>
                <w:color w:val="000000"/>
              </w:rPr>
              <w:t>Abnormal Earnings Model</w:t>
            </w:r>
          </w:p>
        </w:tc>
        <w:tc>
          <w:tcPr>
            <w:tcW w:w="1011" w:type="dxa"/>
            <w:tcBorders>
              <w:top w:val="nil"/>
              <w:left w:val="nil"/>
              <w:bottom w:val="nil"/>
              <w:right w:val="nil"/>
            </w:tcBorders>
            <w:shd w:val="clear" w:color="auto" w:fill="auto"/>
            <w:noWrap/>
            <w:vAlign w:val="bottom"/>
            <w:hideMark/>
          </w:tcPr>
          <w:p w:rsidR="00725F18" w:rsidRPr="00F409F7" w:rsidRDefault="00725F18" w:rsidP="00725F18">
            <w:pPr>
              <w:spacing w:after="0" w:line="240" w:lineRule="auto"/>
              <w:rPr>
                <w:rFonts w:ascii="Calibri" w:eastAsia="Times New Roman" w:hAnsi="Calibri" w:cs="Calibri"/>
                <w:b/>
                <w:color w:val="000000"/>
              </w:rPr>
            </w:pPr>
            <w:r w:rsidRPr="00F409F7">
              <w:rPr>
                <w:rFonts w:ascii="Calibri" w:eastAsia="Times New Roman" w:hAnsi="Calibri" w:cs="Calibri"/>
                <w:b/>
                <w:color w:val="000000"/>
              </w:rPr>
              <w:t>Discounted Earnings Model</w:t>
            </w:r>
          </w:p>
        </w:tc>
      </w:tr>
      <w:tr w:rsidR="00725F18" w:rsidRPr="00725F18" w:rsidTr="00725F18">
        <w:trPr>
          <w:trHeight w:val="300"/>
        </w:trPr>
        <w:tc>
          <w:tcPr>
            <w:tcW w:w="2456" w:type="dxa"/>
            <w:tcBorders>
              <w:top w:val="nil"/>
              <w:left w:val="nil"/>
              <w:bottom w:val="nil"/>
              <w:right w:val="nil"/>
            </w:tcBorders>
            <w:shd w:val="clear" w:color="auto" w:fill="auto"/>
            <w:noWrap/>
            <w:vAlign w:val="bottom"/>
            <w:hideMark/>
          </w:tcPr>
          <w:p w:rsidR="00725F18" w:rsidRPr="00725F18" w:rsidRDefault="00725F18" w:rsidP="001F675A">
            <w:pPr>
              <w:spacing w:after="0" w:line="240" w:lineRule="auto"/>
              <w:rPr>
                <w:rFonts w:ascii="Calibri" w:eastAsia="Times New Roman" w:hAnsi="Calibri" w:cs="Calibri"/>
                <w:color w:val="000000"/>
              </w:rPr>
            </w:pPr>
            <w:r w:rsidRPr="00725F18">
              <w:rPr>
                <w:rFonts w:ascii="Calibri" w:eastAsia="Times New Roman" w:hAnsi="Calibri" w:cs="Calibri"/>
                <w:color w:val="000000"/>
              </w:rPr>
              <w:t xml:space="preserve">1% </w:t>
            </w:r>
            <w:r w:rsidR="001F675A">
              <w:rPr>
                <w:rFonts w:ascii="Calibri" w:eastAsia="Times New Roman" w:hAnsi="Calibri" w:cs="Calibri"/>
                <w:color w:val="000000"/>
              </w:rPr>
              <w:t>+</w:t>
            </w:r>
            <w:r w:rsidRPr="00725F18">
              <w:rPr>
                <w:rFonts w:ascii="Calibri" w:eastAsia="Times New Roman" w:hAnsi="Calibri" w:cs="Calibri"/>
                <w:color w:val="000000"/>
              </w:rPr>
              <w:t xml:space="preserve"> Revenue</w:t>
            </w:r>
          </w:p>
        </w:tc>
        <w:tc>
          <w:tcPr>
            <w:tcW w:w="1256"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+3.2</w:t>
            </w:r>
          </w:p>
        </w:tc>
        <w:tc>
          <w:tcPr>
            <w:tcW w:w="1011"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+4.2</w:t>
            </w:r>
          </w:p>
        </w:tc>
      </w:tr>
      <w:tr w:rsidR="00725F18" w:rsidRPr="00725F18" w:rsidTr="00725F18">
        <w:trPr>
          <w:trHeight w:val="300"/>
        </w:trPr>
        <w:tc>
          <w:tcPr>
            <w:tcW w:w="2456" w:type="dxa"/>
            <w:tcBorders>
              <w:top w:val="nil"/>
              <w:left w:val="nil"/>
              <w:bottom w:val="nil"/>
              <w:right w:val="nil"/>
            </w:tcBorders>
            <w:shd w:val="clear" w:color="auto" w:fill="auto"/>
            <w:noWrap/>
            <w:vAlign w:val="bottom"/>
            <w:hideMark/>
          </w:tcPr>
          <w:p w:rsidR="00725F18" w:rsidRPr="00725F18" w:rsidRDefault="00725F18" w:rsidP="001F675A">
            <w:pPr>
              <w:spacing w:after="0" w:line="240" w:lineRule="auto"/>
              <w:rPr>
                <w:rFonts w:ascii="Calibri" w:eastAsia="Times New Roman" w:hAnsi="Calibri" w:cs="Calibri"/>
                <w:color w:val="000000"/>
              </w:rPr>
            </w:pPr>
            <w:r w:rsidRPr="00725F18">
              <w:rPr>
                <w:rFonts w:ascii="Calibri" w:eastAsia="Times New Roman" w:hAnsi="Calibri" w:cs="Calibri"/>
                <w:color w:val="000000"/>
              </w:rPr>
              <w:t xml:space="preserve">1% </w:t>
            </w:r>
            <w:r w:rsidR="001F675A">
              <w:rPr>
                <w:rFonts w:ascii="Calibri" w:eastAsia="Times New Roman" w:hAnsi="Calibri" w:cs="Calibri"/>
                <w:color w:val="000000"/>
              </w:rPr>
              <w:t>-</w:t>
            </w:r>
            <w:r w:rsidRPr="00725F18">
              <w:rPr>
                <w:rFonts w:ascii="Calibri" w:eastAsia="Times New Roman" w:hAnsi="Calibri" w:cs="Calibri"/>
                <w:color w:val="000000"/>
              </w:rPr>
              <w:t xml:space="preserve"> Revenue</w:t>
            </w:r>
          </w:p>
        </w:tc>
        <w:tc>
          <w:tcPr>
            <w:tcW w:w="1256"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-2.1</w:t>
            </w:r>
          </w:p>
        </w:tc>
        <w:tc>
          <w:tcPr>
            <w:tcW w:w="1011"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-1.9</w:t>
            </w:r>
          </w:p>
        </w:tc>
      </w:tr>
      <w:tr w:rsidR="00725F18" w:rsidRPr="00725F18" w:rsidTr="00725F18">
        <w:trPr>
          <w:trHeight w:val="300"/>
        </w:trPr>
        <w:tc>
          <w:tcPr>
            <w:tcW w:w="2456" w:type="dxa"/>
            <w:tcBorders>
              <w:top w:val="nil"/>
              <w:left w:val="nil"/>
              <w:bottom w:val="nil"/>
              <w:right w:val="nil"/>
            </w:tcBorders>
            <w:shd w:val="clear" w:color="auto" w:fill="auto"/>
            <w:noWrap/>
            <w:vAlign w:val="bottom"/>
            <w:hideMark/>
          </w:tcPr>
          <w:p w:rsidR="00725F18" w:rsidRPr="00725F18" w:rsidRDefault="00725F18" w:rsidP="001F675A">
            <w:pPr>
              <w:spacing w:after="0" w:line="240" w:lineRule="auto"/>
              <w:rPr>
                <w:rFonts w:ascii="Calibri" w:eastAsia="Times New Roman" w:hAnsi="Calibri" w:cs="Calibri"/>
                <w:color w:val="000000"/>
              </w:rPr>
            </w:pPr>
            <w:r w:rsidRPr="00725F18">
              <w:rPr>
                <w:rFonts w:ascii="Calibri" w:eastAsia="Times New Roman" w:hAnsi="Calibri" w:cs="Calibri"/>
                <w:color w:val="000000"/>
              </w:rPr>
              <w:t xml:space="preserve">1% </w:t>
            </w:r>
            <w:r w:rsidR="001F675A">
              <w:rPr>
                <w:rFonts w:ascii="Calibri" w:eastAsia="Times New Roman" w:hAnsi="Calibri" w:cs="Calibri"/>
                <w:color w:val="000000"/>
              </w:rPr>
              <w:t>+</w:t>
            </w:r>
            <w:r w:rsidRPr="00725F18">
              <w:rPr>
                <w:rFonts w:ascii="Calibri" w:eastAsia="Times New Roman" w:hAnsi="Calibri" w:cs="Calibri"/>
                <w:color w:val="000000"/>
              </w:rPr>
              <w:t xml:space="preserve"> in COGS</w:t>
            </w:r>
          </w:p>
        </w:tc>
        <w:tc>
          <w:tcPr>
            <w:tcW w:w="1256"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-1.5</w:t>
            </w:r>
          </w:p>
        </w:tc>
        <w:tc>
          <w:tcPr>
            <w:tcW w:w="1011"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-1.2</w:t>
            </w:r>
          </w:p>
        </w:tc>
      </w:tr>
      <w:tr w:rsidR="00725F18" w:rsidRPr="00725F18" w:rsidTr="00725F18">
        <w:trPr>
          <w:trHeight w:val="300"/>
        </w:trPr>
        <w:tc>
          <w:tcPr>
            <w:tcW w:w="2456" w:type="dxa"/>
            <w:tcBorders>
              <w:top w:val="nil"/>
              <w:left w:val="nil"/>
              <w:bottom w:val="nil"/>
              <w:right w:val="nil"/>
            </w:tcBorders>
            <w:shd w:val="clear" w:color="auto" w:fill="auto"/>
            <w:noWrap/>
            <w:vAlign w:val="bottom"/>
            <w:hideMark/>
          </w:tcPr>
          <w:p w:rsidR="00725F18" w:rsidRPr="00725F18" w:rsidRDefault="00725F18" w:rsidP="001F675A">
            <w:pPr>
              <w:spacing w:after="0" w:line="240" w:lineRule="auto"/>
              <w:rPr>
                <w:rFonts w:ascii="Calibri" w:eastAsia="Times New Roman" w:hAnsi="Calibri" w:cs="Calibri"/>
                <w:color w:val="000000"/>
              </w:rPr>
            </w:pPr>
            <w:r w:rsidRPr="00725F18">
              <w:rPr>
                <w:rFonts w:ascii="Calibri" w:eastAsia="Times New Roman" w:hAnsi="Calibri" w:cs="Calibri"/>
                <w:color w:val="000000"/>
              </w:rPr>
              <w:t xml:space="preserve">1% </w:t>
            </w:r>
            <w:r w:rsidR="001F675A">
              <w:rPr>
                <w:rFonts w:ascii="Calibri" w:eastAsia="Times New Roman" w:hAnsi="Calibri" w:cs="Calibri"/>
                <w:color w:val="000000"/>
              </w:rPr>
              <w:t>-</w:t>
            </w:r>
            <w:r w:rsidRPr="00725F18">
              <w:rPr>
                <w:rFonts w:ascii="Calibri" w:eastAsia="Times New Roman" w:hAnsi="Calibri" w:cs="Calibri"/>
                <w:color w:val="000000"/>
              </w:rPr>
              <w:t xml:space="preserve"> in COGS</w:t>
            </w:r>
          </w:p>
        </w:tc>
        <w:tc>
          <w:tcPr>
            <w:tcW w:w="1256"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+1.7</w:t>
            </w:r>
          </w:p>
        </w:tc>
        <w:tc>
          <w:tcPr>
            <w:tcW w:w="1011"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+1.5</w:t>
            </w:r>
          </w:p>
        </w:tc>
      </w:tr>
      <w:tr w:rsidR="00725F18" w:rsidRPr="00725F18" w:rsidTr="00725F18">
        <w:trPr>
          <w:trHeight w:val="300"/>
        </w:trPr>
        <w:tc>
          <w:tcPr>
            <w:tcW w:w="2456" w:type="dxa"/>
            <w:tcBorders>
              <w:top w:val="nil"/>
              <w:left w:val="nil"/>
              <w:bottom w:val="nil"/>
              <w:right w:val="nil"/>
            </w:tcBorders>
            <w:shd w:val="clear" w:color="auto" w:fill="auto"/>
            <w:noWrap/>
            <w:vAlign w:val="bottom"/>
            <w:hideMark/>
          </w:tcPr>
          <w:p w:rsidR="00725F18" w:rsidRPr="00725F18" w:rsidRDefault="00725F18" w:rsidP="001F675A">
            <w:pPr>
              <w:spacing w:after="0" w:line="240" w:lineRule="auto"/>
              <w:rPr>
                <w:rFonts w:ascii="Calibri" w:eastAsia="Times New Roman" w:hAnsi="Calibri" w:cs="Calibri"/>
                <w:color w:val="000000"/>
              </w:rPr>
            </w:pPr>
            <w:r w:rsidRPr="00725F18">
              <w:rPr>
                <w:rFonts w:ascii="Calibri" w:eastAsia="Times New Roman" w:hAnsi="Calibri" w:cs="Calibri"/>
                <w:color w:val="000000"/>
              </w:rPr>
              <w:t xml:space="preserve">1% </w:t>
            </w:r>
            <w:r w:rsidR="001F675A">
              <w:rPr>
                <w:rFonts w:ascii="Calibri" w:eastAsia="Times New Roman" w:hAnsi="Calibri" w:cs="Calibri"/>
                <w:color w:val="000000"/>
              </w:rPr>
              <w:t>+</w:t>
            </w:r>
            <w:r w:rsidRPr="00725F18">
              <w:rPr>
                <w:rFonts w:ascii="Calibri" w:eastAsia="Times New Roman" w:hAnsi="Calibri" w:cs="Calibri"/>
                <w:color w:val="000000"/>
              </w:rPr>
              <w:t xml:space="preserve"> in SG&amp;A</w:t>
            </w:r>
          </w:p>
        </w:tc>
        <w:tc>
          <w:tcPr>
            <w:tcW w:w="1256"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-1.4</w:t>
            </w:r>
          </w:p>
        </w:tc>
        <w:tc>
          <w:tcPr>
            <w:tcW w:w="1011"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-1.1</w:t>
            </w:r>
          </w:p>
        </w:tc>
      </w:tr>
      <w:tr w:rsidR="00725F18" w:rsidRPr="00725F18" w:rsidTr="00725F18">
        <w:trPr>
          <w:trHeight w:val="300"/>
        </w:trPr>
        <w:tc>
          <w:tcPr>
            <w:tcW w:w="2456" w:type="dxa"/>
            <w:tcBorders>
              <w:top w:val="nil"/>
              <w:left w:val="nil"/>
              <w:bottom w:val="nil"/>
              <w:right w:val="nil"/>
            </w:tcBorders>
            <w:shd w:val="clear" w:color="auto" w:fill="auto"/>
            <w:noWrap/>
            <w:vAlign w:val="bottom"/>
            <w:hideMark/>
          </w:tcPr>
          <w:p w:rsidR="00725F18" w:rsidRPr="00725F18" w:rsidRDefault="00725F18" w:rsidP="001F675A">
            <w:pPr>
              <w:spacing w:after="0" w:line="240" w:lineRule="auto"/>
              <w:rPr>
                <w:rFonts w:ascii="Calibri" w:eastAsia="Times New Roman" w:hAnsi="Calibri" w:cs="Calibri"/>
                <w:color w:val="000000"/>
              </w:rPr>
            </w:pPr>
            <w:r w:rsidRPr="00725F18">
              <w:rPr>
                <w:rFonts w:ascii="Calibri" w:eastAsia="Times New Roman" w:hAnsi="Calibri" w:cs="Calibri"/>
                <w:color w:val="000000"/>
              </w:rPr>
              <w:t xml:space="preserve">1% </w:t>
            </w:r>
            <w:r w:rsidR="001F675A">
              <w:rPr>
                <w:rFonts w:ascii="Calibri" w:eastAsia="Times New Roman" w:hAnsi="Calibri" w:cs="Calibri"/>
                <w:color w:val="000000"/>
              </w:rPr>
              <w:t>-</w:t>
            </w:r>
            <w:r w:rsidRPr="00725F18">
              <w:rPr>
                <w:rFonts w:ascii="Calibri" w:eastAsia="Times New Roman" w:hAnsi="Calibri" w:cs="Calibri"/>
                <w:color w:val="000000"/>
              </w:rPr>
              <w:t xml:space="preserve"> in SG&amp;A</w:t>
            </w:r>
          </w:p>
        </w:tc>
        <w:tc>
          <w:tcPr>
            <w:tcW w:w="1256"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+1.6</w:t>
            </w:r>
          </w:p>
        </w:tc>
        <w:tc>
          <w:tcPr>
            <w:tcW w:w="1011"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+2.1</w:t>
            </w:r>
          </w:p>
        </w:tc>
      </w:tr>
      <w:tr w:rsidR="00725F18" w:rsidRPr="00725F18" w:rsidTr="00725F18">
        <w:trPr>
          <w:trHeight w:val="300"/>
        </w:trPr>
        <w:tc>
          <w:tcPr>
            <w:tcW w:w="2456" w:type="dxa"/>
            <w:tcBorders>
              <w:top w:val="nil"/>
              <w:left w:val="nil"/>
              <w:bottom w:val="nil"/>
              <w:right w:val="nil"/>
            </w:tcBorders>
            <w:shd w:val="clear" w:color="auto" w:fill="auto"/>
            <w:noWrap/>
            <w:vAlign w:val="bottom"/>
            <w:hideMark/>
          </w:tcPr>
          <w:p w:rsidR="00725F18" w:rsidRPr="00725F18" w:rsidRDefault="00725F18" w:rsidP="001F675A">
            <w:pPr>
              <w:spacing w:after="0" w:line="240" w:lineRule="auto"/>
              <w:rPr>
                <w:rFonts w:ascii="Calibri" w:eastAsia="Times New Roman" w:hAnsi="Calibri" w:cs="Calibri"/>
                <w:color w:val="000000"/>
              </w:rPr>
            </w:pPr>
            <w:r w:rsidRPr="00725F18">
              <w:rPr>
                <w:rFonts w:ascii="Calibri" w:eastAsia="Times New Roman" w:hAnsi="Calibri" w:cs="Calibri"/>
                <w:color w:val="000000"/>
              </w:rPr>
              <w:lastRenderedPageBreak/>
              <w:t xml:space="preserve">1% </w:t>
            </w:r>
            <w:r w:rsidR="001F675A">
              <w:rPr>
                <w:rFonts w:ascii="Calibri" w:eastAsia="Times New Roman" w:hAnsi="Calibri" w:cs="Calibri"/>
                <w:color w:val="000000"/>
              </w:rPr>
              <w:t>+</w:t>
            </w:r>
            <w:r w:rsidRPr="00725F18">
              <w:rPr>
                <w:rFonts w:ascii="Calibri" w:eastAsia="Times New Roman" w:hAnsi="Calibri" w:cs="Calibri"/>
                <w:color w:val="000000"/>
              </w:rPr>
              <w:t xml:space="preserve"> in Tax Rate</w:t>
            </w:r>
          </w:p>
        </w:tc>
        <w:tc>
          <w:tcPr>
            <w:tcW w:w="1256"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-2.6</w:t>
            </w:r>
          </w:p>
        </w:tc>
        <w:tc>
          <w:tcPr>
            <w:tcW w:w="1011"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-3.1</w:t>
            </w:r>
          </w:p>
        </w:tc>
      </w:tr>
      <w:tr w:rsidR="00725F18" w:rsidRPr="00725F18" w:rsidTr="00725F18">
        <w:trPr>
          <w:trHeight w:val="300"/>
        </w:trPr>
        <w:tc>
          <w:tcPr>
            <w:tcW w:w="2456" w:type="dxa"/>
            <w:tcBorders>
              <w:top w:val="nil"/>
              <w:left w:val="nil"/>
              <w:bottom w:val="nil"/>
              <w:right w:val="nil"/>
            </w:tcBorders>
            <w:shd w:val="clear" w:color="auto" w:fill="auto"/>
            <w:noWrap/>
            <w:vAlign w:val="bottom"/>
            <w:hideMark/>
          </w:tcPr>
          <w:p w:rsidR="00725F18" w:rsidRPr="00725F18" w:rsidRDefault="00725F18" w:rsidP="001F675A">
            <w:pPr>
              <w:spacing w:after="0" w:line="240" w:lineRule="auto"/>
              <w:rPr>
                <w:rFonts w:ascii="Calibri" w:eastAsia="Times New Roman" w:hAnsi="Calibri" w:cs="Calibri"/>
                <w:color w:val="000000"/>
              </w:rPr>
            </w:pPr>
            <w:r w:rsidRPr="00725F18">
              <w:rPr>
                <w:rFonts w:ascii="Calibri" w:eastAsia="Times New Roman" w:hAnsi="Calibri" w:cs="Calibri"/>
                <w:color w:val="000000"/>
              </w:rPr>
              <w:t xml:space="preserve">1% </w:t>
            </w:r>
            <w:r w:rsidR="001F675A">
              <w:rPr>
                <w:rFonts w:ascii="Calibri" w:eastAsia="Times New Roman" w:hAnsi="Calibri" w:cs="Calibri"/>
                <w:color w:val="000000"/>
              </w:rPr>
              <w:t>-</w:t>
            </w:r>
            <w:r w:rsidRPr="00725F18">
              <w:rPr>
                <w:rFonts w:ascii="Calibri" w:eastAsia="Times New Roman" w:hAnsi="Calibri" w:cs="Calibri"/>
                <w:color w:val="000000"/>
              </w:rPr>
              <w:t xml:space="preserve"> in Tax Rate</w:t>
            </w:r>
          </w:p>
        </w:tc>
        <w:tc>
          <w:tcPr>
            <w:tcW w:w="1256"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+3.0</w:t>
            </w:r>
          </w:p>
        </w:tc>
        <w:tc>
          <w:tcPr>
            <w:tcW w:w="1011" w:type="dxa"/>
            <w:tcBorders>
              <w:top w:val="nil"/>
              <w:left w:val="nil"/>
              <w:bottom w:val="nil"/>
              <w:right w:val="nil"/>
            </w:tcBorders>
            <w:shd w:val="clear" w:color="auto" w:fill="auto"/>
            <w:noWrap/>
            <w:vAlign w:val="center"/>
            <w:hideMark/>
          </w:tcPr>
          <w:p w:rsidR="00725F18" w:rsidRPr="00725F18" w:rsidRDefault="00725F18" w:rsidP="00725F18">
            <w:pPr>
              <w:spacing w:after="0" w:line="240" w:lineRule="auto"/>
              <w:jc w:val="center"/>
              <w:rPr>
                <w:rFonts w:ascii="Calibri" w:eastAsia="Times New Roman" w:hAnsi="Calibri" w:cs="Calibri"/>
                <w:color w:val="000000"/>
              </w:rPr>
            </w:pPr>
            <w:r w:rsidRPr="00725F18">
              <w:rPr>
                <w:rFonts w:ascii="Calibri" w:eastAsia="Times New Roman" w:hAnsi="Calibri" w:cs="Calibri"/>
                <w:color w:val="000000"/>
              </w:rPr>
              <w:t>+3.7</w:t>
            </w:r>
          </w:p>
        </w:tc>
      </w:tr>
    </w:tbl>
    <w:p w:rsidR="00725F18" w:rsidRDefault="00725F18"/>
    <w:p w:rsidR="00926CB5" w:rsidRDefault="00926CB5">
      <w:r>
        <w:t>Recommendation- SELL</w:t>
      </w:r>
    </w:p>
    <w:p w:rsidR="00267C35" w:rsidRDefault="00FB3839">
      <w:r>
        <w:t xml:space="preserve">In our examination of this firm, we have considered many internal and external variables relevant to its business model. </w:t>
      </w:r>
      <w:r w:rsidR="00B31745">
        <w:t>These variables were used to create a detailed segmented bottoms up forecast of different possible scenarios. Using these assessments GM was valued using discounted earnings model as well as an abnormal earnings model. The evaluation undertaken illustrate a clear large downside risk illustrated in pessimistic and base case scenarios. Driven by productivity risks, consumer demand headwinds and rising costs, models indicate intrinsic values from $36-59</w:t>
      </w:r>
      <w:r w:rsidR="00C528EC">
        <w:t xml:space="preserve">. What is further concerning is the growth and benefits required to not only offset these risks but to increase its intrinsic value beyond its trading price. With our optimistic assumptions </w:t>
      </w:r>
      <w:r w:rsidR="007D3B10">
        <w:t>forecasting</w:t>
      </w:r>
      <w:r w:rsidR="00C528EC">
        <w:t xml:space="preserve"> growth rates of </w:t>
      </w:r>
      <w:r w:rsidR="007D3B10">
        <w:t xml:space="preserve">4.33% and success of operational efficiency initiatives only translating to $70 per share, it is apparent that investors are ultimately paying a small premium for few prospects. </w:t>
      </w:r>
    </w:p>
    <w:p w:rsidR="00F409F7" w:rsidRDefault="00F409F7">
      <w:pPr>
        <w:rPr>
          <w:b/>
        </w:rPr>
      </w:pPr>
    </w:p>
    <w:p w:rsidR="00F409F7" w:rsidRDefault="00F409F7">
      <w:pPr>
        <w:rPr>
          <w:b/>
        </w:rPr>
      </w:pPr>
    </w:p>
    <w:p w:rsidR="00F409F7" w:rsidRDefault="00F409F7">
      <w:pPr>
        <w:rPr>
          <w:b/>
        </w:rPr>
      </w:pPr>
    </w:p>
    <w:p w:rsidR="00F409F7" w:rsidRDefault="00F409F7">
      <w:pPr>
        <w:rPr>
          <w:b/>
        </w:rPr>
      </w:pPr>
    </w:p>
    <w:p w:rsidR="00F409F7" w:rsidRDefault="00F409F7">
      <w:pPr>
        <w:rPr>
          <w:b/>
        </w:rPr>
      </w:pPr>
    </w:p>
    <w:p w:rsidR="00F409F7" w:rsidRDefault="00F409F7">
      <w:pPr>
        <w:rPr>
          <w:b/>
        </w:rPr>
      </w:pPr>
    </w:p>
    <w:p w:rsidR="00F409F7" w:rsidRDefault="00F409F7">
      <w:pPr>
        <w:rPr>
          <w:b/>
        </w:rPr>
      </w:pPr>
    </w:p>
    <w:p w:rsidR="00F409F7" w:rsidRDefault="00F409F7">
      <w:pPr>
        <w:rPr>
          <w:b/>
        </w:rPr>
      </w:pPr>
    </w:p>
    <w:p w:rsidR="00F409F7" w:rsidRDefault="00F409F7">
      <w:pPr>
        <w:rPr>
          <w:b/>
        </w:rPr>
      </w:pPr>
    </w:p>
    <w:p w:rsidR="00F409F7" w:rsidRDefault="00F409F7">
      <w:pPr>
        <w:rPr>
          <w:b/>
        </w:rPr>
      </w:pPr>
    </w:p>
    <w:p w:rsidR="00F409F7" w:rsidRDefault="00F409F7">
      <w:pPr>
        <w:rPr>
          <w:b/>
        </w:rPr>
      </w:pPr>
    </w:p>
    <w:p w:rsidR="00F409F7" w:rsidRDefault="00F409F7">
      <w:pPr>
        <w:rPr>
          <w:b/>
        </w:rPr>
      </w:pPr>
    </w:p>
    <w:p w:rsidR="00F409F7" w:rsidRDefault="00F409F7">
      <w:pPr>
        <w:rPr>
          <w:b/>
        </w:rPr>
      </w:pPr>
    </w:p>
    <w:p w:rsidR="00F409F7" w:rsidRDefault="00F409F7">
      <w:pPr>
        <w:rPr>
          <w:b/>
        </w:rPr>
      </w:pPr>
    </w:p>
    <w:p w:rsidR="007D3B10" w:rsidRPr="007D3B10" w:rsidRDefault="007D3B10">
      <w:pPr>
        <w:rPr>
          <w:b/>
        </w:rPr>
      </w:pPr>
      <w:r w:rsidRPr="007D3B10">
        <w:rPr>
          <w:b/>
        </w:rPr>
        <w:t>Appendix</w:t>
      </w:r>
    </w:p>
    <w:p w:rsidR="007D3B10" w:rsidRPr="00C922FB" w:rsidRDefault="007D3B10">
      <w:pPr>
        <w:rPr>
          <w:b/>
          <w:u w:val="single"/>
        </w:rPr>
      </w:pPr>
      <w:r w:rsidRPr="00C922FB">
        <w:rPr>
          <w:b/>
          <w:u w:val="single"/>
        </w:rPr>
        <w:t>Segmented Revenue Growth Model</w:t>
      </w:r>
    </w:p>
    <w:p w:rsidR="007D3B10" w:rsidRPr="007D3B10" w:rsidRDefault="007D3B10">
      <w:pPr>
        <w:rPr>
          <w:b/>
        </w:rPr>
      </w:pPr>
      <w:r w:rsidRPr="007D3B10">
        <w:rPr>
          <w:b/>
        </w:rPr>
        <w:t>Base Case Growth Exhibit 1.</w:t>
      </w:r>
    </w:p>
    <w:tbl>
      <w:tblPr>
        <w:tblW w:w="12635" w:type="dxa"/>
        <w:tblLook w:val="04A0" w:firstRow="1" w:lastRow="0" w:firstColumn="1" w:lastColumn="0" w:noHBand="0" w:noVBand="1"/>
      </w:tblPr>
      <w:tblGrid>
        <w:gridCol w:w="873"/>
        <w:gridCol w:w="1802"/>
        <w:gridCol w:w="996"/>
        <w:gridCol w:w="996"/>
        <w:gridCol w:w="996"/>
        <w:gridCol w:w="996"/>
        <w:gridCol w:w="996"/>
        <w:gridCol w:w="996"/>
        <w:gridCol w:w="996"/>
        <w:gridCol w:w="996"/>
        <w:gridCol w:w="996"/>
        <w:gridCol w:w="996"/>
      </w:tblGrid>
      <w:tr w:rsidR="007D3B10" w:rsidRPr="007D3B10" w:rsidTr="007D3B10">
        <w:trPr>
          <w:trHeight w:val="274"/>
        </w:trPr>
        <w:tc>
          <w:tcPr>
            <w:tcW w:w="873" w:type="dxa"/>
            <w:tcBorders>
              <w:top w:val="nil"/>
              <w:left w:val="nil"/>
              <w:bottom w:val="nil"/>
              <w:right w:val="nil"/>
            </w:tcBorders>
            <w:shd w:val="clear" w:color="000000" w:fill="FFFFFF"/>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w:t>
            </w:r>
          </w:p>
        </w:tc>
        <w:tc>
          <w:tcPr>
            <w:tcW w:w="1801" w:type="dxa"/>
            <w:tcBorders>
              <w:top w:val="nil"/>
              <w:left w:val="nil"/>
              <w:bottom w:val="nil"/>
              <w:right w:val="nil"/>
            </w:tcBorders>
            <w:shd w:val="clear" w:color="000000" w:fill="FFFF00"/>
            <w:noWrap/>
            <w:vAlign w:val="bottom"/>
            <w:hideMark/>
          </w:tcPr>
          <w:p w:rsidR="007D3B10" w:rsidRPr="007D3B10" w:rsidRDefault="007D3B10" w:rsidP="007D3B10">
            <w:pPr>
              <w:spacing w:after="0" w:line="240" w:lineRule="auto"/>
              <w:rPr>
                <w:rFonts w:ascii="Calibri" w:eastAsia="Times New Roman" w:hAnsi="Calibri" w:cs="Calibri"/>
                <w:b/>
                <w:bCs/>
                <w:color w:val="000000"/>
                <w:u w:val="single"/>
              </w:rPr>
            </w:pPr>
            <w:r w:rsidRPr="007D3B10">
              <w:rPr>
                <w:rFonts w:ascii="Calibri" w:eastAsia="Times New Roman" w:hAnsi="Calibri" w:cs="Calibri"/>
                <w:b/>
                <w:bCs/>
                <w:color w:val="000000"/>
                <w:u w:val="single"/>
              </w:rPr>
              <w:t>Base Case Growth</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b/>
                <w:bCs/>
                <w:color w:val="000000"/>
                <w:u w:val="single"/>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b/>
                <w:bCs/>
                <w:color w:val="000000"/>
              </w:rPr>
            </w:pPr>
            <w:r w:rsidRPr="007D3B10">
              <w:rPr>
                <w:rFonts w:ascii="Calibri" w:eastAsia="Times New Roman" w:hAnsi="Calibri" w:cs="Calibri"/>
                <w:b/>
                <w:bCs/>
                <w:color w:val="000000"/>
              </w:rPr>
              <w:t>Sales ($USDM)</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2013</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2015</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2016</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2017</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2018</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2019</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2020</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2021</w:t>
            </w:r>
          </w:p>
        </w:tc>
      </w:tr>
      <w:tr w:rsidR="007D3B10" w:rsidRPr="007D3B10" w:rsidTr="007D3B10">
        <w:trPr>
          <w:trHeight w:val="274"/>
        </w:trPr>
        <w:tc>
          <w:tcPr>
            <w:tcW w:w="2675" w:type="dxa"/>
            <w:gridSpan w:val="2"/>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US Retail</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Meals</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2,944.3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3,030.6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2,772.4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2,674.3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2,393.3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2,441.2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2,490.0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2,539.8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2,590.6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2,642.4 </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Cereal</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2,345.4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2,340.8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2,410.2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2,330.1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2,312.8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2,359.1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2,406.2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2,454.4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2,503.4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2,553.5 </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Snacks</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1,823.8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1,717.2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1,997.8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2,134.4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2,094.3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2,094.3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2,094.3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2,094.3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2,073.4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2,052.6 </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Baking Products</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1,831.7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1,845.7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2,096.1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1,969.8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1,903.4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1,922.4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1,941.7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1,961.1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1,980.7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2,000.5 </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Yogurt and Other</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1,659.7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1,680.6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1,328.4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1,398.4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1,302.7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1,341.8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1,382.0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1,423.5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1,466.2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1,510.2 </w:t>
            </w:r>
          </w:p>
        </w:tc>
      </w:tr>
      <w:tr w:rsidR="007D3B10" w:rsidRPr="007D3B10" w:rsidTr="007D3B10">
        <w:trPr>
          <w:trHeight w:val="274"/>
        </w:trPr>
        <w:tc>
          <w:tcPr>
            <w:tcW w:w="2675" w:type="dxa"/>
            <w:gridSpan w:val="2"/>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International</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Europe</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1,988.5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2,214.6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2,188.8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2,126.5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1,998.0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1,998.0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1,998.0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1,978.0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1,958.2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1,938.7 </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Canada</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990.0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1,210.5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1,195.3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1,105.1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929.5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948.1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967.1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986.4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1,006.1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1,026.2 </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Asia/Pacific</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810.1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899.1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981.8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1,023.5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995.7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1,035.5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1,076.9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1,120.0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1,164.8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1,211.4 </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Latin America</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404.8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876.0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1,020.0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873.1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709.0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737.4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766.9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797.5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829.4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862.6 </w:t>
            </w:r>
          </w:p>
        </w:tc>
      </w:tr>
      <w:tr w:rsidR="007D3B10" w:rsidRPr="007D3B10" w:rsidTr="007D3B10">
        <w:trPr>
          <w:trHeight w:val="274"/>
        </w:trPr>
        <w:tc>
          <w:tcPr>
            <w:tcW w:w="2675" w:type="dxa"/>
            <w:gridSpan w:val="2"/>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Convenience Stores &amp; Foodservice</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1,783.4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1,959.0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1,918.8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1,995.1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1,923.8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1,943.0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1,962.5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1,982.1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1,952.4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1,923.1 </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Total</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16,581.7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17,774.1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17,909.6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17,630.3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16,562.5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16,820.8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17,085.5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17,337.1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17,525.3 </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 xml:space="preserve">     17,721.2 </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r>
      <w:tr w:rsidR="007D3B10" w:rsidRPr="007D3B10" w:rsidTr="007D3B10">
        <w:trPr>
          <w:trHeight w:val="274"/>
        </w:trPr>
        <w:tc>
          <w:tcPr>
            <w:tcW w:w="2675" w:type="dxa"/>
            <w:gridSpan w:val="2"/>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Pr>
                <w:rFonts w:ascii="Calibri" w:eastAsia="Times New Roman" w:hAnsi="Calibri" w:cs="Calibri"/>
                <w:color w:val="000000"/>
              </w:rPr>
              <w:t xml:space="preserve">Base Case </w:t>
            </w:r>
            <w:r w:rsidRPr="007D3B10">
              <w:rPr>
                <w:rFonts w:ascii="Calibri" w:eastAsia="Times New Roman" w:hAnsi="Calibri" w:cs="Calibri"/>
                <w:color w:val="000000"/>
              </w:rPr>
              <w:t>Growth</w:t>
            </w:r>
            <w:r>
              <w:rPr>
                <w:rFonts w:ascii="Calibri" w:eastAsia="Times New Roman" w:hAnsi="Calibri" w:cs="Calibri"/>
                <w:color w:val="000000"/>
              </w:rPr>
              <w:t xml:space="preserve"> </w:t>
            </w:r>
            <w:r w:rsidRPr="007D3B10">
              <w:rPr>
                <w:rFonts w:ascii="Calibri" w:eastAsia="Times New Roman" w:hAnsi="Calibri" w:cs="Calibri"/>
                <w:color w:val="000000"/>
              </w:rPr>
              <w:t>%</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r>
      <w:tr w:rsidR="007D3B10" w:rsidRPr="007D3B10" w:rsidTr="007D3B10">
        <w:trPr>
          <w:trHeight w:val="274"/>
        </w:trPr>
        <w:tc>
          <w:tcPr>
            <w:tcW w:w="2675" w:type="dxa"/>
            <w:gridSpan w:val="2"/>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US Retail</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Meals</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3%</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-9%</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Cereal</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0%</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3%</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-3%</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Snacks</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-6%</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16%</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7%</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0%</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0%</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0%</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Baking Products</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-6%</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-3%</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2798" w:type="dxa"/>
            <w:gridSpan w:val="2"/>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Yogurt and Other</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5%</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-7%</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3%</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3%</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3%</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3%</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3%</w:t>
            </w:r>
          </w:p>
        </w:tc>
      </w:tr>
      <w:tr w:rsidR="007D3B10" w:rsidRPr="007D3B10" w:rsidTr="007D3B10">
        <w:trPr>
          <w:trHeight w:val="274"/>
        </w:trPr>
        <w:tc>
          <w:tcPr>
            <w:tcW w:w="2675" w:type="dxa"/>
            <w:gridSpan w:val="2"/>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International</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Europe</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-3%</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-6%</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0%</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0%</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Canada</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-8%</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-16%</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Asia/Pacific</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9%</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-3%</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Latin America</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116%</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16%</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-19%</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r>
      <w:tr w:rsidR="007D3B10" w:rsidRPr="007D3B10" w:rsidTr="007D3B10">
        <w:trPr>
          <w:trHeight w:val="274"/>
        </w:trPr>
        <w:tc>
          <w:tcPr>
            <w:tcW w:w="3671" w:type="dxa"/>
            <w:gridSpan w:val="3"/>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Convenience Stores &amp; Foodservice</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10%</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r>
      <w:tr w:rsidR="007D3B10" w:rsidRPr="007D3B10" w:rsidTr="007D3B10">
        <w:trPr>
          <w:trHeight w:val="274"/>
        </w:trPr>
        <w:tc>
          <w:tcPr>
            <w:tcW w:w="873"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1801"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b/>
                <w:bCs/>
                <w:color w:val="000000"/>
              </w:rPr>
            </w:pPr>
            <w:r w:rsidRPr="007D3B10">
              <w:rPr>
                <w:rFonts w:ascii="Calibri" w:eastAsia="Times New Roman" w:hAnsi="Calibri" w:cs="Calibri"/>
                <w:b/>
                <w:bCs/>
                <w:color w:val="000000"/>
              </w:rPr>
              <w:t>Overall</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b/>
                <w:bCs/>
                <w:color w:val="000000"/>
              </w:rPr>
            </w:pP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7%</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w:t>
            </w:r>
          </w:p>
        </w:tc>
        <w:tc>
          <w:tcPr>
            <w:tcW w:w="99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-6%</w:t>
            </w:r>
          </w:p>
        </w:tc>
        <w:tc>
          <w:tcPr>
            <w:tcW w:w="996" w:type="dxa"/>
            <w:tcBorders>
              <w:top w:val="nil"/>
              <w:left w:val="nil"/>
              <w:bottom w:val="nil"/>
              <w:right w:val="nil"/>
            </w:tcBorders>
            <w:shd w:val="clear" w:color="000000" w:fill="FFFF00"/>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1.56%</w:t>
            </w:r>
          </w:p>
        </w:tc>
        <w:tc>
          <w:tcPr>
            <w:tcW w:w="996" w:type="dxa"/>
            <w:tcBorders>
              <w:top w:val="nil"/>
              <w:left w:val="nil"/>
              <w:bottom w:val="nil"/>
              <w:right w:val="nil"/>
            </w:tcBorders>
            <w:shd w:val="clear" w:color="000000" w:fill="FFFF00"/>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1.57%</w:t>
            </w:r>
          </w:p>
        </w:tc>
        <w:tc>
          <w:tcPr>
            <w:tcW w:w="996" w:type="dxa"/>
            <w:tcBorders>
              <w:top w:val="nil"/>
              <w:left w:val="nil"/>
              <w:bottom w:val="nil"/>
              <w:right w:val="nil"/>
            </w:tcBorders>
            <w:shd w:val="clear" w:color="000000" w:fill="FFFF00"/>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1.47%</w:t>
            </w:r>
          </w:p>
        </w:tc>
        <w:tc>
          <w:tcPr>
            <w:tcW w:w="996" w:type="dxa"/>
            <w:tcBorders>
              <w:top w:val="nil"/>
              <w:left w:val="nil"/>
              <w:bottom w:val="nil"/>
              <w:right w:val="nil"/>
            </w:tcBorders>
            <w:shd w:val="clear" w:color="000000" w:fill="FFFF00"/>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1.09%</w:t>
            </w:r>
          </w:p>
        </w:tc>
        <w:tc>
          <w:tcPr>
            <w:tcW w:w="996" w:type="dxa"/>
            <w:tcBorders>
              <w:top w:val="nil"/>
              <w:left w:val="nil"/>
              <w:bottom w:val="nil"/>
              <w:right w:val="nil"/>
            </w:tcBorders>
            <w:shd w:val="clear" w:color="000000" w:fill="FFFF00"/>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1.12%</w:t>
            </w:r>
          </w:p>
        </w:tc>
      </w:tr>
    </w:tbl>
    <w:p w:rsidR="007D3B10" w:rsidRDefault="007D3B10"/>
    <w:p w:rsidR="007D3B10" w:rsidRPr="007D3B10" w:rsidRDefault="007D3B10" w:rsidP="007D3B10">
      <w:pPr>
        <w:rPr>
          <w:b/>
        </w:rPr>
      </w:pPr>
      <w:r>
        <w:rPr>
          <w:b/>
        </w:rPr>
        <w:t>Optimistic Case Growth Exhibit 2</w:t>
      </w:r>
      <w:r w:rsidRPr="007D3B10">
        <w:rPr>
          <w:b/>
        </w:rPr>
        <w:t>.</w:t>
      </w:r>
    </w:p>
    <w:tbl>
      <w:tblPr>
        <w:tblW w:w="12778" w:type="dxa"/>
        <w:tblLook w:val="04A0" w:firstRow="1" w:lastRow="0" w:firstColumn="1" w:lastColumn="0" w:noHBand="0" w:noVBand="1"/>
      </w:tblPr>
      <w:tblGrid>
        <w:gridCol w:w="222"/>
        <w:gridCol w:w="2676"/>
        <w:gridCol w:w="988"/>
        <w:gridCol w:w="988"/>
        <w:gridCol w:w="988"/>
        <w:gridCol w:w="988"/>
        <w:gridCol w:w="988"/>
        <w:gridCol w:w="988"/>
        <w:gridCol w:w="988"/>
        <w:gridCol w:w="988"/>
        <w:gridCol w:w="988"/>
        <w:gridCol w:w="988"/>
      </w:tblGrid>
      <w:tr w:rsidR="007D3B10" w:rsidRPr="007D3B10" w:rsidTr="007D3B10">
        <w:trPr>
          <w:trHeight w:val="296"/>
        </w:trPr>
        <w:tc>
          <w:tcPr>
            <w:tcW w:w="2898" w:type="dxa"/>
            <w:gridSpan w:val="2"/>
            <w:tcBorders>
              <w:top w:val="nil"/>
              <w:left w:val="nil"/>
              <w:bottom w:val="nil"/>
              <w:right w:val="nil"/>
            </w:tcBorders>
            <w:shd w:val="clear" w:color="000000" w:fill="FFFF00"/>
            <w:noWrap/>
            <w:vAlign w:val="bottom"/>
            <w:hideMark/>
          </w:tcPr>
          <w:p w:rsidR="007D3B10" w:rsidRPr="007D3B10" w:rsidRDefault="007D3B10" w:rsidP="007D3B10">
            <w:pPr>
              <w:spacing w:after="0" w:line="240" w:lineRule="auto"/>
              <w:rPr>
                <w:rFonts w:ascii="Calibri" w:eastAsia="Times New Roman" w:hAnsi="Calibri" w:cs="Calibri"/>
                <w:b/>
                <w:bCs/>
                <w:color w:val="000000"/>
                <w:u w:val="single"/>
              </w:rPr>
            </w:pPr>
            <w:r w:rsidRPr="007D3B10">
              <w:rPr>
                <w:rFonts w:ascii="Calibri" w:eastAsia="Times New Roman" w:hAnsi="Calibri" w:cs="Calibri"/>
                <w:b/>
                <w:bCs/>
                <w:color w:val="000000"/>
                <w:u w:val="single"/>
              </w:rPr>
              <w:t>Optimistic Growth</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2012</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2013</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2014</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2015</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2016</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2017</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2019</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2020</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b/>
                <w:bCs/>
                <w:color w:val="000000"/>
              </w:rPr>
            </w:pPr>
            <w:r w:rsidRPr="007D3B10">
              <w:rPr>
                <w:rFonts w:ascii="Calibri" w:eastAsia="Times New Roman" w:hAnsi="Calibri" w:cs="Calibri"/>
                <w:b/>
                <w:bCs/>
                <w:color w:val="000000"/>
              </w:rPr>
              <w:t>2021</w:t>
            </w:r>
          </w:p>
        </w:tc>
      </w:tr>
      <w:tr w:rsidR="007D3B10" w:rsidRPr="007D3B10" w:rsidTr="007D3B10">
        <w:trPr>
          <w:trHeight w:val="296"/>
        </w:trPr>
        <w:tc>
          <w:tcPr>
            <w:tcW w:w="2898" w:type="dxa"/>
            <w:gridSpan w:val="2"/>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US Retail</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r>
      <w:tr w:rsidR="007D3B10" w:rsidRPr="007D3B10" w:rsidTr="007D3B10">
        <w:trPr>
          <w:trHeight w:val="296"/>
        </w:trPr>
        <w:tc>
          <w:tcPr>
            <w:tcW w:w="222"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267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Meals</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2944.3</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3030.6</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2772.4</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2674.3</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2393.3</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2465.1</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2539.1</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2615.2</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2693.7</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2774.5</w:t>
            </w:r>
          </w:p>
        </w:tc>
      </w:tr>
      <w:tr w:rsidR="007D3B10" w:rsidRPr="007D3B10" w:rsidTr="007D3B10">
        <w:trPr>
          <w:trHeight w:val="296"/>
        </w:trPr>
        <w:tc>
          <w:tcPr>
            <w:tcW w:w="222"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267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Cereal</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2345.4</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2340.8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2410.2</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2330.1</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2312.8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2451.6</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2598.7</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2754.6</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2864.8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2979.4</w:t>
            </w:r>
          </w:p>
        </w:tc>
      </w:tr>
      <w:tr w:rsidR="007D3B10" w:rsidRPr="007D3B10" w:rsidTr="007D3B10">
        <w:trPr>
          <w:trHeight w:val="296"/>
        </w:trPr>
        <w:tc>
          <w:tcPr>
            <w:tcW w:w="222"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267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Snacks</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1823.8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1717.2</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1997.8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2134.4</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2094.3</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2157.1</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2221.8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2288.5</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2357.2</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2427.9</w:t>
            </w:r>
          </w:p>
        </w:tc>
      </w:tr>
      <w:tr w:rsidR="007D3B10" w:rsidRPr="007D3B10" w:rsidTr="007D3B10">
        <w:trPr>
          <w:trHeight w:val="296"/>
        </w:trPr>
        <w:tc>
          <w:tcPr>
            <w:tcW w:w="222"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267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Baking Products</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1831.7</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1845.7</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2096.1</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1969.8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1903.4</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1941.5</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1980.3</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2019.9</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2060.3</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2101.5</w:t>
            </w:r>
          </w:p>
        </w:tc>
      </w:tr>
      <w:tr w:rsidR="007D3B10" w:rsidRPr="007D3B10" w:rsidTr="007D3B10">
        <w:trPr>
          <w:trHeight w:val="296"/>
        </w:trPr>
        <w:tc>
          <w:tcPr>
            <w:tcW w:w="222"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267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Yogurt and Other</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1659.7</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1680.6</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1328.4</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1398.4</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1302.7</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1380.9</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1463.7</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1551.5</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1613.6</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1678.1</w:t>
            </w:r>
          </w:p>
        </w:tc>
      </w:tr>
      <w:tr w:rsidR="007D3B10" w:rsidRPr="007D3B10" w:rsidTr="007D3B10">
        <w:trPr>
          <w:trHeight w:val="296"/>
        </w:trPr>
        <w:tc>
          <w:tcPr>
            <w:tcW w:w="2898" w:type="dxa"/>
            <w:gridSpan w:val="2"/>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International</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r>
      <w:tr w:rsidR="007D3B10" w:rsidRPr="007D3B10" w:rsidTr="007D3B10">
        <w:trPr>
          <w:trHeight w:val="296"/>
        </w:trPr>
        <w:tc>
          <w:tcPr>
            <w:tcW w:w="222"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Times New Roman" w:eastAsia="Times New Roman" w:hAnsi="Times New Roman" w:cs="Times New Roman"/>
                <w:sz w:val="20"/>
                <w:szCs w:val="20"/>
              </w:rPr>
            </w:pPr>
          </w:p>
        </w:tc>
        <w:tc>
          <w:tcPr>
            <w:tcW w:w="267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Europe</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1988.5</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2214.6</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2188.8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2126.5</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1998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2097.9</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2202.8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2312.9</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2382.3</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2453.8</w:t>
            </w:r>
          </w:p>
        </w:tc>
      </w:tr>
      <w:tr w:rsidR="007D3B10" w:rsidRPr="007D3B10" w:rsidTr="007D3B10">
        <w:trPr>
          <w:trHeight w:val="296"/>
        </w:trPr>
        <w:tc>
          <w:tcPr>
            <w:tcW w:w="222"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267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Canada</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990</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1210.5</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1195.3</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1105.1</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929.5</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976.0</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1024.8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1076.0</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1129.8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1186.3</w:t>
            </w:r>
          </w:p>
        </w:tc>
      </w:tr>
      <w:tr w:rsidR="007D3B10" w:rsidRPr="007D3B10" w:rsidTr="007D3B10">
        <w:trPr>
          <w:trHeight w:val="296"/>
        </w:trPr>
        <w:tc>
          <w:tcPr>
            <w:tcW w:w="222"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267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Asia/Pacific</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810.1</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899.1</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981.8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1023.5</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995.7</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1045.5</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1097.8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1152.6</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1187.2</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1222.8</w:t>
            </w:r>
          </w:p>
        </w:tc>
      </w:tr>
      <w:tr w:rsidR="007D3B10" w:rsidRPr="007D3B10" w:rsidTr="007D3B10">
        <w:trPr>
          <w:trHeight w:val="296"/>
        </w:trPr>
        <w:tc>
          <w:tcPr>
            <w:tcW w:w="222"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267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Latin America</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404.8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876</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1020</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873.1</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709</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744.5</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781.7</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820.8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845.4</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870.7</w:t>
            </w:r>
          </w:p>
        </w:tc>
      </w:tr>
      <w:tr w:rsidR="007D3B10" w:rsidRPr="007D3B10" w:rsidTr="007D3B10">
        <w:trPr>
          <w:trHeight w:val="296"/>
        </w:trPr>
        <w:tc>
          <w:tcPr>
            <w:tcW w:w="2898" w:type="dxa"/>
            <w:gridSpan w:val="2"/>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lastRenderedPageBreak/>
              <w:t>Convenience Stores &amp; Foodservice</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1783.4</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1959</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1918.8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1995.1</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1923.8</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2020.0</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2121.0</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2227.0</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2293.9</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2362.7</w:t>
            </w:r>
          </w:p>
        </w:tc>
      </w:tr>
      <w:tr w:rsidR="007D3B10" w:rsidRPr="007D3B10" w:rsidTr="007D3B10">
        <w:trPr>
          <w:trHeight w:val="296"/>
        </w:trPr>
        <w:tc>
          <w:tcPr>
            <w:tcW w:w="222"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p>
        </w:tc>
        <w:tc>
          <w:tcPr>
            <w:tcW w:w="2676"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rPr>
                <w:rFonts w:ascii="Calibri" w:eastAsia="Times New Roman" w:hAnsi="Calibri" w:cs="Calibri"/>
                <w:color w:val="000000"/>
              </w:rPr>
            </w:pPr>
            <w:r w:rsidRPr="007D3B10">
              <w:rPr>
                <w:rFonts w:ascii="Calibri" w:eastAsia="Times New Roman" w:hAnsi="Calibri" w:cs="Calibri"/>
                <w:color w:val="000000"/>
              </w:rPr>
              <w:t>Total</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16581.7</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17774.1</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17909.6</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17630.3</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16562.5</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17279.9</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18031.6</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18819.1</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19428.1</w:t>
            </w:r>
          </w:p>
        </w:tc>
        <w:tc>
          <w:tcPr>
            <w:tcW w:w="988" w:type="dxa"/>
            <w:tcBorders>
              <w:top w:val="nil"/>
              <w:left w:val="nil"/>
              <w:bottom w:val="nil"/>
              <w:right w:val="nil"/>
            </w:tcBorders>
            <w:shd w:val="clear" w:color="auto" w:fill="auto"/>
            <w:noWrap/>
            <w:vAlign w:val="bottom"/>
            <w:hideMark/>
          </w:tcPr>
          <w:p w:rsidR="007D3B10" w:rsidRPr="007D3B10" w:rsidRDefault="007D3B10" w:rsidP="007D3B10">
            <w:pPr>
              <w:spacing w:after="0" w:line="240" w:lineRule="auto"/>
              <w:jc w:val="right"/>
              <w:rPr>
                <w:rFonts w:ascii="Calibri" w:eastAsia="Times New Roman" w:hAnsi="Calibri" w:cs="Calibri"/>
                <w:color w:val="000000"/>
              </w:rPr>
            </w:pPr>
            <w:r w:rsidRPr="007D3B10">
              <w:rPr>
                <w:rFonts w:ascii="Calibri" w:eastAsia="Times New Roman" w:hAnsi="Calibri" w:cs="Calibri"/>
                <w:color w:val="000000"/>
              </w:rPr>
              <w:t>20057.7</w:t>
            </w:r>
          </w:p>
        </w:tc>
      </w:tr>
    </w:tbl>
    <w:p w:rsidR="002B74CF" w:rsidRDefault="002B74CF" w:rsidP="007D3B10">
      <w:pPr>
        <w:rPr>
          <w:b/>
        </w:rPr>
      </w:pPr>
    </w:p>
    <w:p w:rsidR="007D3B10" w:rsidRPr="007D3B10" w:rsidRDefault="007D3B10" w:rsidP="007D3B10">
      <w:pPr>
        <w:rPr>
          <w:b/>
        </w:rPr>
      </w:pPr>
      <w:r>
        <w:rPr>
          <w:b/>
        </w:rPr>
        <w:t xml:space="preserve">Pessimistic Case Growth Exhibit </w:t>
      </w:r>
      <w:r w:rsidR="002B74CF">
        <w:rPr>
          <w:b/>
        </w:rPr>
        <w:t>3</w:t>
      </w:r>
      <w:r w:rsidRPr="007D3B10">
        <w:rPr>
          <w:b/>
        </w:rPr>
        <w:t>.</w:t>
      </w:r>
    </w:p>
    <w:tbl>
      <w:tblPr>
        <w:tblW w:w="12724" w:type="dxa"/>
        <w:tblLook w:val="04A0" w:firstRow="1" w:lastRow="0" w:firstColumn="1" w:lastColumn="0" w:noHBand="0" w:noVBand="1"/>
      </w:tblPr>
      <w:tblGrid>
        <w:gridCol w:w="884"/>
        <w:gridCol w:w="1870"/>
        <w:gridCol w:w="997"/>
        <w:gridCol w:w="997"/>
        <w:gridCol w:w="997"/>
        <w:gridCol w:w="997"/>
        <w:gridCol w:w="997"/>
        <w:gridCol w:w="997"/>
        <w:gridCol w:w="997"/>
        <w:gridCol w:w="997"/>
        <w:gridCol w:w="997"/>
        <w:gridCol w:w="997"/>
      </w:tblGrid>
      <w:tr w:rsidR="002B74CF" w:rsidRPr="002B74CF" w:rsidTr="002B74CF">
        <w:trPr>
          <w:trHeight w:val="297"/>
        </w:trPr>
        <w:tc>
          <w:tcPr>
            <w:tcW w:w="884"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4"/>
                <w:szCs w:val="24"/>
              </w:rPr>
            </w:pPr>
          </w:p>
        </w:tc>
        <w:tc>
          <w:tcPr>
            <w:tcW w:w="1870" w:type="dxa"/>
            <w:tcBorders>
              <w:top w:val="nil"/>
              <w:left w:val="nil"/>
              <w:bottom w:val="nil"/>
              <w:right w:val="nil"/>
            </w:tcBorders>
            <w:shd w:val="clear" w:color="000000" w:fill="FFFF00"/>
            <w:noWrap/>
            <w:vAlign w:val="bottom"/>
            <w:hideMark/>
          </w:tcPr>
          <w:p w:rsidR="002B74CF" w:rsidRPr="002B74CF" w:rsidRDefault="002B74CF" w:rsidP="002B74CF">
            <w:pPr>
              <w:spacing w:after="0" w:line="240" w:lineRule="auto"/>
              <w:rPr>
                <w:rFonts w:ascii="Calibri" w:eastAsia="Times New Roman" w:hAnsi="Calibri" w:cs="Calibri"/>
                <w:b/>
                <w:bCs/>
                <w:color w:val="000000"/>
                <w:u w:val="single"/>
              </w:rPr>
            </w:pPr>
            <w:r w:rsidRPr="002B74CF">
              <w:rPr>
                <w:rFonts w:ascii="Calibri" w:eastAsia="Times New Roman" w:hAnsi="Calibri" w:cs="Calibri"/>
                <w:b/>
                <w:bCs/>
                <w:color w:val="000000"/>
                <w:u w:val="single"/>
              </w:rPr>
              <w:t xml:space="preserve"> Pessimistic Growth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b/>
                <w:bCs/>
                <w:color w:val="000000"/>
              </w:rPr>
            </w:pPr>
            <w:r w:rsidRPr="002B74CF">
              <w:rPr>
                <w:rFonts w:ascii="Calibri" w:eastAsia="Times New Roman" w:hAnsi="Calibri" w:cs="Calibri"/>
                <w:b/>
                <w:bCs/>
                <w:color w:val="000000"/>
              </w:rPr>
              <w:t>2012</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b/>
                <w:bCs/>
                <w:color w:val="000000"/>
              </w:rPr>
            </w:pPr>
            <w:r w:rsidRPr="002B74CF">
              <w:rPr>
                <w:rFonts w:ascii="Calibri" w:eastAsia="Times New Roman" w:hAnsi="Calibri" w:cs="Calibri"/>
                <w:b/>
                <w:bCs/>
                <w:color w:val="000000"/>
              </w:rPr>
              <w:t>2013</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b/>
                <w:bCs/>
                <w:color w:val="000000"/>
              </w:rPr>
            </w:pPr>
            <w:r w:rsidRPr="002B74CF">
              <w:rPr>
                <w:rFonts w:ascii="Calibri" w:eastAsia="Times New Roman" w:hAnsi="Calibri" w:cs="Calibri"/>
                <w:b/>
                <w:bCs/>
                <w:color w:val="000000"/>
              </w:rPr>
              <w:t>2014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b/>
                <w:bCs/>
                <w:color w:val="000000"/>
              </w:rPr>
            </w:pPr>
            <w:r w:rsidRPr="002B74CF">
              <w:rPr>
                <w:rFonts w:ascii="Calibri" w:eastAsia="Times New Roman" w:hAnsi="Calibri" w:cs="Calibri"/>
                <w:b/>
                <w:bCs/>
                <w:color w:val="000000"/>
              </w:rPr>
              <w:t>2015</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b/>
                <w:bCs/>
                <w:color w:val="000000"/>
              </w:rPr>
            </w:pPr>
            <w:r w:rsidRPr="002B74CF">
              <w:rPr>
                <w:rFonts w:ascii="Calibri" w:eastAsia="Times New Roman" w:hAnsi="Calibri" w:cs="Calibri"/>
                <w:b/>
                <w:bCs/>
                <w:color w:val="000000"/>
              </w:rPr>
              <w:t>2016</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b/>
                <w:bCs/>
                <w:color w:val="000000"/>
              </w:rPr>
            </w:pPr>
            <w:r w:rsidRPr="002B74CF">
              <w:rPr>
                <w:rFonts w:ascii="Calibri" w:eastAsia="Times New Roman" w:hAnsi="Calibri" w:cs="Calibri"/>
                <w:b/>
                <w:bCs/>
                <w:color w:val="000000"/>
              </w:rPr>
              <w:t>2017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b/>
                <w:bCs/>
                <w:color w:val="000000"/>
              </w:rPr>
            </w:pPr>
            <w:r w:rsidRPr="002B74CF">
              <w:rPr>
                <w:rFonts w:ascii="Calibri" w:eastAsia="Times New Roman" w:hAnsi="Calibri" w:cs="Calibri"/>
                <w:b/>
                <w:bCs/>
                <w:color w:val="000000"/>
              </w:rPr>
              <w:t>2018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b/>
                <w:bCs/>
                <w:color w:val="000000"/>
              </w:rPr>
            </w:pPr>
            <w:r w:rsidRPr="002B74CF">
              <w:rPr>
                <w:rFonts w:ascii="Calibri" w:eastAsia="Times New Roman" w:hAnsi="Calibri" w:cs="Calibri"/>
                <w:b/>
                <w:bCs/>
                <w:color w:val="000000"/>
              </w:rPr>
              <w:t>2019</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b/>
                <w:bCs/>
                <w:color w:val="000000"/>
              </w:rPr>
            </w:pPr>
            <w:r w:rsidRPr="002B74CF">
              <w:rPr>
                <w:rFonts w:ascii="Calibri" w:eastAsia="Times New Roman" w:hAnsi="Calibri" w:cs="Calibri"/>
                <w:b/>
                <w:bCs/>
                <w:color w:val="000000"/>
              </w:rPr>
              <w:t>2020</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b/>
                <w:bCs/>
                <w:color w:val="000000"/>
              </w:rPr>
            </w:pPr>
            <w:r w:rsidRPr="002B74CF">
              <w:rPr>
                <w:rFonts w:ascii="Calibri" w:eastAsia="Times New Roman" w:hAnsi="Calibri" w:cs="Calibri"/>
                <w:b/>
                <w:bCs/>
                <w:color w:val="000000"/>
              </w:rPr>
              <w:t>2021</w:t>
            </w:r>
          </w:p>
        </w:tc>
      </w:tr>
      <w:tr w:rsidR="002B74CF" w:rsidRPr="002B74CF" w:rsidTr="002B74CF">
        <w:trPr>
          <w:trHeight w:val="297"/>
        </w:trPr>
        <w:tc>
          <w:tcPr>
            <w:tcW w:w="2754" w:type="dxa"/>
            <w:gridSpan w:val="2"/>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r w:rsidRPr="002B74CF">
              <w:rPr>
                <w:rFonts w:ascii="Calibri" w:eastAsia="Times New Roman" w:hAnsi="Calibri" w:cs="Calibri"/>
                <w:color w:val="000000"/>
              </w:rPr>
              <w:t xml:space="preserve"> US Retail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r>
      <w:tr w:rsidR="002B74CF" w:rsidRPr="002B74CF" w:rsidTr="002B74CF">
        <w:trPr>
          <w:trHeight w:val="297"/>
        </w:trPr>
        <w:tc>
          <w:tcPr>
            <w:tcW w:w="884"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1870"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r w:rsidRPr="002B74CF">
              <w:rPr>
                <w:rFonts w:ascii="Calibri" w:eastAsia="Times New Roman" w:hAnsi="Calibri" w:cs="Calibri"/>
                <w:color w:val="000000"/>
              </w:rPr>
              <w:t xml:space="preserve"> Meals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2944.3</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3030.6</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2772.4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2674.3</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2393.3</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2321.5</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2251.9</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2184.3</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2118.8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2055.2</w:t>
            </w:r>
          </w:p>
        </w:tc>
      </w:tr>
      <w:tr w:rsidR="002B74CF" w:rsidRPr="002B74CF" w:rsidTr="002B74CF">
        <w:trPr>
          <w:trHeight w:val="297"/>
        </w:trPr>
        <w:tc>
          <w:tcPr>
            <w:tcW w:w="884"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p>
        </w:tc>
        <w:tc>
          <w:tcPr>
            <w:tcW w:w="1870"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r w:rsidRPr="002B74CF">
              <w:rPr>
                <w:rFonts w:ascii="Calibri" w:eastAsia="Times New Roman" w:hAnsi="Calibri" w:cs="Calibri"/>
                <w:color w:val="000000"/>
              </w:rPr>
              <w:t xml:space="preserve"> Cereal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2345.4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2340.8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2410.2</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2330.1</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2312.8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2220.3</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2131.5</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2046.2</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2025.8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2005.5</w:t>
            </w:r>
          </w:p>
        </w:tc>
      </w:tr>
      <w:tr w:rsidR="002B74CF" w:rsidRPr="002B74CF" w:rsidTr="002B74CF">
        <w:trPr>
          <w:trHeight w:val="297"/>
        </w:trPr>
        <w:tc>
          <w:tcPr>
            <w:tcW w:w="884"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p>
        </w:tc>
        <w:tc>
          <w:tcPr>
            <w:tcW w:w="1870"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r w:rsidRPr="002B74CF">
              <w:rPr>
                <w:rFonts w:ascii="Calibri" w:eastAsia="Times New Roman" w:hAnsi="Calibri" w:cs="Calibri"/>
                <w:color w:val="000000"/>
              </w:rPr>
              <w:t xml:space="preserve"> Snacks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1823.8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1717.2</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1997.8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2134.4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2094.3</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2115.2</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2136.4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2157.8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2179.3</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2201.1</w:t>
            </w:r>
          </w:p>
        </w:tc>
      </w:tr>
      <w:tr w:rsidR="002B74CF" w:rsidRPr="002B74CF" w:rsidTr="002B74CF">
        <w:trPr>
          <w:trHeight w:val="297"/>
        </w:trPr>
        <w:tc>
          <w:tcPr>
            <w:tcW w:w="884"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p>
        </w:tc>
        <w:tc>
          <w:tcPr>
            <w:tcW w:w="1870"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r w:rsidRPr="002B74CF">
              <w:rPr>
                <w:rFonts w:ascii="Calibri" w:eastAsia="Times New Roman" w:hAnsi="Calibri" w:cs="Calibri"/>
                <w:color w:val="000000"/>
              </w:rPr>
              <w:t xml:space="preserve"> Baking Products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1831.7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1845.7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2096.1</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1969.8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1903.4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1903.4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1903.4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1903.4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1903.4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1903.4</w:t>
            </w:r>
          </w:p>
        </w:tc>
      </w:tr>
      <w:tr w:rsidR="002B74CF" w:rsidRPr="002B74CF" w:rsidTr="002B74CF">
        <w:trPr>
          <w:trHeight w:val="297"/>
        </w:trPr>
        <w:tc>
          <w:tcPr>
            <w:tcW w:w="884"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p>
        </w:tc>
        <w:tc>
          <w:tcPr>
            <w:tcW w:w="1870"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r w:rsidRPr="002B74CF">
              <w:rPr>
                <w:rFonts w:ascii="Calibri" w:eastAsia="Times New Roman" w:hAnsi="Calibri" w:cs="Calibri"/>
                <w:color w:val="000000"/>
              </w:rPr>
              <w:t xml:space="preserve"> Yogurt and Other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1659.7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1680.6</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1328.4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1398.4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1302.7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1302.7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1302.7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1302.7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1302.7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1302.7</w:t>
            </w:r>
          </w:p>
        </w:tc>
      </w:tr>
      <w:tr w:rsidR="002B74CF" w:rsidRPr="002B74CF" w:rsidTr="002B74CF">
        <w:trPr>
          <w:trHeight w:val="297"/>
        </w:trPr>
        <w:tc>
          <w:tcPr>
            <w:tcW w:w="2754" w:type="dxa"/>
            <w:gridSpan w:val="2"/>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r w:rsidRPr="002B74CF">
              <w:rPr>
                <w:rFonts w:ascii="Calibri" w:eastAsia="Times New Roman" w:hAnsi="Calibri" w:cs="Calibri"/>
                <w:color w:val="000000"/>
              </w:rPr>
              <w:t xml:space="preserve"> International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r>
      <w:tr w:rsidR="002B74CF" w:rsidRPr="002B74CF" w:rsidTr="002B74CF">
        <w:trPr>
          <w:trHeight w:val="297"/>
        </w:trPr>
        <w:tc>
          <w:tcPr>
            <w:tcW w:w="884"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Times New Roman" w:eastAsia="Times New Roman" w:hAnsi="Times New Roman" w:cs="Times New Roman"/>
                <w:sz w:val="20"/>
                <w:szCs w:val="20"/>
              </w:rPr>
            </w:pPr>
          </w:p>
        </w:tc>
        <w:tc>
          <w:tcPr>
            <w:tcW w:w="1870"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r w:rsidRPr="002B74CF">
              <w:rPr>
                <w:rFonts w:ascii="Calibri" w:eastAsia="Times New Roman" w:hAnsi="Calibri" w:cs="Calibri"/>
                <w:color w:val="000000"/>
              </w:rPr>
              <w:t xml:space="preserve"> Europe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1988.5</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2214.6</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2188.8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2126.5</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1998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1938.1</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1879.9</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1823.5</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1768.8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1715.8</w:t>
            </w:r>
          </w:p>
        </w:tc>
      </w:tr>
      <w:tr w:rsidR="002B74CF" w:rsidRPr="002B74CF" w:rsidTr="002B74CF">
        <w:trPr>
          <w:trHeight w:val="297"/>
        </w:trPr>
        <w:tc>
          <w:tcPr>
            <w:tcW w:w="884"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p>
        </w:tc>
        <w:tc>
          <w:tcPr>
            <w:tcW w:w="1870"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r w:rsidRPr="002B74CF">
              <w:rPr>
                <w:rFonts w:ascii="Calibri" w:eastAsia="Times New Roman" w:hAnsi="Calibri" w:cs="Calibri"/>
                <w:color w:val="000000"/>
              </w:rPr>
              <w:t xml:space="preserve"> Canada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990</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1210.5</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1195.3</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1105.1</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929.5</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910.9</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892.7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874.8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857.3</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840.2</w:t>
            </w:r>
          </w:p>
        </w:tc>
      </w:tr>
      <w:tr w:rsidR="002B74CF" w:rsidRPr="002B74CF" w:rsidTr="002B74CF">
        <w:trPr>
          <w:trHeight w:val="297"/>
        </w:trPr>
        <w:tc>
          <w:tcPr>
            <w:tcW w:w="884"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p>
        </w:tc>
        <w:tc>
          <w:tcPr>
            <w:tcW w:w="1870"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r w:rsidRPr="002B74CF">
              <w:rPr>
                <w:rFonts w:ascii="Calibri" w:eastAsia="Times New Roman" w:hAnsi="Calibri" w:cs="Calibri"/>
                <w:color w:val="000000"/>
              </w:rPr>
              <w:t xml:space="preserve"> Asia/Pacific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810.1</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899.1</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981.8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1023.5</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995.7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1000.7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1005.7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1010.7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1015.8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1020.8</w:t>
            </w:r>
          </w:p>
        </w:tc>
      </w:tr>
      <w:tr w:rsidR="002B74CF" w:rsidRPr="002B74CF" w:rsidTr="002B74CF">
        <w:trPr>
          <w:trHeight w:val="297"/>
        </w:trPr>
        <w:tc>
          <w:tcPr>
            <w:tcW w:w="884"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p>
        </w:tc>
        <w:tc>
          <w:tcPr>
            <w:tcW w:w="1870"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r w:rsidRPr="002B74CF">
              <w:rPr>
                <w:rFonts w:ascii="Calibri" w:eastAsia="Times New Roman" w:hAnsi="Calibri" w:cs="Calibri"/>
                <w:color w:val="000000"/>
              </w:rPr>
              <w:t xml:space="preserve"> Latin America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404.8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876</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1020</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873.1</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709</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701.9</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694.9</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687.9</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681.1</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674.3</w:t>
            </w:r>
          </w:p>
        </w:tc>
      </w:tr>
      <w:tr w:rsidR="002B74CF" w:rsidRPr="002B74CF" w:rsidTr="002B74CF">
        <w:trPr>
          <w:trHeight w:val="297"/>
        </w:trPr>
        <w:tc>
          <w:tcPr>
            <w:tcW w:w="2754" w:type="dxa"/>
            <w:gridSpan w:val="2"/>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r w:rsidRPr="002B74CF">
              <w:rPr>
                <w:rFonts w:ascii="Calibri" w:eastAsia="Times New Roman" w:hAnsi="Calibri" w:cs="Calibri"/>
                <w:color w:val="000000"/>
              </w:rPr>
              <w:t xml:space="preserve"> Convenience Stores &amp; Foodservice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1783.4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1959</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1918.8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1995.1</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1923.8</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1885.3</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1847.6</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1810.7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1774.5</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1739.0</w:t>
            </w:r>
          </w:p>
        </w:tc>
      </w:tr>
      <w:tr w:rsidR="002B74CF" w:rsidRPr="002B74CF" w:rsidTr="002B74CF">
        <w:trPr>
          <w:trHeight w:val="297"/>
        </w:trPr>
        <w:tc>
          <w:tcPr>
            <w:tcW w:w="884"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p>
        </w:tc>
        <w:tc>
          <w:tcPr>
            <w:tcW w:w="1870"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rPr>
                <w:rFonts w:ascii="Calibri" w:eastAsia="Times New Roman" w:hAnsi="Calibri" w:cs="Calibri"/>
                <w:color w:val="000000"/>
              </w:rPr>
            </w:pPr>
            <w:r w:rsidRPr="002B74CF">
              <w:rPr>
                <w:rFonts w:ascii="Calibri" w:eastAsia="Times New Roman" w:hAnsi="Calibri" w:cs="Calibri"/>
                <w:color w:val="000000"/>
              </w:rPr>
              <w:t xml:space="preserve"> Total </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16581.7</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17774.1</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17909.6</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17630.3</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16562.5</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16300.0</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16046.6</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15802.1</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15627.4</w:t>
            </w:r>
          </w:p>
        </w:tc>
        <w:tc>
          <w:tcPr>
            <w:tcW w:w="997" w:type="dxa"/>
            <w:tcBorders>
              <w:top w:val="nil"/>
              <w:left w:val="nil"/>
              <w:bottom w:val="nil"/>
              <w:right w:val="nil"/>
            </w:tcBorders>
            <w:shd w:val="clear" w:color="auto" w:fill="auto"/>
            <w:noWrap/>
            <w:vAlign w:val="bottom"/>
            <w:hideMark/>
          </w:tcPr>
          <w:p w:rsidR="002B74CF" w:rsidRPr="002B74CF" w:rsidRDefault="002B74CF" w:rsidP="002B74CF">
            <w:pPr>
              <w:spacing w:after="0" w:line="240" w:lineRule="auto"/>
              <w:jc w:val="right"/>
              <w:rPr>
                <w:rFonts w:ascii="Calibri" w:eastAsia="Times New Roman" w:hAnsi="Calibri" w:cs="Calibri"/>
                <w:color w:val="000000"/>
              </w:rPr>
            </w:pPr>
            <w:r w:rsidRPr="002B74CF">
              <w:rPr>
                <w:rFonts w:ascii="Calibri" w:eastAsia="Times New Roman" w:hAnsi="Calibri" w:cs="Calibri"/>
                <w:color w:val="000000"/>
              </w:rPr>
              <w:t>15457.9</w:t>
            </w:r>
          </w:p>
        </w:tc>
      </w:tr>
    </w:tbl>
    <w:p w:rsidR="00DB77A3" w:rsidRDefault="00DB77A3"/>
    <w:p w:rsidR="002B74CF" w:rsidRDefault="002B74CF">
      <w:pPr>
        <w:rPr>
          <w:b/>
          <w:u w:val="single"/>
        </w:rPr>
      </w:pPr>
      <w:r w:rsidRPr="002B74CF">
        <w:rPr>
          <w:b/>
          <w:u w:val="single"/>
        </w:rPr>
        <w:t>Income Statement &amp; Abnormal Earnings Models</w:t>
      </w:r>
      <w:r w:rsidR="00DB77A3">
        <w:rPr>
          <w:b/>
          <w:u w:val="single"/>
        </w:rPr>
        <w:t xml:space="preserve"> (USD$M)</w:t>
      </w:r>
    </w:p>
    <w:p w:rsidR="00DB77A3" w:rsidRPr="00DB77A3" w:rsidRDefault="00DB77A3">
      <w:pPr>
        <w:rPr>
          <w:b/>
        </w:rPr>
      </w:pPr>
      <w:r>
        <w:rPr>
          <w:b/>
        </w:rPr>
        <w:t xml:space="preserve">Exhibit 4. - Income Statements </w:t>
      </w:r>
    </w:p>
    <w:tbl>
      <w:tblPr>
        <w:tblW w:w="13021" w:type="dxa"/>
        <w:tblLook w:val="04A0" w:firstRow="1" w:lastRow="0" w:firstColumn="1" w:lastColumn="0" w:noHBand="0" w:noVBand="1"/>
      </w:tblPr>
      <w:tblGrid>
        <w:gridCol w:w="4694"/>
        <w:gridCol w:w="941"/>
        <w:gridCol w:w="941"/>
        <w:gridCol w:w="941"/>
        <w:gridCol w:w="941"/>
        <w:gridCol w:w="941"/>
        <w:gridCol w:w="941"/>
        <w:gridCol w:w="941"/>
        <w:gridCol w:w="941"/>
        <w:gridCol w:w="941"/>
      </w:tblGrid>
      <w:tr w:rsidR="00DB77A3" w:rsidRPr="00DB77A3" w:rsidTr="00DB77A3">
        <w:trPr>
          <w:trHeight w:val="282"/>
        </w:trPr>
        <w:tc>
          <w:tcPr>
            <w:tcW w:w="6541" w:type="dxa"/>
            <w:gridSpan w:val="3"/>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Arial" w:eastAsia="Times New Roman" w:hAnsi="Arial" w:cs="Arial"/>
                <w:b/>
                <w:bCs/>
                <w:sz w:val="20"/>
                <w:szCs w:val="20"/>
              </w:rPr>
            </w:pPr>
            <w:r w:rsidRPr="00DB77A3">
              <w:rPr>
                <w:rFonts w:ascii="Arial" w:eastAsia="Times New Roman" w:hAnsi="Arial" w:cs="Arial"/>
                <w:b/>
                <w:bCs/>
                <w:sz w:val="20"/>
                <w:szCs w:val="20"/>
              </w:rPr>
              <w:t>Condensed Income Statement (Base)</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Arial" w:eastAsia="Times New Roman" w:hAnsi="Arial" w:cs="Arial"/>
                <w:b/>
                <w:bCs/>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rPr>
            </w:pPr>
            <w:r w:rsidRPr="00DB77A3">
              <w:rPr>
                <w:rFonts w:ascii="Calibri" w:eastAsia="Times New Roman" w:hAnsi="Calibri" w:cs="Calibri"/>
                <w:b/>
                <w:bCs/>
              </w:rPr>
              <w:t>2011</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rPr>
            </w:pPr>
            <w:r w:rsidRPr="00DB77A3">
              <w:rPr>
                <w:rFonts w:ascii="Calibri" w:eastAsia="Times New Roman" w:hAnsi="Calibri" w:cs="Calibri"/>
                <w:b/>
                <w:bCs/>
              </w:rPr>
              <w:t>2012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rPr>
            </w:pPr>
            <w:r w:rsidRPr="00DB77A3">
              <w:rPr>
                <w:rFonts w:ascii="Calibri" w:eastAsia="Times New Roman" w:hAnsi="Calibri" w:cs="Calibri"/>
                <w:b/>
                <w:bCs/>
              </w:rPr>
              <w:t>2013</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rPr>
            </w:pPr>
            <w:r w:rsidRPr="00DB77A3">
              <w:rPr>
                <w:rFonts w:ascii="Calibri" w:eastAsia="Times New Roman" w:hAnsi="Calibri" w:cs="Calibri"/>
                <w:b/>
                <w:bCs/>
              </w:rPr>
              <w:t>2014</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rPr>
            </w:pPr>
            <w:r w:rsidRPr="00DB77A3">
              <w:rPr>
                <w:rFonts w:ascii="Calibri" w:eastAsia="Times New Roman" w:hAnsi="Calibri" w:cs="Calibri"/>
                <w:b/>
                <w:bCs/>
              </w:rPr>
              <w:t>2015</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rPr>
            </w:pPr>
            <w:r w:rsidRPr="00DB77A3">
              <w:rPr>
                <w:rFonts w:ascii="Calibri" w:eastAsia="Times New Roman" w:hAnsi="Calibri" w:cs="Calibri"/>
                <w:b/>
                <w:bCs/>
              </w:rPr>
              <w:t>2016</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2017</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2018</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2019</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t>Revenues</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14880.2</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16657.9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17774.1</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17909.6</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17630.3</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16563.1</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16820.8</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17085.5</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17337.1</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Arial" w:eastAsia="Times New Roman" w:hAnsi="Arial" w:cs="Arial"/>
                <w:sz w:val="20"/>
                <w:szCs w:val="20"/>
              </w:rPr>
            </w:pPr>
            <w:r w:rsidRPr="00DB77A3">
              <w:rPr>
                <w:rFonts w:ascii="Arial" w:eastAsia="Times New Roman" w:hAnsi="Arial" w:cs="Arial"/>
                <w:sz w:val="20"/>
                <w:szCs w:val="20"/>
              </w:rPr>
              <w:t>Operating Expenses (COGS+SGA)</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12105.7</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14095.5</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14922.3</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14952.2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15553.0</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13855.7</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13853.0</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13991.6</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14122.0</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Arial" w:eastAsia="Times New Roman" w:hAnsi="Arial" w:cs="Arial"/>
                <w:sz w:val="20"/>
                <w:szCs w:val="20"/>
              </w:rPr>
            </w:pPr>
            <w:r w:rsidRPr="00DB77A3">
              <w:rPr>
                <w:rFonts w:ascii="Arial" w:eastAsia="Times New Roman" w:hAnsi="Arial" w:cs="Arial"/>
                <w:sz w:val="20"/>
                <w:szCs w:val="20"/>
              </w:rPr>
              <w:t xml:space="preserve">Interest Expense (forecasts: Assumed </w:t>
            </w:r>
            <w:proofErr w:type="spellStart"/>
            <w:r w:rsidRPr="00DB77A3">
              <w:rPr>
                <w:rFonts w:ascii="Arial" w:eastAsia="Times New Roman" w:hAnsi="Arial" w:cs="Arial"/>
                <w:sz w:val="20"/>
                <w:szCs w:val="20"/>
              </w:rPr>
              <w:t>int</w:t>
            </w:r>
            <w:proofErr w:type="spellEnd"/>
            <w:r w:rsidRPr="00DB77A3">
              <w:rPr>
                <w:rFonts w:ascii="Arial" w:eastAsia="Times New Roman" w:hAnsi="Arial" w:cs="Arial"/>
                <w:sz w:val="20"/>
                <w:szCs w:val="20"/>
              </w:rPr>
              <w:t xml:space="preserve"> * Op. Net DEBT)</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346.3</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351.9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316.9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302.4</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315.4</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303.8</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297.7</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291.8</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285.9</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lastRenderedPageBreak/>
              <w:t>Income pre-tax</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2428.2</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2210.5</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2534.9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2655.0</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1761.9</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2403.6</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2670.0</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2802.2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2929.2</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t>Tax</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721.1</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709.6</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741.2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883.3</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586.8</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755.2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872.2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915.3</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956.8</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t>Net Income</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1798.3</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1567.3</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1855.2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1824.4</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1221.3</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1697.4</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1759.7</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1848.3</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1933.7</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282"/>
        </w:trPr>
        <w:tc>
          <w:tcPr>
            <w:tcW w:w="7466" w:type="dxa"/>
            <w:gridSpan w:val="4"/>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Arial" w:eastAsia="Times New Roman" w:hAnsi="Arial" w:cs="Arial"/>
                <w:b/>
                <w:bCs/>
                <w:sz w:val="20"/>
                <w:szCs w:val="20"/>
              </w:rPr>
            </w:pPr>
            <w:r w:rsidRPr="00DB77A3">
              <w:rPr>
                <w:rFonts w:ascii="Arial" w:eastAsia="Times New Roman" w:hAnsi="Arial" w:cs="Arial"/>
                <w:b/>
                <w:bCs/>
                <w:sz w:val="20"/>
                <w:szCs w:val="20"/>
              </w:rPr>
              <w:t>Condensed Income Statement (Optimistic)</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Arial" w:eastAsia="Times New Roman" w:hAnsi="Arial" w:cs="Arial"/>
                <w:b/>
                <w:bCs/>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t>Revenues</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14880.2</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16657.9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17774.1</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17909.6</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17630.3</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16563.1</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17279.9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18031.6</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18819.1</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Arial" w:eastAsia="Times New Roman" w:hAnsi="Arial" w:cs="Arial"/>
                <w:sz w:val="20"/>
                <w:szCs w:val="20"/>
              </w:rPr>
            </w:pPr>
            <w:r w:rsidRPr="00DB77A3">
              <w:rPr>
                <w:rFonts w:ascii="Arial" w:eastAsia="Times New Roman" w:hAnsi="Arial" w:cs="Arial"/>
                <w:sz w:val="20"/>
                <w:szCs w:val="20"/>
              </w:rPr>
              <w:t>Operating Expenses (COGS+SGA)</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12105.7</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14095.5</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14922.3</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14952.2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15553.0</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13855.7</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13823.9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14425.2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15055.3</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Arial" w:eastAsia="Times New Roman" w:hAnsi="Arial" w:cs="Arial"/>
                <w:sz w:val="20"/>
                <w:szCs w:val="20"/>
              </w:rPr>
            </w:pPr>
            <w:r w:rsidRPr="00DB77A3">
              <w:rPr>
                <w:rFonts w:ascii="Arial" w:eastAsia="Times New Roman" w:hAnsi="Arial" w:cs="Arial"/>
                <w:sz w:val="20"/>
                <w:szCs w:val="20"/>
              </w:rPr>
              <w:t xml:space="preserve">Interest Expense (forecasts: Assumed </w:t>
            </w:r>
            <w:proofErr w:type="spellStart"/>
            <w:r w:rsidRPr="00DB77A3">
              <w:rPr>
                <w:rFonts w:ascii="Arial" w:eastAsia="Times New Roman" w:hAnsi="Arial" w:cs="Arial"/>
                <w:sz w:val="20"/>
                <w:szCs w:val="20"/>
              </w:rPr>
              <w:t>int</w:t>
            </w:r>
            <w:proofErr w:type="spellEnd"/>
            <w:r w:rsidRPr="00DB77A3">
              <w:rPr>
                <w:rFonts w:ascii="Arial" w:eastAsia="Times New Roman" w:hAnsi="Arial" w:cs="Arial"/>
                <w:sz w:val="20"/>
                <w:szCs w:val="20"/>
              </w:rPr>
              <w:t xml:space="preserve"> * Op. Net DEBT)</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346.3</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351.9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316.9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302.4</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315.4</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303.8</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307.2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308.8</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306.6</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t>Income pre-tax</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2428.2</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2210.5</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2534.9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2655.0</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1761.9</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2403.6</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3148.8</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3297.5</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3457.2</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t>Tax</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721.1</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709.6</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741.2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883.3</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586.8</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755.2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1028.5</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1077.1</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1129.3</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t>Net Income</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1798.3</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1567.3</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1855.2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1824.4</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1221.3</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1697.4</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2082.1</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2181.8</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2289.2</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282"/>
        </w:trPr>
        <w:tc>
          <w:tcPr>
            <w:tcW w:w="7466" w:type="dxa"/>
            <w:gridSpan w:val="4"/>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Arial" w:eastAsia="Times New Roman" w:hAnsi="Arial" w:cs="Arial"/>
                <w:b/>
                <w:bCs/>
                <w:sz w:val="20"/>
                <w:szCs w:val="20"/>
              </w:rPr>
            </w:pPr>
            <w:r w:rsidRPr="00DB77A3">
              <w:rPr>
                <w:rFonts w:ascii="Arial" w:eastAsia="Times New Roman" w:hAnsi="Arial" w:cs="Arial"/>
                <w:b/>
                <w:bCs/>
                <w:sz w:val="20"/>
                <w:szCs w:val="20"/>
              </w:rPr>
              <w:t>Condensed Income Statement (Pessimistic)</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Arial" w:eastAsia="Times New Roman" w:hAnsi="Arial" w:cs="Arial"/>
                <w:b/>
                <w:bCs/>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t>Revenues</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14880.2</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16657.9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17774.1</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17909.6</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17630.3</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16563.1</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16300.0</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16046.6</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15802.1</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Arial" w:eastAsia="Times New Roman" w:hAnsi="Arial" w:cs="Arial"/>
                <w:sz w:val="20"/>
                <w:szCs w:val="20"/>
              </w:rPr>
            </w:pPr>
            <w:r w:rsidRPr="00DB77A3">
              <w:rPr>
                <w:rFonts w:ascii="Arial" w:eastAsia="Times New Roman" w:hAnsi="Arial" w:cs="Arial"/>
                <w:sz w:val="20"/>
                <w:szCs w:val="20"/>
              </w:rPr>
              <w:t>Operating Expenses (COGS+SGA)</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12105.7</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14095.5</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14922.3</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14952.2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15553.0</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13855.7</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14018.0</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13800.1</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13589.8</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Arial" w:eastAsia="Times New Roman" w:hAnsi="Arial" w:cs="Arial"/>
                <w:sz w:val="20"/>
                <w:szCs w:val="20"/>
              </w:rPr>
            </w:pPr>
            <w:r w:rsidRPr="00DB77A3">
              <w:rPr>
                <w:rFonts w:ascii="Arial" w:eastAsia="Times New Roman" w:hAnsi="Arial" w:cs="Arial"/>
                <w:sz w:val="20"/>
                <w:szCs w:val="20"/>
              </w:rPr>
              <w:t xml:space="preserve">Interest Expense (forecasts: Assumed </w:t>
            </w:r>
            <w:proofErr w:type="spellStart"/>
            <w:r w:rsidRPr="00DB77A3">
              <w:rPr>
                <w:rFonts w:ascii="Arial" w:eastAsia="Times New Roman" w:hAnsi="Arial" w:cs="Arial"/>
                <w:sz w:val="20"/>
                <w:szCs w:val="20"/>
              </w:rPr>
              <w:t>int</w:t>
            </w:r>
            <w:proofErr w:type="spellEnd"/>
            <w:r w:rsidRPr="00DB77A3">
              <w:rPr>
                <w:rFonts w:ascii="Arial" w:eastAsia="Times New Roman" w:hAnsi="Arial" w:cs="Arial"/>
                <w:sz w:val="20"/>
                <w:szCs w:val="20"/>
              </w:rPr>
              <w:t xml:space="preserve"> * Op. Net DEBT)</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346.3</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351.9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316.9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302.4</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315.4</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303.8</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307.2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308.8</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306.6</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t>Income pre-tax</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2428.2</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2210.5</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2534.9</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2655.0</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1761.9</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2403.6</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1974.8</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1937.7</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1905.7</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t>Tax</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721.1</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709.6</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741.2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883.3</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586.8</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755.2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691.2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678.2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667.0</w:t>
            </w:r>
          </w:p>
        </w:tc>
      </w:tr>
      <w:tr w:rsidR="00DB77A3" w:rsidRPr="00DB77A3" w:rsidTr="00DB77A3">
        <w:trPr>
          <w:trHeight w:val="282"/>
        </w:trPr>
        <w:tc>
          <w:tcPr>
            <w:tcW w:w="469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t>Net Income</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1798.3</w:t>
            </w:r>
          </w:p>
        </w:tc>
        <w:tc>
          <w:tcPr>
            <w:tcW w:w="92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1567.3</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1855.2</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1824.4</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1221.3</w:t>
            </w:r>
          </w:p>
        </w:tc>
        <w:tc>
          <w:tcPr>
            <w:tcW w:w="935"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1697.4</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1245.5</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1221.0</w:t>
            </w:r>
          </w:p>
        </w:tc>
        <w:tc>
          <w:tcPr>
            <w:tcW w:w="9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1200.0</w:t>
            </w:r>
          </w:p>
        </w:tc>
      </w:tr>
    </w:tbl>
    <w:p w:rsidR="002B74CF" w:rsidRDefault="002B74CF">
      <w:pPr>
        <w:rPr>
          <w:b/>
          <w:u w:val="single"/>
        </w:rPr>
      </w:pPr>
    </w:p>
    <w:tbl>
      <w:tblPr>
        <w:tblW w:w="7608" w:type="dxa"/>
        <w:tblLook w:val="04A0" w:firstRow="1" w:lastRow="0" w:firstColumn="1" w:lastColumn="0" w:noHBand="0" w:noVBand="1"/>
      </w:tblPr>
      <w:tblGrid>
        <w:gridCol w:w="1661"/>
        <w:gridCol w:w="1186"/>
        <w:gridCol w:w="1519"/>
        <w:gridCol w:w="2266"/>
        <w:gridCol w:w="1053"/>
      </w:tblGrid>
      <w:tr w:rsidR="00DB77A3" w:rsidRPr="00DB77A3" w:rsidTr="00DB77A3">
        <w:trPr>
          <w:trHeight w:val="300"/>
        </w:trPr>
        <w:tc>
          <w:tcPr>
            <w:tcW w:w="2847" w:type="dxa"/>
            <w:gridSpan w:val="2"/>
            <w:tcBorders>
              <w:top w:val="nil"/>
              <w:left w:val="nil"/>
              <w:bottom w:val="nil"/>
              <w:right w:val="nil"/>
            </w:tcBorders>
            <w:shd w:val="clear" w:color="auto" w:fill="auto"/>
            <w:noWrap/>
            <w:vAlign w:val="bottom"/>
            <w:hideMark/>
          </w:tcPr>
          <w:p w:rsidR="00DB77A3" w:rsidRDefault="00DB77A3" w:rsidP="00DB77A3">
            <w:pPr>
              <w:spacing w:after="0" w:line="240" w:lineRule="auto"/>
              <w:rPr>
                <w:rFonts w:ascii="Arial" w:eastAsia="Times New Roman" w:hAnsi="Arial" w:cs="Arial"/>
                <w:b/>
                <w:bCs/>
                <w:sz w:val="20"/>
                <w:szCs w:val="20"/>
                <w:u w:val="single"/>
              </w:rPr>
            </w:pPr>
            <w:r w:rsidRPr="00DB77A3">
              <w:rPr>
                <w:rFonts w:ascii="Arial" w:eastAsia="Times New Roman" w:hAnsi="Arial" w:cs="Arial"/>
                <w:b/>
                <w:bCs/>
                <w:sz w:val="20"/>
                <w:szCs w:val="20"/>
                <w:u w:val="single"/>
              </w:rPr>
              <w:t>Valuation Exercise</w:t>
            </w:r>
          </w:p>
          <w:p w:rsidR="00DB77A3" w:rsidRDefault="00DB77A3" w:rsidP="00DB77A3">
            <w:pPr>
              <w:spacing w:after="0" w:line="240" w:lineRule="auto"/>
              <w:rPr>
                <w:rFonts w:ascii="Arial" w:eastAsia="Times New Roman" w:hAnsi="Arial" w:cs="Arial"/>
                <w:b/>
                <w:bCs/>
                <w:sz w:val="20"/>
                <w:szCs w:val="20"/>
                <w:u w:val="single"/>
              </w:rPr>
            </w:pPr>
          </w:p>
          <w:p w:rsidR="00DB77A3" w:rsidRPr="00DB77A3" w:rsidRDefault="00DB77A3" w:rsidP="00DB77A3">
            <w:pPr>
              <w:spacing w:after="0" w:line="240" w:lineRule="auto"/>
              <w:rPr>
                <w:rFonts w:ascii="Arial" w:eastAsia="Times New Roman" w:hAnsi="Arial" w:cs="Arial"/>
                <w:b/>
                <w:bCs/>
                <w:sz w:val="20"/>
                <w:szCs w:val="20"/>
              </w:rPr>
            </w:pPr>
            <w:r>
              <w:rPr>
                <w:rFonts w:ascii="Arial" w:eastAsia="Times New Roman" w:hAnsi="Arial" w:cs="Arial"/>
                <w:b/>
                <w:bCs/>
                <w:sz w:val="20"/>
                <w:szCs w:val="20"/>
              </w:rPr>
              <w:t>Exhibit 5. Re Calculation</w:t>
            </w:r>
          </w:p>
        </w:tc>
        <w:tc>
          <w:tcPr>
            <w:tcW w:w="1519"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Arial" w:eastAsia="Times New Roman" w:hAnsi="Arial" w:cs="Arial"/>
                <w:b/>
                <w:bCs/>
                <w:sz w:val="20"/>
                <w:szCs w:val="20"/>
                <w:u w:val="single"/>
              </w:rPr>
            </w:pPr>
          </w:p>
        </w:tc>
        <w:tc>
          <w:tcPr>
            <w:tcW w:w="226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300"/>
        </w:trPr>
        <w:tc>
          <w:tcPr>
            <w:tcW w:w="166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18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both"/>
              <w:rPr>
                <w:rFonts w:ascii="Times New Roman" w:eastAsia="Times New Roman" w:hAnsi="Times New Roman" w:cs="Times New Roman"/>
                <w:sz w:val="20"/>
                <w:szCs w:val="20"/>
              </w:rPr>
            </w:pPr>
          </w:p>
        </w:tc>
        <w:tc>
          <w:tcPr>
            <w:tcW w:w="1519"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226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300"/>
        </w:trPr>
        <w:tc>
          <w:tcPr>
            <w:tcW w:w="284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Shares Outstanding</w:t>
            </w:r>
          </w:p>
        </w:tc>
        <w:tc>
          <w:tcPr>
            <w:tcW w:w="1519"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p>
        </w:tc>
        <w:tc>
          <w:tcPr>
            <w:tcW w:w="226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300"/>
        </w:trPr>
        <w:tc>
          <w:tcPr>
            <w:tcW w:w="166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18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519"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226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300"/>
        </w:trPr>
        <w:tc>
          <w:tcPr>
            <w:tcW w:w="166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R</w:t>
            </w:r>
            <w:r>
              <w:rPr>
                <w:rFonts w:ascii="Helvetica" w:eastAsia="Times New Roman" w:hAnsi="Helvetica" w:cs="Helvetica"/>
                <w:color w:val="000000"/>
                <w:sz w:val="18"/>
                <w:szCs w:val="18"/>
              </w:rPr>
              <w:t xml:space="preserve">isk </w:t>
            </w:r>
            <w:r w:rsidRPr="00DB77A3">
              <w:rPr>
                <w:rFonts w:ascii="Helvetica" w:eastAsia="Times New Roman" w:hAnsi="Helvetica" w:cs="Helvetica"/>
                <w:color w:val="000000"/>
                <w:sz w:val="18"/>
                <w:szCs w:val="18"/>
              </w:rPr>
              <w:t>f</w:t>
            </w:r>
            <w:r>
              <w:rPr>
                <w:rFonts w:ascii="Helvetica" w:eastAsia="Times New Roman" w:hAnsi="Helvetica" w:cs="Helvetica"/>
                <w:color w:val="000000"/>
                <w:sz w:val="18"/>
                <w:szCs w:val="18"/>
              </w:rPr>
              <w:t>ree</w:t>
            </w:r>
          </w:p>
        </w:tc>
        <w:tc>
          <w:tcPr>
            <w:tcW w:w="118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center"/>
              <w:rPr>
                <w:rFonts w:ascii="Calibri" w:eastAsia="Times New Roman" w:hAnsi="Calibri" w:cs="Calibri"/>
                <w:color w:val="000000"/>
              </w:rPr>
            </w:pPr>
            <w:r w:rsidRPr="00DB77A3">
              <w:rPr>
                <w:rFonts w:ascii="Calibri" w:eastAsia="Times New Roman" w:hAnsi="Calibri" w:cs="Calibri"/>
                <w:color w:val="000000"/>
              </w:rPr>
              <w:t>1.81%</w:t>
            </w:r>
          </w:p>
        </w:tc>
        <w:tc>
          <w:tcPr>
            <w:tcW w:w="1519"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226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300"/>
        </w:trPr>
        <w:tc>
          <w:tcPr>
            <w:tcW w:w="166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beta</w:t>
            </w:r>
          </w:p>
        </w:tc>
        <w:tc>
          <w:tcPr>
            <w:tcW w:w="118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center"/>
              <w:rPr>
                <w:rFonts w:ascii="Calibri" w:eastAsia="Times New Roman" w:hAnsi="Calibri" w:cs="Calibri"/>
                <w:color w:val="000000"/>
              </w:rPr>
            </w:pPr>
            <w:r w:rsidRPr="00DB77A3">
              <w:rPr>
                <w:rFonts w:ascii="Calibri" w:eastAsia="Times New Roman" w:hAnsi="Calibri" w:cs="Calibri"/>
                <w:color w:val="000000"/>
              </w:rPr>
              <w:t>0.73</w:t>
            </w:r>
          </w:p>
        </w:tc>
        <w:tc>
          <w:tcPr>
            <w:tcW w:w="1519"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p>
        </w:tc>
        <w:tc>
          <w:tcPr>
            <w:tcW w:w="226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300"/>
        </w:trPr>
        <w:tc>
          <w:tcPr>
            <w:tcW w:w="166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Market Premium</w:t>
            </w:r>
          </w:p>
        </w:tc>
        <w:tc>
          <w:tcPr>
            <w:tcW w:w="118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center"/>
              <w:rPr>
                <w:rFonts w:ascii="Calibri" w:eastAsia="Times New Roman" w:hAnsi="Calibri" w:cs="Calibri"/>
                <w:color w:val="000000"/>
              </w:rPr>
            </w:pPr>
            <w:r w:rsidRPr="00DB77A3">
              <w:rPr>
                <w:rFonts w:ascii="Calibri" w:eastAsia="Times New Roman" w:hAnsi="Calibri" w:cs="Calibri"/>
                <w:color w:val="000000"/>
              </w:rPr>
              <w:t>7%</w:t>
            </w:r>
          </w:p>
        </w:tc>
        <w:tc>
          <w:tcPr>
            <w:tcW w:w="1519"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226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300"/>
        </w:trPr>
        <w:tc>
          <w:tcPr>
            <w:tcW w:w="166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b/>
                <w:bCs/>
                <w:color w:val="000000"/>
                <w:sz w:val="18"/>
                <w:szCs w:val="18"/>
              </w:rPr>
            </w:pPr>
            <w:r w:rsidRPr="00DB77A3">
              <w:rPr>
                <w:rFonts w:ascii="Helvetica" w:eastAsia="Times New Roman" w:hAnsi="Helvetica" w:cs="Helvetica"/>
                <w:b/>
                <w:bCs/>
                <w:color w:val="000000"/>
                <w:sz w:val="18"/>
                <w:szCs w:val="18"/>
              </w:rPr>
              <w:lastRenderedPageBreak/>
              <w:t>re</w:t>
            </w:r>
          </w:p>
        </w:tc>
        <w:tc>
          <w:tcPr>
            <w:tcW w:w="118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center"/>
              <w:rPr>
                <w:rFonts w:ascii="Calibri" w:eastAsia="Times New Roman" w:hAnsi="Calibri" w:cs="Calibri"/>
                <w:b/>
                <w:bCs/>
                <w:color w:val="000000"/>
              </w:rPr>
            </w:pPr>
            <w:r w:rsidRPr="00DB77A3">
              <w:rPr>
                <w:rFonts w:ascii="Calibri" w:eastAsia="Times New Roman" w:hAnsi="Calibri" w:cs="Calibri"/>
                <w:b/>
                <w:bCs/>
                <w:color w:val="000000"/>
              </w:rPr>
              <w:t>6.80%</w:t>
            </w:r>
          </w:p>
        </w:tc>
        <w:tc>
          <w:tcPr>
            <w:tcW w:w="1519"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p>
        </w:tc>
        <w:tc>
          <w:tcPr>
            <w:tcW w:w="226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t>Market Cap ($thousands)</w:t>
            </w:r>
          </w:p>
        </w:tc>
        <w:tc>
          <w:tcPr>
            <w:tcW w:w="97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36300</w:t>
            </w:r>
          </w:p>
        </w:tc>
      </w:tr>
      <w:tr w:rsidR="00DB77A3" w:rsidRPr="00DB77A3" w:rsidTr="00DB77A3">
        <w:trPr>
          <w:trHeight w:val="300"/>
        </w:trPr>
        <w:tc>
          <w:tcPr>
            <w:tcW w:w="166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118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center"/>
              <w:rPr>
                <w:rFonts w:ascii="Times New Roman" w:eastAsia="Times New Roman" w:hAnsi="Times New Roman" w:cs="Times New Roman"/>
                <w:sz w:val="20"/>
                <w:szCs w:val="20"/>
              </w:rPr>
            </w:pPr>
          </w:p>
        </w:tc>
        <w:tc>
          <w:tcPr>
            <w:tcW w:w="1519"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226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r w:rsidRPr="00DB77A3">
              <w:rPr>
                <w:rFonts w:ascii="Calibri" w:eastAsia="Times New Roman" w:hAnsi="Calibri" w:cs="Calibri"/>
                <w:color w:val="000000"/>
              </w:rPr>
              <w:t>Shares outstanding</w:t>
            </w:r>
          </w:p>
        </w:tc>
        <w:tc>
          <w:tcPr>
            <w:tcW w:w="97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591.3978</w:t>
            </w:r>
          </w:p>
        </w:tc>
      </w:tr>
      <w:tr w:rsidR="00DB77A3" w:rsidRPr="00DB77A3" w:rsidTr="00DB77A3">
        <w:trPr>
          <w:trHeight w:val="300"/>
        </w:trPr>
        <w:tc>
          <w:tcPr>
            <w:tcW w:w="284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center"/>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Shares Outstanding</w:t>
            </w:r>
            <w:r>
              <w:rPr>
                <w:rFonts w:ascii="Helvetica" w:eastAsia="Times New Roman" w:hAnsi="Helvetica" w:cs="Helvetica"/>
                <w:color w:val="000000"/>
                <w:sz w:val="18"/>
                <w:szCs w:val="18"/>
              </w:rPr>
              <w:t xml:space="preserve"> (USD$M)</w:t>
            </w:r>
          </w:p>
        </w:tc>
        <w:tc>
          <w:tcPr>
            <w:tcW w:w="1519"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p>
        </w:tc>
        <w:tc>
          <w:tcPr>
            <w:tcW w:w="226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61.38</w:t>
            </w:r>
          </w:p>
        </w:tc>
      </w:tr>
      <w:tr w:rsidR="00DB77A3" w:rsidRPr="00DB77A3" w:rsidTr="00DB77A3">
        <w:trPr>
          <w:trHeight w:val="300"/>
        </w:trPr>
        <w:tc>
          <w:tcPr>
            <w:tcW w:w="166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Current Price</w:t>
            </w:r>
          </w:p>
        </w:tc>
        <w:tc>
          <w:tcPr>
            <w:tcW w:w="118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center"/>
              <w:rPr>
                <w:rFonts w:ascii="Calibri" w:eastAsia="Times New Roman" w:hAnsi="Calibri" w:cs="Calibri"/>
                <w:color w:val="000000"/>
              </w:rPr>
            </w:pPr>
            <w:r w:rsidRPr="00DB77A3">
              <w:rPr>
                <w:rFonts w:ascii="Calibri" w:eastAsia="Times New Roman" w:hAnsi="Calibri" w:cs="Calibri"/>
                <w:color w:val="000000"/>
              </w:rPr>
              <w:t>61</w:t>
            </w:r>
          </w:p>
        </w:tc>
        <w:tc>
          <w:tcPr>
            <w:tcW w:w="1519" w:type="dxa"/>
            <w:tcBorders>
              <w:top w:val="nil"/>
              <w:left w:val="nil"/>
              <w:bottom w:val="nil"/>
              <w:right w:val="nil"/>
            </w:tcBorders>
            <w:shd w:val="clear" w:color="auto" w:fill="auto"/>
            <w:noWrap/>
            <w:vAlign w:val="bottom"/>
          </w:tcPr>
          <w:p w:rsidR="00DB77A3" w:rsidRPr="00DB77A3" w:rsidRDefault="00DB77A3" w:rsidP="00DB77A3">
            <w:pPr>
              <w:spacing w:after="0" w:line="240" w:lineRule="auto"/>
              <w:rPr>
                <w:rFonts w:ascii="Calibri" w:eastAsia="Times New Roman" w:hAnsi="Calibri" w:cs="Calibri"/>
                <w:color w:val="000000"/>
              </w:rPr>
            </w:pPr>
          </w:p>
        </w:tc>
        <w:tc>
          <w:tcPr>
            <w:tcW w:w="2266" w:type="dxa"/>
            <w:tcBorders>
              <w:top w:val="nil"/>
              <w:left w:val="nil"/>
              <w:bottom w:val="nil"/>
              <w:right w:val="nil"/>
            </w:tcBorders>
            <w:shd w:val="clear" w:color="auto" w:fill="auto"/>
            <w:noWrap/>
            <w:vAlign w:val="bottom"/>
          </w:tcPr>
          <w:p w:rsidR="00DB77A3" w:rsidRPr="00DB77A3" w:rsidRDefault="00DB77A3" w:rsidP="00DB77A3">
            <w:pPr>
              <w:spacing w:after="0" w:line="240" w:lineRule="auto"/>
              <w:jc w:val="right"/>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tcPr>
          <w:p w:rsidR="00DB77A3" w:rsidRPr="00DB77A3" w:rsidRDefault="00DB77A3" w:rsidP="00DB77A3">
            <w:pPr>
              <w:spacing w:after="0" w:line="240" w:lineRule="auto"/>
              <w:jc w:val="right"/>
              <w:rPr>
                <w:rFonts w:ascii="Calibri" w:eastAsia="Times New Roman" w:hAnsi="Calibri" w:cs="Calibri"/>
                <w:color w:val="000000"/>
              </w:rPr>
            </w:pPr>
          </w:p>
        </w:tc>
      </w:tr>
      <w:tr w:rsidR="00DB77A3" w:rsidRPr="00DB77A3" w:rsidTr="00DB77A3">
        <w:trPr>
          <w:trHeight w:val="300"/>
        </w:trPr>
        <w:tc>
          <w:tcPr>
            <w:tcW w:w="166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Over (Under) Valued</w:t>
            </w:r>
          </w:p>
        </w:tc>
        <w:tc>
          <w:tcPr>
            <w:tcW w:w="118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center"/>
              <w:rPr>
                <w:rFonts w:ascii="Calibri" w:eastAsia="Times New Roman" w:hAnsi="Calibri" w:cs="Calibri"/>
                <w:color w:val="000000"/>
              </w:rPr>
            </w:pPr>
            <w:r w:rsidRPr="00DB77A3">
              <w:rPr>
                <w:rFonts w:ascii="Calibri" w:eastAsia="Times New Roman" w:hAnsi="Calibri" w:cs="Calibri"/>
                <w:color w:val="000000"/>
              </w:rPr>
              <w:t>2,914</w:t>
            </w:r>
          </w:p>
        </w:tc>
        <w:tc>
          <w:tcPr>
            <w:tcW w:w="1519"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p>
        </w:tc>
        <w:tc>
          <w:tcPr>
            <w:tcW w:w="226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300"/>
        </w:trPr>
        <w:tc>
          <w:tcPr>
            <w:tcW w:w="166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Value of Firm</w:t>
            </w:r>
          </w:p>
        </w:tc>
        <w:tc>
          <w:tcPr>
            <w:tcW w:w="118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center"/>
              <w:rPr>
                <w:rFonts w:ascii="Calibri" w:eastAsia="Times New Roman" w:hAnsi="Calibri" w:cs="Calibri"/>
                <w:color w:val="000000"/>
              </w:rPr>
            </w:pPr>
            <w:r w:rsidRPr="00DB77A3">
              <w:rPr>
                <w:rFonts w:ascii="Calibri" w:eastAsia="Times New Roman" w:hAnsi="Calibri" w:cs="Calibri"/>
                <w:color w:val="000000"/>
              </w:rPr>
              <w:t>33,386</w:t>
            </w:r>
          </w:p>
        </w:tc>
        <w:tc>
          <w:tcPr>
            <w:tcW w:w="1519"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color w:val="000000"/>
              </w:rPr>
            </w:pPr>
          </w:p>
        </w:tc>
        <w:tc>
          <w:tcPr>
            <w:tcW w:w="226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bl>
    <w:p w:rsidR="00DB77A3" w:rsidRDefault="00DB77A3">
      <w:pPr>
        <w:rPr>
          <w:b/>
          <w:u w:val="single"/>
        </w:rPr>
      </w:pPr>
    </w:p>
    <w:p w:rsidR="00DB77A3" w:rsidRPr="00DB77A3" w:rsidRDefault="00DB77A3">
      <w:pPr>
        <w:rPr>
          <w:b/>
        </w:rPr>
      </w:pPr>
      <w:r>
        <w:rPr>
          <w:b/>
        </w:rPr>
        <w:t>Exhibit 6.</w:t>
      </w:r>
    </w:p>
    <w:p w:rsidR="00DB77A3" w:rsidRPr="00DB77A3" w:rsidRDefault="00DB77A3">
      <w:pPr>
        <w:rPr>
          <w:b/>
          <w:u w:val="single"/>
        </w:rPr>
      </w:pPr>
      <w:r w:rsidRPr="00DB77A3">
        <w:rPr>
          <w:b/>
          <w:u w:val="single"/>
        </w:rPr>
        <w:t>Abnormal Earnings Models</w:t>
      </w:r>
      <w:r>
        <w:rPr>
          <w:b/>
          <w:u w:val="single"/>
        </w:rPr>
        <w:t xml:space="preserve"> (USD$M)</w:t>
      </w:r>
    </w:p>
    <w:tbl>
      <w:tblPr>
        <w:tblW w:w="13702" w:type="dxa"/>
        <w:tblLook w:val="04A0" w:firstRow="1" w:lastRow="0" w:firstColumn="1" w:lastColumn="0" w:noHBand="0" w:noVBand="1"/>
      </w:tblPr>
      <w:tblGrid>
        <w:gridCol w:w="2074"/>
        <w:gridCol w:w="941"/>
        <w:gridCol w:w="830"/>
        <w:gridCol w:w="830"/>
        <w:gridCol w:w="830"/>
        <w:gridCol w:w="940"/>
        <w:gridCol w:w="903"/>
        <w:gridCol w:w="903"/>
        <w:gridCol w:w="903"/>
        <w:gridCol w:w="1144"/>
        <w:gridCol w:w="903"/>
        <w:gridCol w:w="941"/>
        <w:gridCol w:w="941"/>
        <w:gridCol w:w="941"/>
      </w:tblGrid>
      <w:tr w:rsidR="00DB77A3" w:rsidRPr="00DB77A3" w:rsidTr="00DB77A3">
        <w:trPr>
          <w:trHeight w:val="387"/>
        </w:trPr>
        <w:tc>
          <w:tcPr>
            <w:tcW w:w="294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b/>
                <w:bCs/>
              </w:rPr>
            </w:pPr>
            <w:r w:rsidRPr="00DB77A3">
              <w:rPr>
                <w:rFonts w:ascii="Calibri" w:eastAsia="Times New Roman" w:hAnsi="Calibri" w:cs="Calibri"/>
                <w:b/>
                <w:bCs/>
              </w:rPr>
              <w:t>Abnormal Earnings Model</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b/>
                <w:bCs/>
              </w:rPr>
            </w:pP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68"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40"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14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387"/>
        </w:trPr>
        <w:tc>
          <w:tcPr>
            <w:tcW w:w="207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b/>
                <w:bCs/>
              </w:rPr>
            </w:pPr>
            <w:r w:rsidRPr="00DB77A3">
              <w:rPr>
                <w:rFonts w:ascii="Calibri" w:eastAsia="Times New Roman" w:hAnsi="Calibri" w:cs="Calibri"/>
                <w:b/>
                <w:bCs/>
              </w:rPr>
              <w:t>Base Case</w:t>
            </w:r>
          </w:p>
        </w:tc>
        <w:tc>
          <w:tcPr>
            <w:tcW w:w="87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rPr>
            </w:pPr>
            <w:r w:rsidRPr="00DB77A3">
              <w:rPr>
                <w:rFonts w:ascii="Calibri" w:eastAsia="Times New Roman" w:hAnsi="Calibri" w:cs="Calibri"/>
                <w:b/>
                <w:bCs/>
              </w:rPr>
              <w:t>2016</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2017</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2018</w:t>
            </w:r>
          </w:p>
        </w:tc>
        <w:tc>
          <w:tcPr>
            <w:tcW w:w="768"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2019</w:t>
            </w:r>
          </w:p>
        </w:tc>
        <w:tc>
          <w:tcPr>
            <w:tcW w:w="940"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2022</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2023</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2024</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2025</w:t>
            </w:r>
          </w:p>
        </w:tc>
        <w:tc>
          <w:tcPr>
            <w:tcW w:w="114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2026</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2027</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2028</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2029</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2030</w:t>
            </w:r>
          </w:p>
        </w:tc>
      </w:tr>
      <w:tr w:rsidR="00DB77A3" w:rsidRPr="00DB77A3" w:rsidTr="00DB77A3">
        <w:trPr>
          <w:trHeight w:val="387"/>
        </w:trPr>
        <w:tc>
          <w:tcPr>
            <w:tcW w:w="207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Equity</w:t>
            </w:r>
          </w:p>
        </w:tc>
        <w:tc>
          <w:tcPr>
            <w:tcW w:w="87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5307.1</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7009.9</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7209.3</w:t>
            </w:r>
          </w:p>
        </w:tc>
        <w:tc>
          <w:tcPr>
            <w:tcW w:w="768"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7755.6</w:t>
            </w:r>
          </w:p>
        </w:tc>
        <w:tc>
          <w:tcPr>
            <w:tcW w:w="940"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9429.4</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9523.7</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9618.9</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9715.1</w:t>
            </w:r>
          </w:p>
        </w:tc>
        <w:tc>
          <w:tcPr>
            <w:tcW w:w="114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9812.2</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9910.4</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10009.5</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10109.6</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10210.7</w:t>
            </w:r>
          </w:p>
        </w:tc>
      </w:tr>
      <w:tr w:rsidR="00DB77A3" w:rsidRPr="00DB77A3" w:rsidTr="00DB77A3">
        <w:trPr>
          <w:trHeight w:val="387"/>
        </w:trPr>
        <w:tc>
          <w:tcPr>
            <w:tcW w:w="207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Net Income</w:t>
            </w:r>
          </w:p>
        </w:tc>
        <w:tc>
          <w:tcPr>
            <w:tcW w:w="87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1697.4</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1759.7</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1848.3</w:t>
            </w:r>
          </w:p>
        </w:tc>
        <w:tc>
          <w:tcPr>
            <w:tcW w:w="768"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1933.7</w:t>
            </w:r>
          </w:p>
        </w:tc>
        <w:tc>
          <w:tcPr>
            <w:tcW w:w="940"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2116.6</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2158.9</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2202.1</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2246.1</w:t>
            </w:r>
          </w:p>
        </w:tc>
        <w:tc>
          <w:tcPr>
            <w:tcW w:w="114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2291.1</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2336.9</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2383.6</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2431.3</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2479.9</w:t>
            </w:r>
          </w:p>
        </w:tc>
      </w:tr>
      <w:tr w:rsidR="00DB77A3" w:rsidRPr="00DB77A3" w:rsidTr="00DB77A3">
        <w:trPr>
          <w:trHeight w:val="387"/>
        </w:trPr>
        <w:tc>
          <w:tcPr>
            <w:tcW w:w="207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Normal Earnings</w:t>
            </w:r>
          </w:p>
        </w:tc>
        <w:tc>
          <w:tcPr>
            <w:tcW w:w="87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361.1</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476.9</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490.5</w:t>
            </w:r>
          </w:p>
        </w:tc>
        <w:tc>
          <w:tcPr>
            <w:tcW w:w="768"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527.6</w:t>
            </w:r>
          </w:p>
        </w:tc>
        <w:tc>
          <w:tcPr>
            <w:tcW w:w="940"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641.5</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647.9</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654.4</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660.9</w:t>
            </w:r>
          </w:p>
        </w:tc>
        <w:tc>
          <w:tcPr>
            <w:tcW w:w="114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667.5</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674.2</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681.0</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687.8</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694.7</w:t>
            </w:r>
          </w:p>
        </w:tc>
      </w:tr>
      <w:tr w:rsidR="00DB77A3" w:rsidRPr="00DB77A3" w:rsidTr="00DB77A3">
        <w:trPr>
          <w:trHeight w:val="387"/>
        </w:trPr>
        <w:tc>
          <w:tcPr>
            <w:tcW w:w="207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Abnormal Earnings</w:t>
            </w:r>
          </w:p>
        </w:tc>
        <w:tc>
          <w:tcPr>
            <w:tcW w:w="87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1336.3</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1282.8</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1357.9</w:t>
            </w:r>
          </w:p>
        </w:tc>
        <w:tc>
          <w:tcPr>
            <w:tcW w:w="768"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1406.0</w:t>
            </w:r>
          </w:p>
        </w:tc>
        <w:tc>
          <w:tcPr>
            <w:tcW w:w="940"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1475.1</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1511.0</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1547.7</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1585.2</w:t>
            </w:r>
          </w:p>
        </w:tc>
        <w:tc>
          <w:tcPr>
            <w:tcW w:w="114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1623.5</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1662.7</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1702.7</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1743.5</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1785.3</w:t>
            </w:r>
          </w:p>
        </w:tc>
      </w:tr>
      <w:tr w:rsidR="00DB77A3" w:rsidRPr="00DB77A3" w:rsidTr="00DB77A3">
        <w:trPr>
          <w:trHeight w:val="387"/>
        </w:trPr>
        <w:tc>
          <w:tcPr>
            <w:tcW w:w="207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Terminal Value</w:t>
            </w:r>
          </w:p>
        </w:tc>
        <w:tc>
          <w:tcPr>
            <w:tcW w:w="87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68"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40"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14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37168.3</w:t>
            </w:r>
          </w:p>
        </w:tc>
      </w:tr>
      <w:tr w:rsidR="00DB77A3" w:rsidRPr="00DB77A3" w:rsidTr="00DB77A3">
        <w:trPr>
          <w:trHeight w:val="387"/>
        </w:trPr>
        <w:tc>
          <w:tcPr>
            <w:tcW w:w="207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Total Abnormal Value</w:t>
            </w:r>
          </w:p>
        </w:tc>
        <w:tc>
          <w:tcPr>
            <w:tcW w:w="87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1336.3</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1282.8</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1357.9</w:t>
            </w:r>
          </w:p>
        </w:tc>
        <w:tc>
          <w:tcPr>
            <w:tcW w:w="768"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1406.0</w:t>
            </w:r>
          </w:p>
        </w:tc>
        <w:tc>
          <w:tcPr>
            <w:tcW w:w="940"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1475.1</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1511.0</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1547.7</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1585.2</w:t>
            </w:r>
          </w:p>
        </w:tc>
        <w:tc>
          <w:tcPr>
            <w:tcW w:w="114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1623.5</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1662.7</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1702.7</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1743.5</w:t>
            </w: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38953.5</w:t>
            </w:r>
          </w:p>
        </w:tc>
      </w:tr>
      <w:tr w:rsidR="00DB77A3" w:rsidRPr="00DB77A3" w:rsidTr="00DB77A3">
        <w:trPr>
          <w:trHeight w:val="387"/>
        </w:trPr>
        <w:tc>
          <w:tcPr>
            <w:tcW w:w="207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87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68"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40"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14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387"/>
        </w:trPr>
        <w:tc>
          <w:tcPr>
            <w:tcW w:w="207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Valuation</w:t>
            </w:r>
          </w:p>
        </w:tc>
        <w:tc>
          <w:tcPr>
            <w:tcW w:w="87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33386.5</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68"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40"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14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387"/>
        </w:trPr>
        <w:tc>
          <w:tcPr>
            <w:tcW w:w="207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Current Price</w:t>
            </w:r>
          </w:p>
        </w:tc>
        <w:tc>
          <w:tcPr>
            <w:tcW w:w="87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61.4</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68"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40"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14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387"/>
        </w:trPr>
        <w:tc>
          <w:tcPr>
            <w:tcW w:w="207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Intrinsic Value</w:t>
            </w:r>
          </w:p>
        </w:tc>
        <w:tc>
          <w:tcPr>
            <w:tcW w:w="87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56.5</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68"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40"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14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387"/>
        </w:trPr>
        <w:tc>
          <w:tcPr>
            <w:tcW w:w="207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Over (Under) Valued</w:t>
            </w:r>
          </w:p>
        </w:tc>
        <w:tc>
          <w:tcPr>
            <w:tcW w:w="871"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4.9</w:t>
            </w: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792"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68"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40"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14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3"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bl>
    <w:p w:rsidR="00DB77A3" w:rsidRDefault="00DB77A3"/>
    <w:tbl>
      <w:tblPr>
        <w:tblW w:w="13017" w:type="dxa"/>
        <w:tblLook w:val="04A0" w:firstRow="1" w:lastRow="0" w:firstColumn="1" w:lastColumn="0" w:noHBand="0" w:noVBand="1"/>
      </w:tblPr>
      <w:tblGrid>
        <w:gridCol w:w="1424"/>
        <w:gridCol w:w="223"/>
        <w:gridCol w:w="742"/>
        <w:gridCol w:w="199"/>
        <w:gridCol w:w="641"/>
        <w:gridCol w:w="189"/>
        <w:gridCol w:w="642"/>
        <w:gridCol w:w="202"/>
        <w:gridCol w:w="635"/>
        <w:gridCol w:w="195"/>
        <w:gridCol w:w="637"/>
        <w:gridCol w:w="291"/>
        <w:gridCol w:w="539"/>
        <w:gridCol w:w="386"/>
        <w:gridCol w:w="444"/>
        <w:gridCol w:w="455"/>
        <w:gridCol w:w="393"/>
        <w:gridCol w:w="548"/>
        <w:gridCol w:w="367"/>
        <w:gridCol w:w="696"/>
        <w:gridCol w:w="134"/>
        <w:gridCol w:w="833"/>
        <w:gridCol w:w="108"/>
        <w:gridCol w:w="863"/>
        <w:gridCol w:w="78"/>
        <w:gridCol w:w="888"/>
        <w:gridCol w:w="56"/>
        <w:gridCol w:w="885"/>
      </w:tblGrid>
      <w:tr w:rsidR="00DB77A3" w:rsidRPr="00DB77A3" w:rsidTr="00DB77A3">
        <w:trPr>
          <w:gridAfter w:val="1"/>
          <w:wAfter w:w="835" w:type="dxa"/>
          <w:trHeight w:val="257"/>
        </w:trPr>
        <w:tc>
          <w:tcPr>
            <w:tcW w:w="2344" w:type="dxa"/>
            <w:gridSpan w:val="3"/>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b/>
                <w:bCs/>
                <w:sz w:val="12"/>
              </w:rPr>
            </w:pPr>
            <w:r w:rsidRPr="00DB77A3">
              <w:rPr>
                <w:rFonts w:ascii="Calibri" w:eastAsia="Times New Roman" w:hAnsi="Calibri" w:cs="Calibri"/>
                <w:b/>
                <w:bCs/>
              </w:rPr>
              <w:lastRenderedPageBreak/>
              <w:t>Abnormal Earnings Model</w:t>
            </w:r>
            <w:r>
              <w:rPr>
                <w:rFonts w:ascii="Calibri" w:eastAsia="Times New Roman" w:hAnsi="Calibri" w:cs="Calibri"/>
                <w:b/>
                <w:bCs/>
              </w:rPr>
              <w:br/>
            </w:r>
          </w:p>
        </w:tc>
        <w:tc>
          <w:tcPr>
            <w:tcW w:w="78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b/>
                <w:bCs/>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gridAfter w:val="1"/>
          <w:wAfter w:w="836" w:type="dxa"/>
          <w:trHeight w:val="257"/>
        </w:trPr>
        <w:tc>
          <w:tcPr>
            <w:tcW w:w="14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b/>
                <w:bCs/>
              </w:rPr>
            </w:pPr>
            <w:r w:rsidRPr="00DB77A3">
              <w:rPr>
                <w:rFonts w:ascii="Calibri" w:eastAsia="Times New Roman" w:hAnsi="Calibri" w:cs="Calibri"/>
                <w:b/>
                <w:bCs/>
              </w:rPr>
              <w:t>Optimistic Case</w:t>
            </w:r>
          </w:p>
        </w:tc>
        <w:tc>
          <w:tcPr>
            <w:tcW w:w="91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rPr>
            </w:pPr>
            <w:r w:rsidRPr="00DB77A3">
              <w:rPr>
                <w:rFonts w:ascii="Calibri" w:eastAsia="Times New Roman" w:hAnsi="Calibri" w:cs="Calibri"/>
                <w:b/>
                <w:bCs/>
              </w:rPr>
              <w:t>2016</w:t>
            </w:r>
          </w:p>
        </w:tc>
        <w:tc>
          <w:tcPr>
            <w:tcW w:w="78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2017</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2018</w:t>
            </w:r>
          </w:p>
        </w:tc>
        <w:tc>
          <w:tcPr>
            <w:tcW w:w="79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2019</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2022</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2023</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2024</w:t>
            </w:r>
          </w:p>
        </w:tc>
        <w:tc>
          <w:tcPr>
            <w:tcW w:w="79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2025</w:t>
            </w:r>
          </w:p>
        </w:tc>
        <w:tc>
          <w:tcPr>
            <w:tcW w:w="89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2026</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2027</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2028</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2029</w:t>
            </w:r>
          </w:p>
        </w:tc>
        <w:tc>
          <w:tcPr>
            <w:tcW w:w="89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2030</w:t>
            </w:r>
          </w:p>
        </w:tc>
      </w:tr>
      <w:tr w:rsidR="00DB77A3" w:rsidRPr="00DB77A3" w:rsidTr="00DB77A3">
        <w:trPr>
          <w:gridAfter w:val="1"/>
          <w:wAfter w:w="836" w:type="dxa"/>
          <w:trHeight w:val="257"/>
        </w:trPr>
        <w:tc>
          <w:tcPr>
            <w:tcW w:w="14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Equity</w:t>
            </w:r>
          </w:p>
        </w:tc>
        <w:tc>
          <w:tcPr>
            <w:tcW w:w="91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5307.1</w:t>
            </w:r>
          </w:p>
        </w:tc>
        <w:tc>
          <w:tcPr>
            <w:tcW w:w="78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7009.9</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7209.3</w:t>
            </w:r>
          </w:p>
        </w:tc>
        <w:tc>
          <w:tcPr>
            <w:tcW w:w="79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7755.6</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9429.4</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9523.7</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9618.9</w:t>
            </w:r>
          </w:p>
        </w:tc>
        <w:tc>
          <w:tcPr>
            <w:tcW w:w="79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9715.1</w:t>
            </w:r>
          </w:p>
        </w:tc>
        <w:tc>
          <w:tcPr>
            <w:tcW w:w="89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9812.2</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9910.4</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10009.5</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10109.6</w:t>
            </w:r>
          </w:p>
        </w:tc>
        <w:tc>
          <w:tcPr>
            <w:tcW w:w="89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10210.7</w:t>
            </w:r>
          </w:p>
        </w:tc>
      </w:tr>
      <w:tr w:rsidR="00DB77A3" w:rsidRPr="00DB77A3" w:rsidTr="00DB77A3">
        <w:trPr>
          <w:gridAfter w:val="1"/>
          <w:wAfter w:w="836" w:type="dxa"/>
          <w:trHeight w:val="257"/>
        </w:trPr>
        <w:tc>
          <w:tcPr>
            <w:tcW w:w="14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Net Income</w:t>
            </w:r>
          </w:p>
        </w:tc>
        <w:tc>
          <w:tcPr>
            <w:tcW w:w="91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1697.4</w:t>
            </w:r>
          </w:p>
        </w:tc>
        <w:tc>
          <w:tcPr>
            <w:tcW w:w="78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2082.1</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2181.8</w:t>
            </w:r>
          </w:p>
        </w:tc>
        <w:tc>
          <w:tcPr>
            <w:tcW w:w="79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2289.2</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2504.6</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2554.7</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2605.8</w:t>
            </w:r>
          </w:p>
        </w:tc>
        <w:tc>
          <w:tcPr>
            <w:tcW w:w="79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2657.9</w:t>
            </w:r>
          </w:p>
        </w:tc>
        <w:tc>
          <w:tcPr>
            <w:tcW w:w="89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2711.0</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2765.3</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2820.6</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2877.0</w:t>
            </w:r>
          </w:p>
        </w:tc>
        <w:tc>
          <w:tcPr>
            <w:tcW w:w="89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2934.5</w:t>
            </w:r>
          </w:p>
        </w:tc>
      </w:tr>
      <w:tr w:rsidR="00DB77A3" w:rsidRPr="00DB77A3" w:rsidTr="00DB77A3">
        <w:trPr>
          <w:gridAfter w:val="1"/>
          <w:wAfter w:w="836" w:type="dxa"/>
          <w:trHeight w:val="257"/>
        </w:trPr>
        <w:tc>
          <w:tcPr>
            <w:tcW w:w="14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Normal Earnings</w:t>
            </w:r>
          </w:p>
        </w:tc>
        <w:tc>
          <w:tcPr>
            <w:tcW w:w="91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361.1</w:t>
            </w:r>
          </w:p>
        </w:tc>
        <w:tc>
          <w:tcPr>
            <w:tcW w:w="78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476.9</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490.5</w:t>
            </w:r>
          </w:p>
        </w:tc>
        <w:tc>
          <w:tcPr>
            <w:tcW w:w="79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527.6</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641.5</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647.9</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654.4</w:t>
            </w:r>
          </w:p>
        </w:tc>
        <w:tc>
          <w:tcPr>
            <w:tcW w:w="79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660.9</w:t>
            </w:r>
          </w:p>
        </w:tc>
        <w:tc>
          <w:tcPr>
            <w:tcW w:w="89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667.5</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674.2</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681.0</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687.8</w:t>
            </w:r>
          </w:p>
        </w:tc>
        <w:tc>
          <w:tcPr>
            <w:tcW w:w="89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694.7</w:t>
            </w:r>
          </w:p>
        </w:tc>
      </w:tr>
      <w:tr w:rsidR="00DB77A3" w:rsidRPr="00DB77A3" w:rsidTr="00DB77A3">
        <w:trPr>
          <w:gridAfter w:val="1"/>
          <w:wAfter w:w="836" w:type="dxa"/>
          <w:trHeight w:val="257"/>
        </w:trPr>
        <w:tc>
          <w:tcPr>
            <w:tcW w:w="14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Abnormal Earnings</w:t>
            </w:r>
          </w:p>
        </w:tc>
        <w:tc>
          <w:tcPr>
            <w:tcW w:w="91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1336.3</w:t>
            </w:r>
          </w:p>
        </w:tc>
        <w:tc>
          <w:tcPr>
            <w:tcW w:w="78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1605.2</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1691.4</w:t>
            </w:r>
          </w:p>
        </w:tc>
        <w:tc>
          <w:tcPr>
            <w:tcW w:w="79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1761.6</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1863.1</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1906.8</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1951.4</w:t>
            </w:r>
          </w:p>
        </w:tc>
        <w:tc>
          <w:tcPr>
            <w:tcW w:w="79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1996.9</w:t>
            </w:r>
          </w:p>
        </w:tc>
        <w:tc>
          <w:tcPr>
            <w:tcW w:w="89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2043.5</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2091.0</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2139.6</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2189.2</w:t>
            </w:r>
          </w:p>
        </w:tc>
        <w:tc>
          <w:tcPr>
            <w:tcW w:w="89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2239.9</w:t>
            </w:r>
          </w:p>
        </w:tc>
      </w:tr>
      <w:tr w:rsidR="00DB77A3" w:rsidRPr="00DB77A3" w:rsidTr="00DB77A3">
        <w:trPr>
          <w:gridAfter w:val="1"/>
          <w:wAfter w:w="836" w:type="dxa"/>
          <w:trHeight w:val="257"/>
        </w:trPr>
        <w:tc>
          <w:tcPr>
            <w:tcW w:w="14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Terminal Value</w:t>
            </w:r>
          </w:p>
        </w:tc>
        <w:tc>
          <w:tcPr>
            <w:tcW w:w="91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p>
        </w:tc>
        <w:tc>
          <w:tcPr>
            <w:tcW w:w="78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46632.7</w:t>
            </w:r>
          </w:p>
        </w:tc>
      </w:tr>
      <w:tr w:rsidR="00DB77A3" w:rsidRPr="00DB77A3" w:rsidTr="00DB77A3">
        <w:trPr>
          <w:gridAfter w:val="1"/>
          <w:wAfter w:w="836" w:type="dxa"/>
          <w:trHeight w:val="257"/>
        </w:trPr>
        <w:tc>
          <w:tcPr>
            <w:tcW w:w="14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Total Abnormal Value</w:t>
            </w:r>
          </w:p>
        </w:tc>
        <w:tc>
          <w:tcPr>
            <w:tcW w:w="91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1336.3</w:t>
            </w:r>
          </w:p>
        </w:tc>
        <w:tc>
          <w:tcPr>
            <w:tcW w:w="78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1605.2</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1691.4</w:t>
            </w:r>
          </w:p>
        </w:tc>
        <w:tc>
          <w:tcPr>
            <w:tcW w:w="79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1761.6</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1863.1</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1906.8</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1951.4</w:t>
            </w:r>
          </w:p>
        </w:tc>
        <w:tc>
          <w:tcPr>
            <w:tcW w:w="79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1996.9</w:t>
            </w:r>
          </w:p>
        </w:tc>
        <w:tc>
          <w:tcPr>
            <w:tcW w:w="89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2043.5</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2091.0</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2139.6</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2189.2</w:t>
            </w:r>
          </w:p>
        </w:tc>
        <w:tc>
          <w:tcPr>
            <w:tcW w:w="89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48872.6</w:t>
            </w:r>
          </w:p>
        </w:tc>
      </w:tr>
      <w:tr w:rsidR="00DB77A3" w:rsidRPr="00DB77A3" w:rsidTr="00DB77A3">
        <w:trPr>
          <w:gridAfter w:val="1"/>
          <w:wAfter w:w="836" w:type="dxa"/>
          <w:trHeight w:val="257"/>
        </w:trPr>
        <w:tc>
          <w:tcPr>
            <w:tcW w:w="14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91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gridAfter w:val="1"/>
          <w:wAfter w:w="836" w:type="dxa"/>
          <w:trHeight w:val="257"/>
        </w:trPr>
        <w:tc>
          <w:tcPr>
            <w:tcW w:w="14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Valuation ($Mil)</w:t>
            </w:r>
          </w:p>
        </w:tc>
        <w:tc>
          <w:tcPr>
            <w:tcW w:w="91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40565.7</w:t>
            </w:r>
          </w:p>
        </w:tc>
        <w:tc>
          <w:tcPr>
            <w:tcW w:w="78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gridAfter w:val="1"/>
          <w:wAfter w:w="836" w:type="dxa"/>
          <w:trHeight w:val="257"/>
        </w:trPr>
        <w:tc>
          <w:tcPr>
            <w:tcW w:w="14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Current Price</w:t>
            </w:r>
          </w:p>
        </w:tc>
        <w:tc>
          <w:tcPr>
            <w:tcW w:w="91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61.4</w:t>
            </w:r>
          </w:p>
        </w:tc>
        <w:tc>
          <w:tcPr>
            <w:tcW w:w="78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gridAfter w:val="1"/>
          <w:wAfter w:w="836" w:type="dxa"/>
          <w:trHeight w:val="257"/>
        </w:trPr>
        <w:tc>
          <w:tcPr>
            <w:tcW w:w="14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Intrinsic Value</w:t>
            </w:r>
          </w:p>
        </w:tc>
        <w:tc>
          <w:tcPr>
            <w:tcW w:w="91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68.6</w:t>
            </w:r>
          </w:p>
        </w:tc>
        <w:tc>
          <w:tcPr>
            <w:tcW w:w="78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gridAfter w:val="1"/>
          <w:wAfter w:w="836" w:type="dxa"/>
          <w:trHeight w:val="257"/>
        </w:trPr>
        <w:tc>
          <w:tcPr>
            <w:tcW w:w="1424" w:type="dxa"/>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Over (Under) Valued</w:t>
            </w:r>
          </w:p>
        </w:tc>
        <w:tc>
          <w:tcPr>
            <w:tcW w:w="91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-7.2</w:t>
            </w:r>
          </w:p>
        </w:tc>
        <w:tc>
          <w:tcPr>
            <w:tcW w:w="78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9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290"/>
        </w:trPr>
        <w:tc>
          <w:tcPr>
            <w:tcW w:w="2527" w:type="dxa"/>
            <w:gridSpan w:val="4"/>
            <w:tcBorders>
              <w:top w:val="nil"/>
              <w:left w:val="nil"/>
              <w:bottom w:val="nil"/>
              <w:right w:val="nil"/>
            </w:tcBorders>
            <w:shd w:val="clear" w:color="auto" w:fill="auto"/>
            <w:noWrap/>
            <w:vAlign w:val="bottom"/>
            <w:hideMark/>
          </w:tcPr>
          <w:p w:rsidR="00DB77A3" w:rsidRDefault="00DB77A3" w:rsidP="00DB77A3">
            <w:pPr>
              <w:spacing w:after="0" w:line="240" w:lineRule="auto"/>
              <w:rPr>
                <w:rFonts w:ascii="Calibri" w:eastAsia="Times New Roman" w:hAnsi="Calibri" w:cs="Calibri"/>
                <w:b/>
                <w:bCs/>
              </w:rPr>
            </w:pPr>
          </w:p>
          <w:p w:rsidR="00DB77A3" w:rsidRPr="00DB77A3" w:rsidRDefault="00DB77A3" w:rsidP="00DB77A3">
            <w:pPr>
              <w:spacing w:after="0" w:line="240" w:lineRule="auto"/>
              <w:rPr>
                <w:rFonts w:ascii="Calibri" w:eastAsia="Times New Roman" w:hAnsi="Calibri" w:cs="Calibri"/>
                <w:b/>
                <w:bCs/>
              </w:rPr>
            </w:pPr>
            <w:r w:rsidRPr="00DB77A3">
              <w:rPr>
                <w:rFonts w:ascii="Calibri" w:eastAsia="Times New Roman" w:hAnsi="Calibri" w:cs="Calibri"/>
                <w:b/>
                <w:bCs/>
              </w:rPr>
              <w:t>Abnormal Earnings Model</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b/>
                <w:bCs/>
              </w:rPr>
            </w:pPr>
          </w:p>
        </w:tc>
        <w:tc>
          <w:tcPr>
            <w:tcW w:w="79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56"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02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4"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290"/>
        </w:trPr>
        <w:tc>
          <w:tcPr>
            <w:tcW w:w="164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b/>
                <w:bCs/>
              </w:rPr>
            </w:pPr>
            <w:r w:rsidRPr="00DB77A3">
              <w:rPr>
                <w:rFonts w:ascii="Calibri" w:eastAsia="Times New Roman" w:hAnsi="Calibri" w:cs="Calibri"/>
                <w:b/>
                <w:bCs/>
              </w:rPr>
              <w:t>Pessimistic Case</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rPr>
            </w:pPr>
            <w:r w:rsidRPr="00DB77A3">
              <w:rPr>
                <w:rFonts w:ascii="Calibri" w:eastAsia="Times New Roman" w:hAnsi="Calibri" w:cs="Calibri"/>
                <w:b/>
                <w:bCs/>
              </w:rPr>
              <w:t>2016</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2017</w:t>
            </w:r>
          </w:p>
        </w:tc>
        <w:tc>
          <w:tcPr>
            <w:tcW w:w="79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2018</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2019</w:t>
            </w:r>
          </w:p>
        </w:tc>
        <w:tc>
          <w:tcPr>
            <w:tcW w:w="87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2022</w:t>
            </w:r>
          </w:p>
        </w:tc>
        <w:tc>
          <w:tcPr>
            <w:tcW w:w="87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2023</w:t>
            </w:r>
          </w:p>
        </w:tc>
        <w:tc>
          <w:tcPr>
            <w:tcW w:w="856"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2024</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2025</w:t>
            </w:r>
          </w:p>
        </w:tc>
        <w:tc>
          <w:tcPr>
            <w:tcW w:w="102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2026</w:t>
            </w:r>
          </w:p>
        </w:tc>
        <w:tc>
          <w:tcPr>
            <w:tcW w:w="90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2027</w:t>
            </w:r>
          </w:p>
        </w:tc>
        <w:tc>
          <w:tcPr>
            <w:tcW w:w="914"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2028</w:t>
            </w:r>
          </w:p>
        </w:tc>
        <w:tc>
          <w:tcPr>
            <w:tcW w:w="91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2029</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b/>
                <w:bCs/>
                <w:color w:val="000000"/>
              </w:rPr>
            </w:pPr>
            <w:r w:rsidRPr="00DB77A3">
              <w:rPr>
                <w:rFonts w:ascii="Calibri" w:eastAsia="Times New Roman" w:hAnsi="Calibri" w:cs="Calibri"/>
                <w:b/>
                <w:bCs/>
                <w:color w:val="000000"/>
              </w:rPr>
              <w:t>2030</w:t>
            </w:r>
          </w:p>
        </w:tc>
      </w:tr>
      <w:tr w:rsidR="00DB77A3" w:rsidRPr="00DB77A3" w:rsidTr="00DB77A3">
        <w:trPr>
          <w:trHeight w:val="290"/>
        </w:trPr>
        <w:tc>
          <w:tcPr>
            <w:tcW w:w="164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Equity</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5307.1</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7009.9</w:t>
            </w:r>
          </w:p>
        </w:tc>
        <w:tc>
          <w:tcPr>
            <w:tcW w:w="79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7209.3</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7755.6</w:t>
            </w:r>
          </w:p>
        </w:tc>
        <w:tc>
          <w:tcPr>
            <w:tcW w:w="87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9522.7</w:t>
            </w:r>
          </w:p>
        </w:tc>
        <w:tc>
          <w:tcPr>
            <w:tcW w:w="87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9713.2</w:t>
            </w:r>
          </w:p>
        </w:tc>
        <w:tc>
          <w:tcPr>
            <w:tcW w:w="856"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9907.4</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10105.6</w:t>
            </w:r>
          </w:p>
        </w:tc>
        <w:tc>
          <w:tcPr>
            <w:tcW w:w="102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10307.7</w:t>
            </w:r>
          </w:p>
        </w:tc>
        <w:tc>
          <w:tcPr>
            <w:tcW w:w="90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10513.9</w:t>
            </w:r>
          </w:p>
        </w:tc>
        <w:tc>
          <w:tcPr>
            <w:tcW w:w="914"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10724.1</w:t>
            </w:r>
          </w:p>
        </w:tc>
        <w:tc>
          <w:tcPr>
            <w:tcW w:w="91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10938.6</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11157.4</w:t>
            </w:r>
          </w:p>
        </w:tc>
      </w:tr>
      <w:tr w:rsidR="00DB77A3" w:rsidRPr="00DB77A3" w:rsidTr="00DB77A3">
        <w:trPr>
          <w:trHeight w:val="290"/>
        </w:trPr>
        <w:tc>
          <w:tcPr>
            <w:tcW w:w="164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Net Income</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1697.4</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1245.5</w:t>
            </w:r>
          </w:p>
        </w:tc>
        <w:tc>
          <w:tcPr>
            <w:tcW w:w="79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1221.0</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1200.0</w:t>
            </w:r>
          </w:p>
        </w:tc>
        <w:tc>
          <w:tcPr>
            <w:tcW w:w="87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1191.5</w:t>
            </w:r>
          </w:p>
        </w:tc>
        <w:tc>
          <w:tcPr>
            <w:tcW w:w="87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1215.3</w:t>
            </w:r>
          </w:p>
        </w:tc>
        <w:tc>
          <w:tcPr>
            <w:tcW w:w="856"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1239.6</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1264.4</w:t>
            </w:r>
          </w:p>
        </w:tc>
        <w:tc>
          <w:tcPr>
            <w:tcW w:w="102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1289.7</w:t>
            </w:r>
          </w:p>
        </w:tc>
        <w:tc>
          <w:tcPr>
            <w:tcW w:w="90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1315.5</w:t>
            </w:r>
          </w:p>
        </w:tc>
        <w:tc>
          <w:tcPr>
            <w:tcW w:w="914"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1341.8</w:t>
            </w:r>
          </w:p>
        </w:tc>
        <w:tc>
          <w:tcPr>
            <w:tcW w:w="91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1368.7</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1396.0</w:t>
            </w:r>
          </w:p>
        </w:tc>
      </w:tr>
      <w:tr w:rsidR="00DB77A3" w:rsidRPr="00DB77A3" w:rsidTr="00DB77A3">
        <w:trPr>
          <w:trHeight w:val="290"/>
        </w:trPr>
        <w:tc>
          <w:tcPr>
            <w:tcW w:w="164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Normal Earnings</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361.1</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476.9</w:t>
            </w:r>
          </w:p>
        </w:tc>
        <w:tc>
          <w:tcPr>
            <w:tcW w:w="79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490.5</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527.6</w:t>
            </w:r>
          </w:p>
        </w:tc>
        <w:tc>
          <w:tcPr>
            <w:tcW w:w="87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647.9</w:t>
            </w:r>
          </w:p>
        </w:tc>
        <w:tc>
          <w:tcPr>
            <w:tcW w:w="87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660.8</w:t>
            </w:r>
          </w:p>
        </w:tc>
        <w:tc>
          <w:tcPr>
            <w:tcW w:w="856"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674.0</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687.5</w:t>
            </w:r>
          </w:p>
        </w:tc>
        <w:tc>
          <w:tcPr>
            <w:tcW w:w="102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701.3</w:t>
            </w:r>
          </w:p>
        </w:tc>
        <w:tc>
          <w:tcPr>
            <w:tcW w:w="90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715.3</w:t>
            </w:r>
          </w:p>
        </w:tc>
        <w:tc>
          <w:tcPr>
            <w:tcW w:w="914"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729.6</w:t>
            </w:r>
          </w:p>
        </w:tc>
        <w:tc>
          <w:tcPr>
            <w:tcW w:w="91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744.2</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759.1</w:t>
            </w:r>
          </w:p>
        </w:tc>
      </w:tr>
      <w:tr w:rsidR="00DB77A3" w:rsidRPr="00DB77A3" w:rsidTr="00DB77A3">
        <w:trPr>
          <w:trHeight w:val="290"/>
        </w:trPr>
        <w:tc>
          <w:tcPr>
            <w:tcW w:w="164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Abnormal Earnings</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1336.3</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768.6</w:t>
            </w:r>
          </w:p>
        </w:tc>
        <w:tc>
          <w:tcPr>
            <w:tcW w:w="79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730.5</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672.4</w:t>
            </w:r>
          </w:p>
        </w:tc>
        <w:tc>
          <w:tcPr>
            <w:tcW w:w="87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543.7</w:t>
            </w:r>
          </w:p>
        </w:tc>
        <w:tc>
          <w:tcPr>
            <w:tcW w:w="87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554.5</w:t>
            </w:r>
          </w:p>
        </w:tc>
        <w:tc>
          <w:tcPr>
            <w:tcW w:w="856"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565.6</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576.9</w:t>
            </w:r>
          </w:p>
        </w:tc>
        <w:tc>
          <w:tcPr>
            <w:tcW w:w="102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588.5</w:t>
            </w:r>
          </w:p>
        </w:tc>
        <w:tc>
          <w:tcPr>
            <w:tcW w:w="90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600.2</w:t>
            </w:r>
          </w:p>
        </w:tc>
        <w:tc>
          <w:tcPr>
            <w:tcW w:w="914"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612.2</w:t>
            </w:r>
          </w:p>
        </w:tc>
        <w:tc>
          <w:tcPr>
            <w:tcW w:w="91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624.5</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637.0</w:t>
            </w:r>
          </w:p>
        </w:tc>
      </w:tr>
      <w:tr w:rsidR="00DB77A3" w:rsidRPr="00DB77A3" w:rsidTr="00DB77A3">
        <w:trPr>
          <w:trHeight w:val="290"/>
        </w:trPr>
        <w:tc>
          <w:tcPr>
            <w:tcW w:w="164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Terminal Value</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56"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02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4"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13261.5</w:t>
            </w:r>
          </w:p>
        </w:tc>
      </w:tr>
      <w:tr w:rsidR="00DB77A3" w:rsidRPr="00DB77A3" w:rsidTr="00DB77A3">
        <w:trPr>
          <w:trHeight w:val="290"/>
        </w:trPr>
        <w:tc>
          <w:tcPr>
            <w:tcW w:w="164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lastRenderedPageBreak/>
              <w:t>Total Abnormal Value</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1336.3</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768.6</w:t>
            </w:r>
          </w:p>
        </w:tc>
        <w:tc>
          <w:tcPr>
            <w:tcW w:w="79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730.5</w:t>
            </w: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672.4</w:t>
            </w:r>
          </w:p>
        </w:tc>
        <w:tc>
          <w:tcPr>
            <w:tcW w:w="87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543.7</w:t>
            </w:r>
          </w:p>
        </w:tc>
        <w:tc>
          <w:tcPr>
            <w:tcW w:w="87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554.5</w:t>
            </w:r>
          </w:p>
        </w:tc>
        <w:tc>
          <w:tcPr>
            <w:tcW w:w="856"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565.6</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576.9</w:t>
            </w:r>
          </w:p>
        </w:tc>
        <w:tc>
          <w:tcPr>
            <w:tcW w:w="102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588.5</w:t>
            </w:r>
          </w:p>
        </w:tc>
        <w:tc>
          <w:tcPr>
            <w:tcW w:w="90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600.2</w:t>
            </w:r>
          </w:p>
        </w:tc>
        <w:tc>
          <w:tcPr>
            <w:tcW w:w="914"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612.2</w:t>
            </w:r>
          </w:p>
        </w:tc>
        <w:tc>
          <w:tcPr>
            <w:tcW w:w="91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624.5</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13898.4</w:t>
            </w:r>
          </w:p>
        </w:tc>
      </w:tr>
      <w:tr w:rsidR="00DB77A3" w:rsidRPr="00DB77A3" w:rsidTr="00DB77A3">
        <w:trPr>
          <w:trHeight w:val="290"/>
        </w:trPr>
        <w:tc>
          <w:tcPr>
            <w:tcW w:w="164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9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56"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02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4"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290"/>
        </w:trPr>
        <w:tc>
          <w:tcPr>
            <w:tcW w:w="164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Calibri" w:eastAsia="Times New Roman" w:hAnsi="Calibri" w:cs="Calibri"/>
              </w:rPr>
            </w:pPr>
            <w:r w:rsidRPr="00DB77A3">
              <w:rPr>
                <w:rFonts w:ascii="Calibri" w:eastAsia="Times New Roman" w:hAnsi="Calibri" w:cs="Calibri"/>
              </w:rPr>
              <w:t>Valuation ($Mil)</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27184.7</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79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56"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02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4"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290"/>
        </w:trPr>
        <w:tc>
          <w:tcPr>
            <w:tcW w:w="164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Current Price</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61.4</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79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56"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02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4"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290"/>
        </w:trPr>
        <w:tc>
          <w:tcPr>
            <w:tcW w:w="164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Intrinsic Value</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15.6</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79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56"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02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4"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r w:rsidR="00DB77A3" w:rsidRPr="00DB77A3" w:rsidTr="00DB77A3">
        <w:trPr>
          <w:trHeight w:val="290"/>
        </w:trPr>
        <w:tc>
          <w:tcPr>
            <w:tcW w:w="164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Helvetica" w:eastAsia="Times New Roman" w:hAnsi="Helvetica" w:cs="Helvetica"/>
                <w:color w:val="000000"/>
                <w:sz w:val="18"/>
                <w:szCs w:val="18"/>
              </w:rPr>
            </w:pPr>
            <w:r w:rsidRPr="00DB77A3">
              <w:rPr>
                <w:rFonts w:ascii="Helvetica" w:eastAsia="Times New Roman" w:hAnsi="Helvetica" w:cs="Helvetica"/>
                <w:color w:val="000000"/>
                <w:sz w:val="18"/>
                <w:szCs w:val="18"/>
              </w:rPr>
              <w:t>Over (Under) Valued</w:t>
            </w: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r w:rsidRPr="00DB77A3">
              <w:rPr>
                <w:rFonts w:ascii="Calibri" w:eastAsia="Times New Roman" w:hAnsi="Calibri" w:cs="Calibri"/>
                <w:color w:val="000000"/>
              </w:rPr>
              <w:t>45.8</w:t>
            </w:r>
          </w:p>
        </w:tc>
        <w:tc>
          <w:tcPr>
            <w:tcW w:w="78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jc w:val="right"/>
              <w:rPr>
                <w:rFonts w:ascii="Calibri" w:eastAsia="Times New Roman" w:hAnsi="Calibri" w:cs="Calibri"/>
                <w:color w:val="000000"/>
              </w:rPr>
            </w:pPr>
          </w:p>
        </w:tc>
        <w:tc>
          <w:tcPr>
            <w:tcW w:w="797"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781"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70"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56"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1022"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09"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4"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913"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c>
          <w:tcPr>
            <w:tcW w:w="885" w:type="dxa"/>
            <w:gridSpan w:val="2"/>
            <w:tcBorders>
              <w:top w:val="nil"/>
              <w:left w:val="nil"/>
              <w:bottom w:val="nil"/>
              <w:right w:val="nil"/>
            </w:tcBorders>
            <w:shd w:val="clear" w:color="auto" w:fill="auto"/>
            <w:noWrap/>
            <w:vAlign w:val="bottom"/>
            <w:hideMark/>
          </w:tcPr>
          <w:p w:rsidR="00DB77A3" w:rsidRPr="00DB77A3" w:rsidRDefault="00DB77A3" w:rsidP="00DB77A3">
            <w:pPr>
              <w:spacing w:after="0" w:line="240" w:lineRule="auto"/>
              <w:rPr>
                <w:rFonts w:ascii="Times New Roman" w:eastAsia="Times New Roman" w:hAnsi="Times New Roman" w:cs="Times New Roman"/>
                <w:sz w:val="20"/>
                <w:szCs w:val="20"/>
              </w:rPr>
            </w:pPr>
          </w:p>
        </w:tc>
      </w:tr>
    </w:tbl>
    <w:p w:rsidR="00DB77A3" w:rsidRDefault="00DB77A3"/>
    <w:p w:rsidR="000629D6" w:rsidRDefault="000629D6" w:rsidP="000629D6">
      <w:pPr>
        <w:rPr>
          <w:b/>
        </w:rPr>
      </w:pPr>
      <w:r>
        <w:rPr>
          <w:b/>
        </w:rPr>
        <w:t>Exhibit 7</w:t>
      </w:r>
      <w:r w:rsidRPr="00DB77A3">
        <w:rPr>
          <w:b/>
        </w:rPr>
        <w:t>.</w:t>
      </w:r>
      <w:r>
        <w:rPr>
          <w:b/>
        </w:rPr>
        <w:t xml:space="preserve"> WACC Calculation &amp; Stern Data</w:t>
      </w:r>
    </w:p>
    <w:tbl>
      <w:tblPr>
        <w:tblStyle w:val="GridTable1Light"/>
        <w:tblW w:w="5812" w:type="dxa"/>
        <w:tblLook w:val="04A0" w:firstRow="1" w:lastRow="0" w:firstColumn="1" w:lastColumn="0" w:noHBand="0" w:noVBand="1"/>
      </w:tblPr>
      <w:tblGrid>
        <w:gridCol w:w="2136"/>
        <w:gridCol w:w="1436"/>
        <w:gridCol w:w="2240"/>
      </w:tblGrid>
      <w:tr w:rsidR="000629D6" w:rsidRPr="000629D6" w:rsidTr="000629D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36" w:type="dxa"/>
            <w:noWrap/>
            <w:hideMark/>
          </w:tcPr>
          <w:p w:rsidR="000629D6" w:rsidRPr="000629D6" w:rsidRDefault="000629D6" w:rsidP="000629D6">
            <w:pPr>
              <w:rPr>
                <w:rFonts w:ascii="Calibri" w:eastAsia="Times New Roman" w:hAnsi="Calibri" w:cs="Calibri"/>
                <w:color w:val="000000"/>
              </w:rPr>
            </w:pPr>
            <w:r w:rsidRPr="000629D6">
              <w:rPr>
                <w:rFonts w:ascii="Calibri" w:eastAsia="Times New Roman" w:hAnsi="Calibri" w:cs="Calibri"/>
                <w:color w:val="000000"/>
              </w:rPr>
              <w:t>Item</w:t>
            </w:r>
          </w:p>
        </w:tc>
        <w:tc>
          <w:tcPr>
            <w:tcW w:w="1436" w:type="dxa"/>
            <w:noWrap/>
            <w:hideMark/>
          </w:tcPr>
          <w:p w:rsidR="000629D6" w:rsidRPr="000629D6" w:rsidRDefault="000629D6" w:rsidP="000629D6">
            <w:pPr>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Pr>
                <w:rFonts w:ascii="Calibri" w:eastAsia="Times New Roman" w:hAnsi="Calibri" w:cs="Calibri"/>
                <w:color w:val="000000"/>
              </w:rPr>
              <w:t>R</w:t>
            </w:r>
            <w:r w:rsidRPr="000629D6">
              <w:rPr>
                <w:rFonts w:ascii="Calibri" w:eastAsia="Times New Roman" w:hAnsi="Calibri" w:cs="Calibri"/>
                <w:color w:val="000000"/>
              </w:rPr>
              <w:t>ate</w:t>
            </w:r>
          </w:p>
        </w:tc>
        <w:tc>
          <w:tcPr>
            <w:tcW w:w="2240" w:type="dxa"/>
            <w:noWrap/>
            <w:hideMark/>
          </w:tcPr>
          <w:p w:rsidR="000629D6" w:rsidRPr="000629D6" w:rsidRDefault="000629D6" w:rsidP="000629D6">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Notes</w:t>
            </w:r>
          </w:p>
        </w:tc>
      </w:tr>
      <w:tr w:rsidR="000629D6" w:rsidRPr="000629D6" w:rsidTr="000629D6">
        <w:trPr>
          <w:trHeight w:val="300"/>
        </w:trPr>
        <w:tc>
          <w:tcPr>
            <w:cnfStyle w:val="001000000000" w:firstRow="0" w:lastRow="0" w:firstColumn="1" w:lastColumn="0" w:oddVBand="0" w:evenVBand="0" w:oddHBand="0" w:evenHBand="0" w:firstRowFirstColumn="0" w:firstRowLastColumn="0" w:lastRowFirstColumn="0" w:lastRowLastColumn="0"/>
            <w:tcW w:w="2136" w:type="dxa"/>
            <w:noWrap/>
            <w:hideMark/>
          </w:tcPr>
          <w:p w:rsidR="000629D6" w:rsidRPr="000629D6" w:rsidRDefault="000629D6" w:rsidP="000629D6">
            <w:pPr>
              <w:rPr>
                <w:rFonts w:ascii="Calibri" w:eastAsia="Times New Roman" w:hAnsi="Calibri" w:cs="Calibri"/>
                <w:color w:val="000000"/>
              </w:rPr>
            </w:pPr>
            <w:r w:rsidRPr="000629D6">
              <w:rPr>
                <w:rFonts w:ascii="Calibri" w:eastAsia="Times New Roman" w:hAnsi="Calibri" w:cs="Calibri"/>
                <w:color w:val="000000"/>
              </w:rPr>
              <w:t>Equity %</w:t>
            </w:r>
          </w:p>
        </w:tc>
        <w:tc>
          <w:tcPr>
            <w:tcW w:w="1436" w:type="dxa"/>
            <w:noWrap/>
            <w:hideMark/>
          </w:tcPr>
          <w:p w:rsidR="000629D6" w:rsidRPr="000629D6" w:rsidRDefault="000629D6" w:rsidP="000629D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84%</w:t>
            </w:r>
          </w:p>
        </w:tc>
        <w:tc>
          <w:tcPr>
            <w:tcW w:w="2240" w:type="dxa"/>
            <w:noWrap/>
            <w:hideMark/>
          </w:tcPr>
          <w:p w:rsidR="000629D6" w:rsidRPr="000629D6" w:rsidRDefault="000629D6" w:rsidP="000629D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Balance Sheet</w:t>
            </w:r>
          </w:p>
        </w:tc>
      </w:tr>
      <w:tr w:rsidR="000629D6" w:rsidRPr="000629D6" w:rsidTr="000629D6">
        <w:trPr>
          <w:trHeight w:val="300"/>
        </w:trPr>
        <w:tc>
          <w:tcPr>
            <w:cnfStyle w:val="001000000000" w:firstRow="0" w:lastRow="0" w:firstColumn="1" w:lastColumn="0" w:oddVBand="0" w:evenVBand="0" w:oddHBand="0" w:evenHBand="0" w:firstRowFirstColumn="0" w:firstRowLastColumn="0" w:lastRowFirstColumn="0" w:lastRowLastColumn="0"/>
            <w:tcW w:w="2136" w:type="dxa"/>
            <w:noWrap/>
            <w:hideMark/>
          </w:tcPr>
          <w:p w:rsidR="000629D6" w:rsidRPr="000629D6" w:rsidRDefault="000629D6" w:rsidP="000629D6">
            <w:pPr>
              <w:rPr>
                <w:rFonts w:ascii="Calibri" w:eastAsia="Times New Roman" w:hAnsi="Calibri" w:cs="Calibri"/>
                <w:color w:val="000000"/>
              </w:rPr>
            </w:pPr>
            <w:r w:rsidRPr="000629D6">
              <w:rPr>
                <w:rFonts w:ascii="Calibri" w:eastAsia="Times New Roman" w:hAnsi="Calibri" w:cs="Calibri"/>
                <w:color w:val="000000"/>
              </w:rPr>
              <w:t>Debt %</w:t>
            </w:r>
          </w:p>
        </w:tc>
        <w:tc>
          <w:tcPr>
            <w:tcW w:w="1436" w:type="dxa"/>
            <w:noWrap/>
            <w:hideMark/>
          </w:tcPr>
          <w:p w:rsidR="000629D6" w:rsidRPr="000629D6" w:rsidRDefault="000629D6" w:rsidP="000629D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16%</w:t>
            </w:r>
          </w:p>
        </w:tc>
        <w:tc>
          <w:tcPr>
            <w:tcW w:w="2240" w:type="dxa"/>
            <w:noWrap/>
            <w:hideMark/>
          </w:tcPr>
          <w:p w:rsidR="000629D6" w:rsidRPr="000629D6" w:rsidRDefault="000629D6" w:rsidP="000629D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Balance Sheet</w:t>
            </w:r>
          </w:p>
        </w:tc>
      </w:tr>
      <w:tr w:rsidR="000629D6" w:rsidRPr="000629D6" w:rsidTr="000629D6">
        <w:trPr>
          <w:trHeight w:val="300"/>
        </w:trPr>
        <w:tc>
          <w:tcPr>
            <w:cnfStyle w:val="001000000000" w:firstRow="0" w:lastRow="0" w:firstColumn="1" w:lastColumn="0" w:oddVBand="0" w:evenVBand="0" w:oddHBand="0" w:evenHBand="0" w:firstRowFirstColumn="0" w:firstRowLastColumn="0" w:lastRowFirstColumn="0" w:lastRowLastColumn="0"/>
            <w:tcW w:w="2136" w:type="dxa"/>
            <w:noWrap/>
            <w:hideMark/>
          </w:tcPr>
          <w:p w:rsidR="000629D6" w:rsidRPr="000629D6" w:rsidRDefault="000629D6" w:rsidP="000629D6">
            <w:pPr>
              <w:rPr>
                <w:rFonts w:ascii="Calibri" w:eastAsia="Times New Roman" w:hAnsi="Calibri" w:cs="Calibri"/>
                <w:color w:val="000000"/>
              </w:rPr>
            </w:pPr>
            <w:r w:rsidRPr="000629D6">
              <w:rPr>
                <w:rFonts w:ascii="Calibri" w:eastAsia="Times New Roman" w:hAnsi="Calibri" w:cs="Calibri"/>
                <w:color w:val="000000"/>
              </w:rPr>
              <w:t>Tax Rate</w:t>
            </w:r>
          </w:p>
        </w:tc>
        <w:tc>
          <w:tcPr>
            <w:tcW w:w="1436" w:type="dxa"/>
            <w:noWrap/>
            <w:hideMark/>
          </w:tcPr>
          <w:p w:rsidR="000629D6" w:rsidRPr="000629D6" w:rsidRDefault="000629D6" w:rsidP="000629D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33%</w:t>
            </w:r>
          </w:p>
        </w:tc>
        <w:tc>
          <w:tcPr>
            <w:tcW w:w="2240" w:type="dxa"/>
            <w:noWrap/>
            <w:hideMark/>
          </w:tcPr>
          <w:p w:rsidR="000629D6" w:rsidRPr="000629D6" w:rsidRDefault="000629D6" w:rsidP="000629D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Running 3 year Tax Rate</w:t>
            </w:r>
          </w:p>
        </w:tc>
      </w:tr>
      <w:tr w:rsidR="000629D6" w:rsidRPr="000629D6" w:rsidTr="000629D6">
        <w:trPr>
          <w:trHeight w:val="300"/>
        </w:trPr>
        <w:tc>
          <w:tcPr>
            <w:cnfStyle w:val="001000000000" w:firstRow="0" w:lastRow="0" w:firstColumn="1" w:lastColumn="0" w:oddVBand="0" w:evenVBand="0" w:oddHBand="0" w:evenHBand="0" w:firstRowFirstColumn="0" w:firstRowLastColumn="0" w:lastRowFirstColumn="0" w:lastRowLastColumn="0"/>
            <w:tcW w:w="2136" w:type="dxa"/>
            <w:noWrap/>
            <w:hideMark/>
          </w:tcPr>
          <w:p w:rsidR="000629D6" w:rsidRPr="000629D6" w:rsidRDefault="000629D6" w:rsidP="000629D6">
            <w:pPr>
              <w:rPr>
                <w:rFonts w:ascii="Calibri" w:eastAsia="Times New Roman" w:hAnsi="Calibri" w:cs="Calibri"/>
                <w:color w:val="000000"/>
              </w:rPr>
            </w:pPr>
            <w:r w:rsidRPr="000629D6">
              <w:rPr>
                <w:rFonts w:ascii="Calibri" w:eastAsia="Times New Roman" w:hAnsi="Calibri" w:cs="Calibri"/>
                <w:color w:val="000000"/>
              </w:rPr>
              <w:t>Industry Unlevered B</w:t>
            </w:r>
          </w:p>
        </w:tc>
        <w:tc>
          <w:tcPr>
            <w:tcW w:w="1436" w:type="dxa"/>
            <w:noWrap/>
            <w:hideMark/>
          </w:tcPr>
          <w:p w:rsidR="000629D6" w:rsidRPr="000629D6" w:rsidRDefault="000629D6" w:rsidP="000629D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 xml:space="preserve">                    0.60 </w:t>
            </w:r>
          </w:p>
        </w:tc>
        <w:tc>
          <w:tcPr>
            <w:tcW w:w="2240" w:type="dxa"/>
            <w:noWrap/>
            <w:hideMark/>
          </w:tcPr>
          <w:p w:rsidR="000629D6" w:rsidRPr="000629D6" w:rsidRDefault="000629D6" w:rsidP="000629D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Stern Finance Data</w:t>
            </w:r>
          </w:p>
        </w:tc>
      </w:tr>
      <w:tr w:rsidR="000629D6" w:rsidRPr="000629D6" w:rsidTr="000629D6">
        <w:trPr>
          <w:trHeight w:val="300"/>
        </w:trPr>
        <w:tc>
          <w:tcPr>
            <w:cnfStyle w:val="001000000000" w:firstRow="0" w:lastRow="0" w:firstColumn="1" w:lastColumn="0" w:oddVBand="0" w:evenVBand="0" w:oddHBand="0" w:evenHBand="0" w:firstRowFirstColumn="0" w:firstRowLastColumn="0" w:lastRowFirstColumn="0" w:lastRowLastColumn="0"/>
            <w:tcW w:w="2136" w:type="dxa"/>
            <w:noWrap/>
            <w:hideMark/>
          </w:tcPr>
          <w:p w:rsidR="000629D6" w:rsidRPr="000629D6" w:rsidRDefault="000629D6" w:rsidP="000629D6">
            <w:pPr>
              <w:rPr>
                <w:rFonts w:ascii="Calibri" w:eastAsia="Times New Roman" w:hAnsi="Calibri" w:cs="Calibri"/>
                <w:color w:val="000000"/>
              </w:rPr>
            </w:pPr>
            <w:r w:rsidRPr="000629D6">
              <w:rPr>
                <w:rFonts w:ascii="Calibri" w:eastAsia="Times New Roman" w:hAnsi="Calibri" w:cs="Calibri"/>
                <w:color w:val="000000"/>
              </w:rPr>
              <w:t>Equity Beta</w:t>
            </w:r>
          </w:p>
        </w:tc>
        <w:tc>
          <w:tcPr>
            <w:tcW w:w="1436" w:type="dxa"/>
            <w:noWrap/>
            <w:hideMark/>
          </w:tcPr>
          <w:p w:rsidR="000629D6" w:rsidRPr="000629D6" w:rsidRDefault="000629D6" w:rsidP="000629D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 xml:space="preserve">                    0.68 </w:t>
            </w:r>
          </w:p>
        </w:tc>
        <w:tc>
          <w:tcPr>
            <w:tcW w:w="2240" w:type="dxa"/>
            <w:noWrap/>
            <w:hideMark/>
          </w:tcPr>
          <w:p w:rsidR="000629D6" w:rsidRPr="000629D6" w:rsidRDefault="000629D6" w:rsidP="000629D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roofErr w:type="spellStart"/>
            <w:r w:rsidRPr="000629D6">
              <w:rPr>
                <w:rFonts w:ascii="Calibri" w:eastAsia="Times New Roman" w:hAnsi="Calibri" w:cs="Calibri"/>
                <w:color w:val="000000"/>
              </w:rPr>
              <w:t>Ubeta</w:t>
            </w:r>
            <w:proofErr w:type="spellEnd"/>
            <w:r w:rsidRPr="000629D6">
              <w:rPr>
                <w:rFonts w:ascii="Calibri" w:eastAsia="Times New Roman" w:hAnsi="Calibri" w:cs="Calibri"/>
                <w:color w:val="000000"/>
              </w:rPr>
              <w:t>*(1+(1-t)D/E)</w:t>
            </w:r>
          </w:p>
        </w:tc>
      </w:tr>
      <w:tr w:rsidR="000629D6" w:rsidRPr="000629D6" w:rsidTr="000629D6">
        <w:trPr>
          <w:trHeight w:val="300"/>
        </w:trPr>
        <w:tc>
          <w:tcPr>
            <w:cnfStyle w:val="001000000000" w:firstRow="0" w:lastRow="0" w:firstColumn="1" w:lastColumn="0" w:oddVBand="0" w:evenVBand="0" w:oddHBand="0" w:evenHBand="0" w:firstRowFirstColumn="0" w:firstRowLastColumn="0" w:lastRowFirstColumn="0" w:lastRowLastColumn="0"/>
            <w:tcW w:w="2136" w:type="dxa"/>
            <w:noWrap/>
            <w:hideMark/>
          </w:tcPr>
          <w:p w:rsidR="000629D6" w:rsidRPr="000629D6" w:rsidRDefault="000629D6" w:rsidP="000629D6">
            <w:pPr>
              <w:rPr>
                <w:rFonts w:ascii="Calibri" w:eastAsia="Times New Roman" w:hAnsi="Calibri" w:cs="Calibri"/>
                <w:color w:val="000000"/>
              </w:rPr>
            </w:pPr>
            <w:proofErr w:type="spellStart"/>
            <w:r w:rsidRPr="000629D6">
              <w:rPr>
                <w:rFonts w:ascii="Calibri" w:eastAsia="Times New Roman" w:hAnsi="Calibri" w:cs="Calibri"/>
                <w:color w:val="000000"/>
              </w:rPr>
              <w:t>Ke</w:t>
            </w:r>
            <w:proofErr w:type="spellEnd"/>
          </w:p>
        </w:tc>
        <w:tc>
          <w:tcPr>
            <w:tcW w:w="1436" w:type="dxa"/>
            <w:noWrap/>
            <w:hideMark/>
          </w:tcPr>
          <w:p w:rsidR="000629D6" w:rsidRPr="000629D6" w:rsidRDefault="000629D6" w:rsidP="000629D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6.45%</w:t>
            </w:r>
          </w:p>
        </w:tc>
        <w:tc>
          <w:tcPr>
            <w:tcW w:w="2240" w:type="dxa"/>
            <w:noWrap/>
            <w:hideMark/>
          </w:tcPr>
          <w:p w:rsidR="000629D6" w:rsidRPr="000629D6" w:rsidRDefault="000629D6" w:rsidP="000629D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CAPM</w:t>
            </w:r>
          </w:p>
        </w:tc>
      </w:tr>
      <w:tr w:rsidR="000629D6" w:rsidRPr="000629D6" w:rsidTr="000629D6">
        <w:trPr>
          <w:trHeight w:val="300"/>
        </w:trPr>
        <w:tc>
          <w:tcPr>
            <w:cnfStyle w:val="001000000000" w:firstRow="0" w:lastRow="0" w:firstColumn="1" w:lastColumn="0" w:oddVBand="0" w:evenVBand="0" w:oddHBand="0" w:evenHBand="0" w:firstRowFirstColumn="0" w:firstRowLastColumn="0" w:lastRowFirstColumn="0" w:lastRowLastColumn="0"/>
            <w:tcW w:w="2136" w:type="dxa"/>
            <w:noWrap/>
            <w:hideMark/>
          </w:tcPr>
          <w:p w:rsidR="000629D6" w:rsidRPr="000629D6" w:rsidRDefault="000629D6" w:rsidP="000629D6">
            <w:pPr>
              <w:rPr>
                <w:rFonts w:ascii="Calibri" w:eastAsia="Times New Roman" w:hAnsi="Calibri" w:cs="Calibri"/>
                <w:color w:val="000000"/>
              </w:rPr>
            </w:pPr>
            <w:r w:rsidRPr="000629D6">
              <w:rPr>
                <w:rFonts w:ascii="Calibri" w:eastAsia="Times New Roman" w:hAnsi="Calibri" w:cs="Calibri"/>
                <w:color w:val="000000"/>
              </w:rPr>
              <w:t xml:space="preserve">10 </w:t>
            </w:r>
            <w:proofErr w:type="spellStart"/>
            <w:r w:rsidRPr="000629D6">
              <w:rPr>
                <w:rFonts w:ascii="Calibri" w:eastAsia="Times New Roman" w:hAnsi="Calibri" w:cs="Calibri"/>
                <w:color w:val="000000"/>
              </w:rPr>
              <w:t>yr</w:t>
            </w:r>
            <w:proofErr w:type="spellEnd"/>
            <w:r w:rsidRPr="000629D6">
              <w:rPr>
                <w:rFonts w:ascii="Calibri" w:eastAsia="Times New Roman" w:hAnsi="Calibri" w:cs="Calibri"/>
                <w:color w:val="000000"/>
              </w:rPr>
              <w:t xml:space="preserve"> treasury</w:t>
            </w:r>
          </w:p>
        </w:tc>
        <w:tc>
          <w:tcPr>
            <w:tcW w:w="1436" w:type="dxa"/>
            <w:noWrap/>
            <w:hideMark/>
          </w:tcPr>
          <w:p w:rsidR="000629D6" w:rsidRPr="000629D6" w:rsidRDefault="000629D6" w:rsidP="000629D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1.81%</w:t>
            </w:r>
          </w:p>
        </w:tc>
        <w:tc>
          <w:tcPr>
            <w:tcW w:w="2240" w:type="dxa"/>
            <w:noWrap/>
            <w:hideMark/>
          </w:tcPr>
          <w:p w:rsidR="000629D6" w:rsidRPr="000629D6" w:rsidRDefault="000629D6" w:rsidP="000629D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Risk Free Rate</w:t>
            </w:r>
          </w:p>
        </w:tc>
      </w:tr>
      <w:tr w:rsidR="000629D6" w:rsidRPr="000629D6" w:rsidTr="000629D6">
        <w:trPr>
          <w:trHeight w:val="300"/>
        </w:trPr>
        <w:tc>
          <w:tcPr>
            <w:cnfStyle w:val="001000000000" w:firstRow="0" w:lastRow="0" w:firstColumn="1" w:lastColumn="0" w:oddVBand="0" w:evenVBand="0" w:oddHBand="0" w:evenHBand="0" w:firstRowFirstColumn="0" w:firstRowLastColumn="0" w:lastRowFirstColumn="0" w:lastRowLastColumn="0"/>
            <w:tcW w:w="2136" w:type="dxa"/>
            <w:noWrap/>
            <w:hideMark/>
          </w:tcPr>
          <w:p w:rsidR="000629D6" w:rsidRPr="000629D6" w:rsidRDefault="000629D6" w:rsidP="000629D6">
            <w:pPr>
              <w:rPr>
                <w:rFonts w:ascii="Calibri" w:eastAsia="Times New Roman" w:hAnsi="Calibri" w:cs="Calibri"/>
                <w:color w:val="000000"/>
              </w:rPr>
            </w:pPr>
            <w:proofErr w:type="spellStart"/>
            <w:r w:rsidRPr="000629D6">
              <w:rPr>
                <w:rFonts w:ascii="Calibri" w:eastAsia="Times New Roman" w:hAnsi="Calibri" w:cs="Calibri"/>
                <w:color w:val="000000"/>
              </w:rPr>
              <w:t>Kd</w:t>
            </w:r>
            <w:proofErr w:type="spellEnd"/>
          </w:p>
        </w:tc>
        <w:tc>
          <w:tcPr>
            <w:tcW w:w="1436" w:type="dxa"/>
            <w:noWrap/>
            <w:hideMark/>
          </w:tcPr>
          <w:p w:rsidR="000629D6" w:rsidRPr="000629D6" w:rsidRDefault="000629D6" w:rsidP="000629D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5.10%</w:t>
            </w:r>
          </w:p>
        </w:tc>
        <w:tc>
          <w:tcPr>
            <w:tcW w:w="2240" w:type="dxa"/>
            <w:noWrap/>
            <w:hideMark/>
          </w:tcPr>
          <w:p w:rsidR="000629D6" w:rsidRPr="000629D6" w:rsidRDefault="000629D6" w:rsidP="000629D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Bond Yield- Morning Star</w:t>
            </w:r>
          </w:p>
        </w:tc>
      </w:tr>
      <w:tr w:rsidR="000629D6" w:rsidRPr="000629D6" w:rsidTr="000629D6">
        <w:trPr>
          <w:trHeight w:val="300"/>
        </w:trPr>
        <w:tc>
          <w:tcPr>
            <w:cnfStyle w:val="001000000000" w:firstRow="0" w:lastRow="0" w:firstColumn="1" w:lastColumn="0" w:oddVBand="0" w:evenVBand="0" w:oddHBand="0" w:evenHBand="0" w:firstRowFirstColumn="0" w:firstRowLastColumn="0" w:lastRowFirstColumn="0" w:lastRowLastColumn="0"/>
            <w:tcW w:w="2136" w:type="dxa"/>
            <w:noWrap/>
            <w:hideMark/>
          </w:tcPr>
          <w:p w:rsidR="000629D6" w:rsidRPr="000629D6" w:rsidRDefault="000629D6" w:rsidP="000629D6">
            <w:pPr>
              <w:rPr>
                <w:rFonts w:ascii="Calibri" w:eastAsia="Times New Roman" w:hAnsi="Calibri" w:cs="Calibri"/>
                <w:color w:val="000000"/>
              </w:rPr>
            </w:pPr>
            <w:r w:rsidRPr="000629D6">
              <w:rPr>
                <w:rFonts w:ascii="Calibri" w:eastAsia="Times New Roman" w:hAnsi="Calibri" w:cs="Calibri"/>
                <w:color w:val="000000"/>
              </w:rPr>
              <w:t>risk premium</w:t>
            </w:r>
          </w:p>
        </w:tc>
        <w:tc>
          <w:tcPr>
            <w:tcW w:w="1436" w:type="dxa"/>
            <w:noWrap/>
            <w:hideMark/>
          </w:tcPr>
          <w:p w:rsidR="000629D6" w:rsidRPr="000629D6" w:rsidRDefault="000629D6" w:rsidP="000629D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6.84%</w:t>
            </w:r>
          </w:p>
        </w:tc>
        <w:tc>
          <w:tcPr>
            <w:tcW w:w="2240" w:type="dxa"/>
            <w:noWrap/>
            <w:hideMark/>
          </w:tcPr>
          <w:p w:rsidR="000629D6" w:rsidRPr="000629D6" w:rsidRDefault="000629D6" w:rsidP="000629D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 xml:space="preserve">SP500 (3 </w:t>
            </w:r>
            <w:proofErr w:type="spellStart"/>
            <w:r w:rsidRPr="000629D6">
              <w:rPr>
                <w:rFonts w:ascii="Calibri" w:eastAsia="Times New Roman" w:hAnsi="Calibri" w:cs="Calibri"/>
                <w:color w:val="000000"/>
              </w:rPr>
              <w:t>yrs</w:t>
            </w:r>
            <w:proofErr w:type="spellEnd"/>
            <w:r w:rsidRPr="000629D6">
              <w:rPr>
                <w:rFonts w:ascii="Calibri" w:eastAsia="Times New Roman" w:hAnsi="Calibri" w:cs="Calibri"/>
                <w:color w:val="000000"/>
              </w:rPr>
              <w:t xml:space="preserve">) - </w:t>
            </w:r>
            <w:proofErr w:type="spellStart"/>
            <w:r w:rsidRPr="000629D6">
              <w:rPr>
                <w:rFonts w:ascii="Calibri" w:eastAsia="Times New Roman" w:hAnsi="Calibri" w:cs="Calibri"/>
                <w:color w:val="000000"/>
              </w:rPr>
              <w:t>rf</w:t>
            </w:r>
            <w:proofErr w:type="spellEnd"/>
          </w:p>
        </w:tc>
      </w:tr>
      <w:tr w:rsidR="000629D6" w:rsidRPr="000629D6" w:rsidTr="000629D6">
        <w:trPr>
          <w:trHeight w:val="300"/>
        </w:trPr>
        <w:tc>
          <w:tcPr>
            <w:cnfStyle w:val="001000000000" w:firstRow="0" w:lastRow="0" w:firstColumn="1" w:lastColumn="0" w:oddVBand="0" w:evenVBand="0" w:oddHBand="0" w:evenHBand="0" w:firstRowFirstColumn="0" w:firstRowLastColumn="0" w:lastRowFirstColumn="0" w:lastRowLastColumn="0"/>
            <w:tcW w:w="2136" w:type="dxa"/>
            <w:noWrap/>
            <w:hideMark/>
          </w:tcPr>
          <w:p w:rsidR="000629D6" w:rsidRPr="000629D6" w:rsidRDefault="000629D6" w:rsidP="000629D6">
            <w:pPr>
              <w:rPr>
                <w:rFonts w:ascii="Calibri" w:eastAsia="Times New Roman" w:hAnsi="Calibri" w:cs="Calibri"/>
                <w:color w:val="000000"/>
              </w:rPr>
            </w:pPr>
          </w:p>
        </w:tc>
        <w:tc>
          <w:tcPr>
            <w:tcW w:w="1436" w:type="dxa"/>
            <w:noWrap/>
            <w:hideMark/>
          </w:tcPr>
          <w:p w:rsidR="000629D6" w:rsidRPr="000629D6" w:rsidRDefault="000629D6" w:rsidP="000629D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2240" w:type="dxa"/>
            <w:noWrap/>
            <w:hideMark/>
          </w:tcPr>
          <w:p w:rsidR="000629D6" w:rsidRPr="000629D6" w:rsidRDefault="000629D6" w:rsidP="000629D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0629D6" w:rsidRPr="000629D6" w:rsidTr="000629D6">
        <w:trPr>
          <w:trHeight w:val="300"/>
        </w:trPr>
        <w:tc>
          <w:tcPr>
            <w:cnfStyle w:val="001000000000" w:firstRow="0" w:lastRow="0" w:firstColumn="1" w:lastColumn="0" w:oddVBand="0" w:evenVBand="0" w:oddHBand="0" w:evenHBand="0" w:firstRowFirstColumn="0" w:firstRowLastColumn="0" w:lastRowFirstColumn="0" w:lastRowLastColumn="0"/>
            <w:tcW w:w="2136" w:type="dxa"/>
            <w:noWrap/>
            <w:hideMark/>
          </w:tcPr>
          <w:p w:rsidR="000629D6" w:rsidRPr="000629D6" w:rsidRDefault="000629D6" w:rsidP="000629D6">
            <w:pPr>
              <w:rPr>
                <w:rFonts w:ascii="Calibri" w:eastAsia="Times New Roman" w:hAnsi="Calibri" w:cs="Calibri"/>
                <w:color w:val="000000"/>
                <w:u w:val="single"/>
              </w:rPr>
            </w:pPr>
            <w:r w:rsidRPr="000629D6">
              <w:rPr>
                <w:rFonts w:ascii="Calibri" w:eastAsia="Times New Roman" w:hAnsi="Calibri" w:cs="Calibri"/>
                <w:color w:val="000000"/>
                <w:u w:val="single"/>
              </w:rPr>
              <w:t>WACC</w:t>
            </w:r>
          </w:p>
        </w:tc>
        <w:tc>
          <w:tcPr>
            <w:tcW w:w="1436" w:type="dxa"/>
            <w:noWrap/>
            <w:hideMark/>
          </w:tcPr>
          <w:p w:rsidR="000629D6" w:rsidRPr="000629D6" w:rsidRDefault="000629D6" w:rsidP="000629D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629D6">
              <w:rPr>
                <w:rFonts w:ascii="Calibri" w:eastAsia="Times New Roman" w:hAnsi="Calibri" w:cs="Calibri"/>
                <w:color w:val="000000"/>
              </w:rPr>
              <w:t>5.96%</w:t>
            </w:r>
          </w:p>
        </w:tc>
        <w:tc>
          <w:tcPr>
            <w:tcW w:w="2240" w:type="dxa"/>
            <w:noWrap/>
            <w:hideMark/>
          </w:tcPr>
          <w:p w:rsidR="000629D6" w:rsidRPr="000629D6" w:rsidRDefault="000629D6" w:rsidP="000629D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bl>
    <w:p w:rsidR="000629D6" w:rsidRPr="00DB77A3" w:rsidRDefault="000629D6" w:rsidP="000629D6">
      <w:pPr>
        <w:rPr>
          <w:b/>
        </w:rPr>
      </w:pPr>
    </w:p>
    <w:p w:rsidR="00DB77A3" w:rsidRPr="002426F8" w:rsidRDefault="000629D6">
      <w:r>
        <w:rPr>
          <w:noProof/>
        </w:rPr>
        <w:lastRenderedPageBreak/>
        <w:drawing>
          <wp:inline distT="0" distB="0" distL="0" distR="0">
            <wp:extent cx="8217535" cy="45662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17535" cy="4566285"/>
                    </a:xfrm>
                    <a:prstGeom prst="rect">
                      <a:avLst/>
                    </a:prstGeom>
                    <a:noFill/>
                    <a:ln>
                      <a:noFill/>
                    </a:ln>
                  </pic:spPr>
                </pic:pic>
              </a:graphicData>
            </a:graphic>
          </wp:inline>
        </w:drawing>
      </w:r>
    </w:p>
    <w:p w:rsidR="00DB77A3" w:rsidRPr="00DB77A3" w:rsidRDefault="000629D6">
      <w:pPr>
        <w:rPr>
          <w:b/>
        </w:rPr>
      </w:pPr>
      <w:r>
        <w:rPr>
          <w:b/>
        </w:rPr>
        <w:t>Exhibit 8</w:t>
      </w:r>
      <w:r w:rsidR="00DB77A3" w:rsidRPr="00DB77A3">
        <w:rPr>
          <w:b/>
        </w:rPr>
        <w:t>.</w:t>
      </w:r>
    </w:p>
    <w:p w:rsidR="00DB77A3" w:rsidRDefault="00DB77A3">
      <w:pPr>
        <w:rPr>
          <w:b/>
          <w:u w:val="single"/>
        </w:rPr>
      </w:pPr>
      <w:r w:rsidRPr="00DB77A3">
        <w:rPr>
          <w:b/>
          <w:u w:val="single"/>
        </w:rPr>
        <w:t>Discounted Earnings Models</w:t>
      </w:r>
    </w:p>
    <w:p w:rsidR="00DB77A3" w:rsidRDefault="00DB77A3">
      <w:pPr>
        <w:rPr>
          <w:b/>
          <w:u w:val="single"/>
        </w:rPr>
      </w:pPr>
      <w:r>
        <w:rPr>
          <w:b/>
          <w:noProof/>
          <w:u w:val="single"/>
        </w:rPr>
        <w:lastRenderedPageBreak/>
        <w:drawing>
          <wp:inline distT="0" distB="0" distL="0" distR="0">
            <wp:extent cx="8270321" cy="29153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89921" cy="2922301"/>
                    </a:xfrm>
                    <a:prstGeom prst="rect">
                      <a:avLst/>
                    </a:prstGeom>
                    <a:noFill/>
                    <a:ln>
                      <a:noFill/>
                    </a:ln>
                  </pic:spPr>
                </pic:pic>
              </a:graphicData>
            </a:graphic>
          </wp:inline>
        </w:drawing>
      </w:r>
    </w:p>
    <w:p w:rsidR="00DB77A3" w:rsidRDefault="00DB77A3">
      <w:pPr>
        <w:rPr>
          <w:b/>
          <w:u w:val="single"/>
        </w:rPr>
      </w:pPr>
      <w:r>
        <w:rPr>
          <w:b/>
          <w:noProof/>
          <w:u w:val="single"/>
        </w:rPr>
        <w:drawing>
          <wp:inline distT="0" distB="0" distL="0" distR="0">
            <wp:extent cx="7956468" cy="2827949"/>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68145" cy="2832099"/>
                    </a:xfrm>
                    <a:prstGeom prst="rect">
                      <a:avLst/>
                    </a:prstGeom>
                    <a:noFill/>
                    <a:ln>
                      <a:noFill/>
                    </a:ln>
                  </pic:spPr>
                </pic:pic>
              </a:graphicData>
            </a:graphic>
          </wp:inline>
        </w:drawing>
      </w:r>
    </w:p>
    <w:p w:rsidR="00DB77A3" w:rsidRDefault="00DB77A3">
      <w:pPr>
        <w:rPr>
          <w:b/>
          <w:u w:val="single"/>
        </w:rPr>
      </w:pPr>
      <w:r>
        <w:rPr>
          <w:b/>
          <w:noProof/>
          <w:u w:val="single"/>
        </w:rPr>
        <w:lastRenderedPageBreak/>
        <w:drawing>
          <wp:inline distT="0" distB="0" distL="0" distR="0">
            <wp:extent cx="8106918" cy="27907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12418" cy="2792595"/>
                    </a:xfrm>
                    <a:prstGeom prst="rect">
                      <a:avLst/>
                    </a:prstGeom>
                    <a:noFill/>
                    <a:ln>
                      <a:noFill/>
                    </a:ln>
                  </pic:spPr>
                </pic:pic>
              </a:graphicData>
            </a:graphic>
          </wp:inline>
        </w:drawing>
      </w:r>
    </w:p>
    <w:p w:rsidR="002426F8" w:rsidRDefault="002426F8">
      <w:pPr>
        <w:rPr>
          <w:b/>
          <w:u w:val="single"/>
        </w:rPr>
      </w:pPr>
      <w:r>
        <w:rPr>
          <w:b/>
          <w:u w:val="single"/>
        </w:rPr>
        <w:t>Operations Forecast</w:t>
      </w:r>
    </w:p>
    <w:p w:rsidR="002426F8" w:rsidRDefault="002426F8">
      <w:pPr>
        <w:rPr>
          <w:b/>
        </w:rPr>
      </w:pPr>
      <w:r w:rsidRPr="002426F8">
        <w:rPr>
          <w:b/>
        </w:rPr>
        <w:t>Exhibit 9</w:t>
      </w:r>
      <w:r>
        <w:rPr>
          <w:b/>
        </w:rPr>
        <w:t>.</w:t>
      </w:r>
    </w:p>
    <w:tbl>
      <w:tblPr>
        <w:tblW w:w="12989" w:type="dxa"/>
        <w:tblLook w:val="04A0" w:firstRow="1" w:lastRow="0" w:firstColumn="1" w:lastColumn="0" w:noHBand="0" w:noVBand="1"/>
      </w:tblPr>
      <w:tblGrid>
        <w:gridCol w:w="2482"/>
        <w:gridCol w:w="941"/>
        <w:gridCol w:w="941"/>
        <w:gridCol w:w="941"/>
        <w:gridCol w:w="941"/>
        <w:gridCol w:w="941"/>
        <w:gridCol w:w="941"/>
        <w:gridCol w:w="1164"/>
        <w:gridCol w:w="1053"/>
        <w:gridCol w:w="1053"/>
        <w:gridCol w:w="1053"/>
        <w:gridCol w:w="1053"/>
      </w:tblGrid>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Base Case</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rPr>
            </w:pPr>
            <w:r w:rsidRPr="002426F8">
              <w:rPr>
                <w:rFonts w:ascii="Calibri" w:eastAsia="Times New Roman" w:hAnsi="Calibri" w:cs="Calibri"/>
                <w:b/>
                <w:bCs/>
              </w:rPr>
              <w:t xml:space="preserve"> I/S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rPr>
            </w:pPr>
            <w:r w:rsidRPr="002426F8">
              <w:rPr>
                <w:rFonts w:ascii="Calibri" w:eastAsia="Times New Roman" w:hAnsi="Calibri" w:cs="Calibri"/>
                <w:b/>
                <w:bCs/>
              </w:rPr>
              <w:t>2011</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rPr>
            </w:pPr>
            <w:r w:rsidRPr="002426F8">
              <w:rPr>
                <w:rFonts w:ascii="Calibri" w:eastAsia="Times New Roman" w:hAnsi="Calibri" w:cs="Calibri"/>
                <w:b/>
                <w:bCs/>
              </w:rPr>
              <w:t>2012</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rPr>
            </w:pPr>
            <w:r w:rsidRPr="002426F8">
              <w:rPr>
                <w:rFonts w:ascii="Calibri" w:eastAsia="Times New Roman" w:hAnsi="Calibri" w:cs="Calibri"/>
                <w:b/>
                <w:bCs/>
              </w:rPr>
              <w:t>2013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rPr>
            </w:pPr>
            <w:r w:rsidRPr="002426F8">
              <w:rPr>
                <w:rFonts w:ascii="Calibri" w:eastAsia="Times New Roman" w:hAnsi="Calibri" w:cs="Calibri"/>
                <w:b/>
                <w:bCs/>
              </w:rPr>
              <w:t>2014</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rPr>
            </w:pPr>
            <w:r w:rsidRPr="002426F8">
              <w:rPr>
                <w:rFonts w:ascii="Calibri" w:eastAsia="Times New Roman" w:hAnsi="Calibri" w:cs="Calibri"/>
                <w:b/>
                <w:bCs/>
              </w:rPr>
              <w:t>2015</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rPr>
            </w:pPr>
            <w:r w:rsidRPr="002426F8">
              <w:rPr>
                <w:rFonts w:ascii="Calibri" w:eastAsia="Times New Roman" w:hAnsi="Calibri" w:cs="Calibri"/>
                <w:b/>
                <w:bCs/>
              </w:rPr>
              <w:t>2016</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2017</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2018</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2019</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2020</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2021</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 xml:space="preserve"> Sales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14880.2</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16657.9</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17774.1</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17909.6</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17630.3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16563.1</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16820.753</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17085.54</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17337.08</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17525.26</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17721.22</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 xml:space="preserve"> COGS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8926.7</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10613.2</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11350.2</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11539.8</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11681.1</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10733.6</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10765.282</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10934.75</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11095.73</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11216.16</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11341.58</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 xml:space="preserve"> SG&amp;A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3192</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3380.7</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3552.3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3474.3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3328</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3118.9</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3087.711</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3056.834</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3026.266</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2996.003</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2966.043</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 xml:space="preserve"> Divestitures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-17.4</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-65.5</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-148.2</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0</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0</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0</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0</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0</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 xml:space="preserve"> Restructuring &amp; impairment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4.4</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101.6</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19.8</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3.6</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543.9</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151.4</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0</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0</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0</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0</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0</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 xml:space="preserve"> Operating profit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2774.5</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2562.4</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2851.8</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2957.4</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2077.3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2707.4</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2967.7601</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3093.962</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3215.084</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3313.09</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3413.597</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 xml:space="preserve"> Interest, net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346.3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351.9</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316.9</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302.4</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315.4</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303.8</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297.724</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291.7695</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285.9341</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280.2154</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274.6111</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 xml:space="preserve"> EBITDA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2428.2</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2210.5</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2534.9</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2655</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1761.9</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2403.6</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2670.0361</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2802.192</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2929.15</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3032.874</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3138.986</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lastRenderedPageBreak/>
              <w:t xml:space="preserve"> Income taxes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721.1</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709.6</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741.2</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883.3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586.8</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755.2</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872.15656</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915.3248</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956.7951</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990.6762</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1025.337</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 xml:space="preserve"> After Tax Income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96.4</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88.2</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98.8</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89.6</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84.3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88.4</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87.433333</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86.71111</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87.51481</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87.21975</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87.14856</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 xml:space="preserve"> After Tax Income </w:t>
            </w:r>
            <w:proofErr w:type="spellStart"/>
            <w:r w:rsidRPr="002426F8">
              <w:rPr>
                <w:rFonts w:ascii="Calibri" w:eastAsia="Times New Roman" w:hAnsi="Calibri" w:cs="Calibri"/>
                <w:color w:val="000000"/>
              </w:rPr>
              <w:t>inc</w:t>
            </w:r>
            <w:proofErr w:type="spellEnd"/>
            <w:r w:rsidRPr="002426F8">
              <w:rPr>
                <w:rFonts w:ascii="Calibri" w:eastAsia="Times New Roman" w:hAnsi="Calibri" w:cs="Calibri"/>
                <w:color w:val="000000"/>
              </w:rPr>
              <w:t xml:space="preserve"> min </w:t>
            </w:r>
            <w:proofErr w:type="spellStart"/>
            <w:r w:rsidRPr="002426F8">
              <w:rPr>
                <w:rFonts w:ascii="Calibri" w:eastAsia="Times New Roman" w:hAnsi="Calibri" w:cs="Calibri"/>
                <w:color w:val="000000"/>
              </w:rPr>
              <w:t>int</w:t>
            </w:r>
            <w:proofErr w:type="spellEnd"/>
            <w:r w:rsidRPr="002426F8">
              <w:rPr>
                <w:rFonts w:ascii="Calibri" w:eastAsia="Times New Roman" w:hAnsi="Calibri" w:cs="Calibri"/>
                <w:color w:val="000000"/>
              </w:rPr>
              <w:t xml:space="preserve">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1803.5</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1589.1</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1892.5</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1861.3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1259.4</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1736.8</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1797.8795</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1886.867</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1972.355</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2042.198</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2113.649</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 xml:space="preserve"> non-controlling income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5.2</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21.8</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37.3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36.9</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38.1</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39.4</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38.133333</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38.54444</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38.69259</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38.45679</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38.56461</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Times New Roman" w:eastAsia="Times New Roman" w:hAnsi="Times New Roman" w:cs="Times New Roman"/>
                <w:sz w:val="20"/>
                <w:szCs w:val="20"/>
              </w:rPr>
            </w:pP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 xml:space="preserve"> Net Income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1798.3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1567.3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1855.2</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1824.4</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1221.3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1697.4</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1759.7462</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1848.323</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1933.662</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2003.741</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r w:rsidRPr="002426F8">
              <w:rPr>
                <w:rFonts w:ascii="Calibri" w:eastAsia="Times New Roman" w:hAnsi="Calibri" w:cs="Calibri"/>
                <w:color w:val="000000"/>
              </w:rPr>
              <w:t>2075.084</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color w:val="00000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 xml:space="preserve"> COGS%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60%</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64%</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64%</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64%</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66%</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65%</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64%</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64%</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64%</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64%</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64%</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 xml:space="preserve"> 3 year running average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65%</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 xml:space="preserve"> SG&amp;A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21%</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20%</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20%</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19%</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19%</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19%</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18%</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18%</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17%</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17%</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17%</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 xml:space="preserve"> Tax Rate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30%</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32%</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29%</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33%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33%</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31%</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33%</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33%</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33%</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33%</w:t>
            </w: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33%</w:t>
            </w:r>
          </w:p>
        </w:tc>
      </w:tr>
      <w:tr w:rsidR="002426F8" w:rsidRPr="002426F8" w:rsidTr="002426F8">
        <w:trPr>
          <w:trHeight w:val="301"/>
        </w:trPr>
        <w:tc>
          <w:tcPr>
            <w:tcW w:w="2482"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 xml:space="preserve"> 3 year running average (Tax) </w:t>
            </w: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13"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r w:rsidRPr="002426F8">
              <w:rPr>
                <w:rFonts w:ascii="Calibri" w:eastAsia="Times New Roman" w:hAnsi="Calibri" w:cs="Calibri"/>
                <w:b/>
                <w:bCs/>
                <w:color w:val="000000"/>
              </w:rPr>
              <w:t>33%</w:t>
            </w:r>
          </w:p>
        </w:tc>
        <w:tc>
          <w:tcPr>
            <w:tcW w:w="1089"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jc w:val="right"/>
              <w:rPr>
                <w:rFonts w:ascii="Calibri" w:eastAsia="Times New Roman" w:hAnsi="Calibri" w:cs="Calibri"/>
                <w:b/>
                <w:bCs/>
                <w:color w:val="00000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c>
          <w:tcPr>
            <w:tcW w:w="985" w:type="dxa"/>
            <w:tcBorders>
              <w:top w:val="nil"/>
              <w:left w:val="nil"/>
              <w:bottom w:val="nil"/>
              <w:right w:val="nil"/>
            </w:tcBorders>
            <w:shd w:val="clear" w:color="auto" w:fill="auto"/>
            <w:noWrap/>
            <w:vAlign w:val="bottom"/>
            <w:hideMark/>
          </w:tcPr>
          <w:p w:rsidR="002426F8" w:rsidRPr="002426F8" w:rsidRDefault="002426F8" w:rsidP="002426F8">
            <w:pPr>
              <w:spacing w:after="0" w:line="240" w:lineRule="auto"/>
              <w:rPr>
                <w:rFonts w:ascii="Times New Roman" w:eastAsia="Times New Roman" w:hAnsi="Times New Roman" w:cs="Times New Roman"/>
                <w:sz w:val="20"/>
                <w:szCs w:val="20"/>
              </w:rPr>
            </w:pPr>
          </w:p>
        </w:tc>
      </w:tr>
    </w:tbl>
    <w:p w:rsidR="002426F8" w:rsidRPr="002426F8" w:rsidRDefault="002426F8">
      <w:pPr>
        <w:rPr>
          <w:b/>
        </w:rPr>
      </w:pPr>
    </w:p>
    <w:p w:rsidR="002426F8" w:rsidRPr="002426F8" w:rsidRDefault="002426F8">
      <w:pPr>
        <w:rPr>
          <w:u w:val="single"/>
        </w:rPr>
      </w:pPr>
    </w:p>
    <w:sectPr w:rsidR="002426F8" w:rsidRPr="002426F8" w:rsidSect="007D3B1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511"/>
    <w:rsid w:val="00006AA7"/>
    <w:rsid w:val="00045035"/>
    <w:rsid w:val="00053697"/>
    <w:rsid w:val="000629D6"/>
    <w:rsid w:val="000F524C"/>
    <w:rsid w:val="00126F99"/>
    <w:rsid w:val="00136D16"/>
    <w:rsid w:val="001F675A"/>
    <w:rsid w:val="00202BB9"/>
    <w:rsid w:val="002426F8"/>
    <w:rsid w:val="00267C35"/>
    <w:rsid w:val="00290BBB"/>
    <w:rsid w:val="002B74CF"/>
    <w:rsid w:val="002D3773"/>
    <w:rsid w:val="002D711C"/>
    <w:rsid w:val="00334588"/>
    <w:rsid w:val="003A034D"/>
    <w:rsid w:val="003D6F08"/>
    <w:rsid w:val="004358A6"/>
    <w:rsid w:val="00462BA4"/>
    <w:rsid w:val="004911FB"/>
    <w:rsid w:val="00575311"/>
    <w:rsid w:val="005E6BFF"/>
    <w:rsid w:val="00600297"/>
    <w:rsid w:val="006008B7"/>
    <w:rsid w:val="006066FF"/>
    <w:rsid w:val="00631FF0"/>
    <w:rsid w:val="006B737D"/>
    <w:rsid w:val="006E2AFB"/>
    <w:rsid w:val="0070708A"/>
    <w:rsid w:val="00711680"/>
    <w:rsid w:val="00725F18"/>
    <w:rsid w:val="007428FD"/>
    <w:rsid w:val="00755161"/>
    <w:rsid w:val="007D3B10"/>
    <w:rsid w:val="00841D7D"/>
    <w:rsid w:val="00895511"/>
    <w:rsid w:val="008D2439"/>
    <w:rsid w:val="00926CB5"/>
    <w:rsid w:val="009744A5"/>
    <w:rsid w:val="009B78C0"/>
    <w:rsid w:val="00A033E3"/>
    <w:rsid w:val="00A06403"/>
    <w:rsid w:val="00A210FA"/>
    <w:rsid w:val="00A21C74"/>
    <w:rsid w:val="00A62475"/>
    <w:rsid w:val="00AC58F5"/>
    <w:rsid w:val="00B17F3C"/>
    <w:rsid w:val="00B31745"/>
    <w:rsid w:val="00B5030E"/>
    <w:rsid w:val="00B66C92"/>
    <w:rsid w:val="00BB7B33"/>
    <w:rsid w:val="00C528EC"/>
    <w:rsid w:val="00C81DDE"/>
    <w:rsid w:val="00C922FB"/>
    <w:rsid w:val="00DB77A3"/>
    <w:rsid w:val="00DB787B"/>
    <w:rsid w:val="00EB04CE"/>
    <w:rsid w:val="00EC671B"/>
    <w:rsid w:val="00F409F7"/>
    <w:rsid w:val="00F825BC"/>
    <w:rsid w:val="00F96CAF"/>
    <w:rsid w:val="00FB3839"/>
    <w:rsid w:val="00FF35B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78A935-A9A1-4B45-B37B-476386DDD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53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0629D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11823">
      <w:bodyDiv w:val="1"/>
      <w:marLeft w:val="0"/>
      <w:marRight w:val="0"/>
      <w:marTop w:val="0"/>
      <w:marBottom w:val="0"/>
      <w:divBdr>
        <w:top w:val="none" w:sz="0" w:space="0" w:color="auto"/>
        <w:left w:val="none" w:sz="0" w:space="0" w:color="auto"/>
        <w:bottom w:val="none" w:sz="0" w:space="0" w:color="auto"/>
        <w:right w:val="none" w:sz="0" w:space="0" w:color="auto"/>
      </w:divBdr>
    </w:div>
    <w:div w:id="99836161">
      <w:bodyDiv w:val="1"/>
      <w:marLeft w:val="0"/>
      <w:marRight w:val="0"/>
      <w:marTop w:val="0"/>
      <w:marBottom w:val="0"/>
      <w:divBdr>
        <w:top w:val="none" w:sz="0" w:space="0" w:color="auto"/>
        <w:left w:val="none" w:sz="0" w:space="0" w:color="auto"/>
        <w:bottom w:val="none" w:sz="0" w:space="0" w:color="auto"/>
        <w:right w:val="none" w:sz="0" w:space="0" w:color="auto"/>
      </w:divBdr>
    </w:div>
    <w:div w:id="119305167">
      <w:bodyDiv w:val="1"/>
      <w:marLeft w:val="0"/>
      <w:marRight w:val="0"/>
      <w:marTop w:val="0"/>
      <w:marBottom w:val="0"/>
      <w:divBdr>
        <w:top w:val="none" w:sz="0" w:space="0" w:color="auto"/>
        <w:left w:val="none" w:sz="0" w:space="0" w:color="auto"/>
        <w:bottom w:val="none" w:sz="0" w:space="0" w:color="auto"/>
        <w:right w:val="none" w:sz="0" w:space="0" w:color="auto"/>
      </w:divBdr>
    </w:div>
    <w:div w:id="137575008">
      <w:bodyDiv w:val="1"/>
      <w:marLeft w:val="0"/>
      <w:marRight w:val="0"/>
      <w:marTop w:val="0"/>
      <w:marBottom w:val="0"/>
      <w:divBdr>
        <w:top w:val="none" w:sz="0" w:space="0" w:color="auto"/>
        <w:left w:val="none" w:sz="0" w:space="0" w:color="auto"/>
        <w:bottom w:val="none" w:sz="0" w:space="0" w:color="auto"/>
        <w:right w:val="none" w:sz="0" w:space="0" w:color="auto"/>
      </w:divBdr>
    </w:div>
    <w:div w:id="144711898">
      <w:bodyDiv w:val="1"/>
      <w:marLeft w:val="0"/>
      <w:marRight w:val="0"/>
      <w:marTop w:val="0"/>
      <w:marBottom w:val="0"/>
      <w:divBdr>
        <w:top w:val="none" w:sz="0" w:space="0" w:color="auto"/>
        <w:left w:val="none" w:sz="0" w:space="0" w:color="auto"/>
        <w:bottom w:val="none" w:sz="0" w:space="0" w:color="auto"/>
        <w:right w:val="none" w:sz="0" w:space="0" w:color="auto"/>
      </w:divBdr>
    </w:div>
    <w:div w:id="185676084">
      <w:bodyDiv w:val="1"/>
      <w:marLeft w:val="0"/>
      <w:marRight w:val="0"/>
      <w:marTop w:val="0"/>
      <w:marBottom w:val="0"/>
      <w:divBdr>
        <w:top w:val="none" w:sz="0" w:space="0" w:color="auto"/>
        <w:left w:val="none" w:sz="0" w:space="0" w:color="auto"/>
        <w:bottom w:val="none" w:sz="0" w:space="0" w:color="auto"/>
        <w:right w:val="none" w:sz="0" w:space="0" w:color="auto"/>
      </w:divBdr>
    </w:div>
    <w:div w:id="204293267">
      <w:bodyDiv w:val="1"/>
      <w:marLeft w:val="0"/>
      <w:marRight w:val="0"/>
      <w:marTop w:val="0"/>
      <w:marBottom w:val="0"/>
      <w:divBdr>
        <w:top w:val="none" w:sz="0" w:space="0" w:color="auto"/>
        <w:left w:val="none" w:sz="0" w:space="0" w:color="auto"/>
        <w:bottom w:val="none" w:sz="0" w:space="0" w:color="auto"/>
        <w:right w:val="none" w:sz="0" w:space="0" w:color="auto"/>
      </w:divBdr>
    </w:div>
    <w:div w:id="322468500">
      <w:bodyDiv w:val="1"/>
      <w:marLeft w:val="0"/>
      <w:marRight w:val="0"/>
      <w:marTop w:val="0"/>
      <w:marBottom w:val="0"/>
      <w:divBdr>
        <w:top w:val="none" w:sz="0" w:space="0" w:color="auto"/>
        <w:left w:val="none" w:sz="0" w:space="0" w:color="auto"/>
        <w:bottom w:val="none" w:sz="0" w:space="0" w:color="auto"/>
        <w:right w:val="none" w:sz="0" w:space="0" w:color="auto"/>
      </w:divBdr>
    </w:div>
    <w:div w:id="412243122">
      <w:bodyDiv w:val="1"/>
      <w:marLeft w:val="0"/>
      <w:marRight w:val="0"/>
      <w:marTop w:val="0"/>
      <w:marBottom w:val="0"/>
      <w:divBdr>
        <w:top w:val="none" w:sz="0" w:space="0" w:color="auto"/>
        <w:left w:val="none" w:sz="0" w:space="0" w:color="auto"/>
        <w:bottom w:val="none" w:sz="0" w:space="0" w:color="auto"/>
        <w:right w:val="none" w:sz="0" w:space="0" w:color="auto"/>
      </w:divBdr>
    </w:div>
    <w:div w:id="442502089">
      <w:bodyDiv w:val="1"/>
      <w:marLeft w:val="0"/>
      <w:marRight w:val="0"/>
      <w:marTop w:val="0"/>
      <w:marBottom w:val="0"/>
      <w:divBdr>
        <w:top w:val="none" w:sz="0" w:space="0" w:color="auto"/>
        <w:left w:val="none" w:sz="0" w:space="0" w:color="auto"/>
        <w:bottom w:val="none" w:sz="0" w:space="0" w:color="auto"/>
        <w:right w:val="none" w:sz="0" w:space="0" w:color="auto"/>
      </w:divBdr>
    </w:div>
    <w:div w:id="546843695">
      <w:bodyDiv w:val="1"/>
      <w:marLeft w:val="0"/>
      <w:marRight w:val="0"/>
      <w:marTop w:val="0"/>
      <w:marBottom w:val="0"/>
      <w:divBdr>
        <w:top w:val="none" w:sz="0" w:space="0" w:color="auto"/>
        <w:left w:val="none" w:sz="0" w:space="0" w:color="auto"/>
        <w:bottom w:val="none" w:sz="0" w:space="0" w:color="auto"/>
        <w:right w:val="none" w:sz="0" w:space="0" w:color="auto"/>
      </w:divBdr>
    </w:div>
    <w:div w:id="609706400">
      <w:bodyDiv w:val="1"/>
      <w:marLeft w:val="0"/>
      <w:marRight w:val="0"/>
      <w:marTop w:val="0"/>
      <w:marBottom w:val="0"/>
      <w:divBdr>
        <w:top w:val="none" w:sz="0" w:space="0" w:color="auto"/>
        <w:left w:val="none" w:sz="0" w:space="0" w:color="auto"/>
        <w:bottom w:val="none" w:sz="0" w:space="0" w:color="auto"/>
        <w:right w:val="none" w:sz="0" w:space="0" w:color="auto"/>
      </w:divBdr>
    </w:div>
    <w:div w:id="618492848">
      <w:bodyDiv w:val="1"/>
      <w:marLeft w:val="0"/>
      <w:marRight w:val="0"/>
      <w:marTop w:val="0"/>
      <w:marBottom w:val="0"/>
      <w:divBdr>
        <w:top w:val="none" w:sz="0" w:space="0" w:color="auto"/>
        <w:left w:val="none" w:sz="0" w:space="0" w:color="auto"/>
        <w:bottom w:val="none" w:sz="0" w:space="0" w:color="auto"/>
        <w:right w:val="none" w:sz="0" w:space="0" w:color="auto"/>
      </w:divBdr>
    </w:div>
    <w:div w:id="636883014">
      <w:bodyDiv w:val="1"/>
      <w:marLeft w:val="0"/>
      <w:marRight w:val="0"/>
      <w:marTop w:val="0"/>
      <w:marBottom w:val="0"/>
      <w:divBdr>
        <w:top w:val="none" w:sz="0" w:space="0" w:color="auto"/>
        <w:left w:val="none" w:sz="0" w:space="0" w:color="auto"/>
        <w:bottom w:val="none" w:sz="0" w:space="0" w:color="auto"/>
        <w:right w:val="none" w:sz="0" w:space="0" w:color="auto"/>
      </w:divBdr>
    </w:div>
    <w:div w:id="666249074">
      <w:bodyDiv w:val="1"/>
      <w:marLeft w:val="0"/>
      <w:marRight w:val="0"/>
      <w:marTop w:val="0"/>
      <w:marBottom w:val="0"/>
      <w:divBdr>
        <w:top w:val="none" w:sz="0" w:space="0" w:color="auto"/>
        <w:left w:val="none" w:sz="0" w:space="0" w:color="auto"/>
        <w:bottom w:val="none" w:sz="0" w:space="0" w:color="auto"/>
        <w:right w:val="none" w:sz="0" w:space="0" w:color="auto"/>
      </w:divBdr>
    </w:div>
    <w:div w:id="678778362">
      <w:bodyDiv w:val="1"/>
      <w:marLeft w:val="0"/>
      <w:marRight w:val="0"/>
      <w:marTop w:val="0"/>
      <w:marBottom w:val="0"/>
      <w:divBdr>
        <w:top w:val="none" w:sz="0" w:space="0" w:color="auto"/>
        <w:left w:val="none" w:sz="0" w:space="0" w:color="auto"/>
        <w:bottom w:val="none" w:sz="0" w:space="0" w:color="auto"/>
        <w:right w:val="none" w:sz="0" w:space="0" w:color="auto"/>
      </w:divBdr>
    </w:div>
    <w:div w:id="735905331">
      <w:bodyDiv w:val="1"/>
      <w:marLeft w:val="0"/>
      <w:marRight w:val="0"/>
      <w:marTop w:val="0"/>
      <w:marBottom w:val="0"/>
      <w:divBdr>
        <w:top w:val="none" w:sz="0" w:space="0" w:color="auto"/>
        <w:left w:val="none" w:sz="0" w:space="0" w:color="auto"/>
        <w:bottom w:val="none" w:sz="0" w:space="0" w:color="auto"/>
        <w:right w:val="none" w:sz="0" w:space="0" w:color="auto"/>
      </w:divBdr>
    </w:div>
    <w:div w:id="790366111">
      <w:bodyDiv w:val="1"/>
      <w:marLeft w:val="0"/>
      <w:marRight w:val="0"/>
      <w:marTop w:val="0"/>
      <w:marBottom w:val="0"/>
      <w:divBdr>
        <w:top w:val="none" w:sz="0" w:space="0" w:color="auto"/>
        <w:left w:val="none" w:sz="0" w:space="0" w:color="auto"/>
        <w:bottom w:val="none" w:sz="0" w:space="0" w:color="auto"/>
        <w:right w:val="none" w:sz="0" w:space="0" w:color="auto"/>
      </w:divBdr>
    </w:div>
    <w:div w:id="865947701">
      <w:bodyDiv w:val="1"/>
      <w:marLeft w:val="0"/>
      <w:marRight w:val="0"/>
      <w:marTop w:val="0"/>
      <w:marBottom w:val="0"/>
      <w:divBdr>
        <w:top w:val="none" w:sz="0" w:space="0" w:color="auto"/>
        <w:left w:val="none" w:sz="0" w:space="0" w:color="auto"/>
        <w:bottom w:val="none" w:sz="0" w:space="0" w:color="auto"/>
        <w:right w:val="none" w:sz="0" w:space="0" w:color="auto"/>
      </w:divBdr>
    </w:div>
    <w:div w:id="926964066">
      <w:bodyDiv w:val="1"/>
      <w:marLeft w:val="0"/>
      <w:marRight w:val="0"/>
      <w:marTop w:val="0"/>
      <w:marBottom w:val="0"/>
      <w:divBdr>
        <w:top w:val="none" w:sz="0" w:space="0" w:color="auto"/>
        <w:left w:val="none" w:sz="0" w:space="0" w:color="auto"/>
        <w:bottom w:val="none" w:sz="0" w:space="0" w:color="auto"/>
        <w:right w:val="none" w:sz="0" w:space="0" w:color="auto"/>
      </w:divBdr>
    </w:div>
    <w:div w:id="932664486">
      <w:bodyDiv w:val="1"/>
      <w:marLeft w:val="0"/>
      <w:marRight w:val="0"/>
      <w:marTop w:val="0"/>
      <w:marBottom w:val="0"/>
      <w:divBdr>
        <w:top w:val="none" w:sz="0" w:space="0" w:color="auto"/>
        <w:left w:val="none" w:sz="0" w:space="0" w:color="auto"/>
        <w:bottom w:val="none" w:sz="0" w:space="0" w:color="auto"/>
        <w:right w:val="none" w:sz="0" w:space="0" w:color="auto"/>
      </w:divBdr>
    </w:div>
    <w:div w:id="952175949">
      <w:bodyDiv w:val="1"/>
      <w:marLeft w:val="0"/>
      <w:marRight w:val="0"/>
      <w:marTop w:val="0"/>
      <w:marBottom w:val="0"/>
      <w:divBdr>
        <w:top w:val="none" w:sz="0" w:space="0" w:color="auto"/>
        <w:left w:val="none" w:sz="0" w:space="0" w:color="auto"/>
        <w:bottom w:val="none" w:sz="0" w:space="0" w:color="auto"/>
        <w:right w:val="none" w:sz="0" w:space="0" w:color="auto"/>
      </w:divBdr>
    </w:div>
    <w:div w:id="986586784">
      <w:bodyDiv w:val="1"/>
      <w:marLeft w:val="0"/>
      <w:marRight w:val="0"/>
      <w:marTop w:val="0"/>
      <w:marBottom w:val="0"/>
      <w:divBdr>
        <w:top w:val="none" w:sz="0" w:space="0" w:color="auto"/>
        <w:left w:val="none" w:sz="0" w:space="0" w:color="auto"/>
        <w:bottom w:val="none" w:sz="0" w:space="0" w:color="auto"/>
        <w:right w:val="none" w:sz="0" w:space="0" w:color="auto"/>
      </w:divBdr>
    </w:div>
    <w:div w:id="1049652218">
      <w:bodyDiv w:val="1"/>
      <w:marLeft w:val="0"/>
      <w:marRight w:val="0"/>
      <w:marTop w:val="0"/>
      <w:marBottom w:val="0"/>
      <w:divBdr>
        <w:top w:val="none" w:sz="0" w:space="0" w:color="auto"/>
        <w:left w:val="none" w:sz="0" w:space="0" w:color="auto"/>
        <w:bottom w:val="none" w:sz="0" w:space="0" w:color="auto"/>
        <w:right w:val="none" w:sz="0" w:space="0" w:color="auto"/>
      </w:divBdr>
    </w:div>
    <w:div w:id="1130200520">
      <w:bodyDiv w:val="1"/>
      <w:marLeft w:val="0"/>
      <w:marRight w:val="0"/>
      <w:marTop w:val="0"/>
      <w:marBottom w:val="0"/>
      <w:divBdr>
        <w:top w:val="none" w:sz="0" w:space="0" w:color="auto"/>
        <w:left w:val="none" w:sz="0" w:space="0" w:color="auto"/>
        <w:bottom w:val="none" w:sz="0" w:space="0" w:color="auto"/>
        <w:right w:val="none" w:sz="0" w:space="0" w:color="auto"/>
      </w:divBdr>
    </w:div>
    <w:div w:id="1212227581">
      <w:bodyDiv w:val="1"/>
      <w:marLeft w:val="0"/>
      <w:marRight w:val="0"/>
      <w:marTop w:val="0"/>
      <w:marBottom w:val="0"/>
      <w:divBdr>
        <w:top w:val="none" w:sz="0" w:space="0" w:color="auto"/>
        <w:left w:val="none" w:sz="0" w:space="0" w:color="auto"/>
        <w:bottom w:val="none" w:sz="0" w:space="0" w:color="auto"/>
        <w:right w:val="none" w:sz="0" w:space="0" w:color="auto"/>
      </w:divBdr>
    </w:div>
    <w:div w:id="1260413440">
      <w:bodyDiv w:val="1"/>
      <w:marLeft w:val="0"/>
      <w:marRight w:val="0"/>
      <w:marTop w:val="0"/>
      <w:marBottom w:val="0"/>
      <w:divBdr>
        <w:top w:val="none" w:sz="0" w:space="0" w:color="auto"/>
        <w:left w:val="none" w:sz="0" w:space="0" w:color="auto"/>
        <w:bottom w:val="none" w:sz="0" w:space="0" w:color="auto"/>
        <w:right w:val="none" w:sz="0" w:space="0" w:color="auto"/>
      </w:divBdr>
    </w:div>
    <w:div w:id="1284535012">
      <w:bodyDiv w:val="1"/>
      <w:marLeft w:val="0"/>
      <w:marRight w:val="0"/>
      <w:marTop w:val="0"/>
      <w:marBottom w:val="0"/>
      <w:divBdr>
        <w:top w:val="none" w:sz="0" w:space="0" w:color="auto"/>
        <w:left w:val="none" w:sz="0" w:space="0" w:color="auto"/>
        <w:bottom w:val="none" w:sz="0" w:space="0" w:color="auto"/>
        <w:right w:val="none" w:sz="0" w:space="0" w:color="auto"/>
      </w:divBdr>
    </w:div>
    <w:div w:id="1288121760">
      <w:bodyDiv w:val="1"/>
      <w:marLeft w:val="0"/>
      <w:marRight w:val="0"/>
      <w:marTop w:val="0"/>
      <w:marBottom w:val="0"/>
      <w:divBdr>
        <w:top w:val="none" w:sz="0" w:space="0" w:color="auto"/>
        <w:left w:val="none" w:sz="0" w:space="0" w:color="auto"/>
        <w:bottom w:val="none" w:sz="0" w:space="0" w:color="auto"/>
        <w:right w:val="none" w:sz="0" w:space="0" w:color="auto"/>
      </w:divBdr>
    </w:div>
    <w:div w:id="1361010832">
      <w:bodyDiv w:val="1"/>
      <w:marLeft w:val="0"/>
      <w:marRight w:val="0"/>
      <w:marTop w:val="0"/>
      <w:marBottom w:val="0"/>
      <w:divBdr>
        <w:top w:val="none" w:sz="0" w:space="0" w:color="auto"/>
        <w:left w:val="none" w:sz="0" w:space="0" w:color="auto"/>
        <w:bottom w:val="none" w:sz="0" w:space="0" w:color="auto"/>
        <w:right w:val="none" w:sz="0" w:space="0" w:color="auto"/>
      </w:divBdr>
    </w:div>
    <w:div w:id="1387337919">
      <w:bodyDiv w:val="1"/>
      <w:marLeft w:val="0"/>
      <w:marRight w:val="0"/>
      <w:marTop w:val="0"/>
      <w:marBottom w:val="0"/>
      <w:divBdr>
        <w:top w:val="none" w:sz="0" w:space="0" w:color="auto"/>
        <w:left w:val="none" w:sz="0" w:space="0" w:color="auto"/>
        <w:bottom w:val="none" w:sz="0" w:space="0" w:color="auto"/>
        <w:right w:val="none" w:sz="0" w:space="0" w:color="auto"/>
      </w:divBdr>
    </w:div>
    <w:div w:id="1438528078">
      <w:bodyDiv w:val="1"/>
      <w:marLeft w:val="0"/>
      <w:marRight w:val="0"/>
      <w:marTop w:val="0"/>
      <w:marBottom w:val="0"/>
      <w:divBdr>
        <w:top w:val="none" w:sz="0" w:space="0" w:color="auto"/>
        <w:left w:val="none" w:sz="0" w:space="0" w:color="auto"/>
        <w:bottom w:val="none" w:sz="0" w:space="0" w:color="auto"/>
        <w:right w:val="none" w:sz="0" w:space="0" w:color="auto"/>
      </w:divBdr>
    </w:div>
    <w:div w:id="1506046743">
      <w:bodyDiv w:val="1"/>
      <w:marLeft w:val="0"/>
      <w:marRight w:val="0"/>
      <w:marTop w:val="0"/>
      <w:marBottom w:val="0"/>
      <w:divBdr>
        <w:top w:val="none" w:sz="0" w:space="0" w:color="auto"/>
        <w:left w:val="none" w:sz="0" w:space="0" w:color="auto"/>
        <w:bottom w:val="none" w:sz="0" w:space="0" w:color="auto"/>
        <w:right w:val="none" w:sz="0" w:space="0" w:color="auto"/>
      </w:divBdr>
    </w:div>
    <w:div w:id="1547136609">
      <w:bodyDiv w:val="1"/>
      <w:marLeft w:val="0"/>
      <w:marRight w:val="0"/>
      <w:marTop w:val="0"/>
      <w:marBottom w:val="0"/>
      <w:divBdr>
        <w:top w:val="none" w:sz="0" w:space="0" w:color="auto"/>
        <w:left w:val="none" w:sz="0" w:space="0" w:color="auto"/>
        <w:bottom w:val="none" w:sz="0" w:space="0" w:color="auto"/>
        <w:right w:val="none" w:sz="0" w:space="0" w:color="auto"/>
      </w:divBdr>
    </w:div>
    <w:div w:id="1646542244">
      <w:bodyDiv w:val="1"/>
      <w:marLeft w:val="0"/>
      <w:marRight w:val="0"/>
      <w:marTop w:val="0"/>
      <w:marBottom w:val="0"/>
      <w:divBdr>
        <w:top w:val="none" w:sz="0" w:space="0" w:color="auto"/>
        <w:left w:val="none" w:sz="0" w:space="0" w:color="auto"/>
        <w:bottom w:val="none" w:sz="0" w:space="0" w:color="auto"/>
        <w:right w:val="none" w:sz="0" w:space="0" w:color="auto"/>
      </w:divBdr>
    </w:div>
    <w:div w:id="1763524819">
      <w:bodyDiv w:val="1"/>
      <w:marLeft w:val="0"/>
      <w:marRight w:val="0"/>
      <w:marTop w:val="0"/>
      <w:marBottom w:val="0"/>
      <w:divBdr>
        <w:top w:val="none" w:sz="0" w:space="0" w:color="auto"/>
        <w:left w:val="none" w:sz="0" w:space="0" w:color="auto"/>
        <w:bottom w:val="none" w:sz="0" w:space="0" w:color="auto"/>
        <w:right w:val="none" w:sz="0" w:space="0" w:color="auto"/>
      </w:divBdr>
    </w:div>
    <w:div w:id="1825970331">
      <w:bodyDiv w:val="1"/>
      <w:marLeft w:val="0"/>
      <w:marRight w:val="0"/>
      <w:marTop w:val="0"/>
      <w:marBottom w:val="0"/>
      <w:divBdr>
        <w:top w:val="none" w:sz="0" w:space="0" w:color="auto"/>
        <w:left w:val="none" w:sz="0" w:space="0" w:color="auto"/>
        <w:bottom w:val="none" w:sz="0" w:space="0" w:color="auto"/>
        <w:right w:val="none" w:sz="0" w:space="0" w:color="auto"/>
      </w:divBdr>
    </w:div>
    <w:div w:id="1920207721">
      <w:bodyDiv w:val="1"/>
      <w:marLeft w:val="0"/>
      <w:marRight w:val="0"/>
      <w:marTop w:val="0"/>
      <w:marBottom w:val="0"/>
      <w:divBdr>
        <w:top w:val="none" w:sz="0" w:space="0" w:color="auto"/>
        <w:left w:val="none" w:sz="0" w:space="0" w:color="auto"/>
        <w:bottom w:val="none" w:sz="0" w:space="0" w:color="auto"/>
        <w:right w:val="none" w:sz="0" w:space="0" w:color="auto"/>
      </w:divBdr>
    </w:div>
    <w:div w:id="1960645840">
      <w:bodyDiv w:val="1"/>
      <w:marLeft w:val="0"/>
      <w:marRight w:val="0"/>
      <w:marTop w:val="0"/>
      <w:marBottom w:val="0"/>
      <w:divBdr>
        <w:top w:val="none" w:sz="0" w:space="0" w:color="auto"/>
        <w:left w:val="none" w:sz="0" w:space="0" w:color="auto"/>
        <w:bottom w:val="none" w:sz="0" w:space="0" w:color="auto"/>
        <w:right w:val="none" w:sz="0" w:space="0" w:color="auto"/>
      </w:divBdr>
    </w:div>
    <w:div w:id="2046132117">
      <w:bodyDiv w:val="1"/>
      <w:marLeft w:val="0"/>
      <w:marRight w:val="0"/>
      <w:marTop w:val="0"/>
      <w:marBottom w:val="0"/>
      <w:divBdr>
        <w:top w:val="none" w:sz="0" w:space="0" w:color="auto"/>
        <w:left w:val="none" w:sz="0" w:space="0" w:color="auto"/>
        <w:bottom w:val="none" w:sz="0" w:space="0" w:color="auto"/>
        <w:right w:val="none" w:sz="0" w:space="0" w:color="auto"/>
      </w:divBdr>
    </w:div>
    <w:div w:id="212985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36D04-DDBA-4366-96AA-0CD12E1FB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18</Pages>
  <Words>3809</Words>
  <Characters>21717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cedric kim</dc:creator>
  <cp:keywords/>
  <dc:description/>
  <cp:lastModifiedBy>cedric kim</cp:lastModifiedBy>
  <cp:revision>28</cp:revision>
  <dcterms:created xsi:type="dcterms:W3CDTF">2016-11-03T03:00:00Z</dcterms:created>
  <dcterms:modified xsi:type="dcterms:W3CDTF">2016-11-14T18:30:00Z</dcterms:modified>
</cp:coreProperties>
</file>