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5D9" w:rsidRPr="002A75D9" w:rsidRDefault="002A75D9" w:rsidP="002A75D9">
      <w:pPr>
        <w:spacing w:before="100" w:beforeAutospacing="1" w:after="100" w:afterAutospacing="1" w:line="240" w:lineRule="auto"/>
        <w:jc w:val="center"/>
        <w:rPr>
          <w:rFonts w:ascii="Times New Roman" w:eastAsia="Times New Roman" w:hAnsi="Times New Roman" w:cs="Times New Roman"/>
          <w:sz w:val="24"/>
          <w:szCs w:val="24"/>
          <w:lang w:val="en-CA" w:eastAsia="fr-CA"/>
        </w:rPr>
      </w:pPr>
      <w:bookmarkStart w:id="0" w:name="September_1997"/>
      <w:bookmarkEnd w:id="0"/>
      <w:r w:rsidRPr="002A75D9">
        <w:rPr>
          <w:rFonts w:ascii="Times New Roman" w:eastAsia="Times New Roman" w:hAnsi="Times New Roman" w:cs="Times New Roman"/>
          <w:sz w:val="48"/>
          <w:szCs w:val="48"/>
          <w:lang w:val="en-CA" w:eastAsia="fr-CA"/>
        </w:rPr>
        <w:t>July 2005</w:t>
      </w:r>
      <w:r w:rsidRPr="002A75D9">
        <w:rPr>
          <w:rFonts w:ascii="Times New Roman" w:eastAsia="Times New Roman" w:hAnsi="Times New Roman" w:cs="Times New Roman"/>
          <w:sz w:val="24"/>
          <w:szCs w:val="24"/>
          <w:lang w:val="en-CA" w:eastAsia="fr-CA"/>
        </w:rPr>
        <w:t xml:space="preserve"> </w:t>
      </w:r>
      <w:r w:rsidRPr="002A75D9">
        <w:rPr>
          <w:rFonts w:ascii="Times New Roman" w:eastAsia="Times New Roman" w:hAnsi="Times New Roman" w:cs="Times New Roman"/>
          <w:sz w:val="24"/>
          <w:szCs w:val="24"/>
          <w:lang w:val="en-CA" w:eastAsia="fr-CA"/>
        </w:rPr>
        <w:br/>
      </w:r>
      <w:r w:rsidRPr="002A75D9">
        <w:rPr>
          <w:rFonts w:ascii="Times New Roman" w:eastAsia="Times New Roman" w:hAnsi="Times New Roman" w:cs="Times New Roman"/>
          <w:sz w:val="27"/>
          <w:szCs w:val="27"/>
          <w:lang w:val="en-CA" w:eastAsia="fr-CA"/>
        </w:rPr>
        <w:t>MID-TERM EXAM</w:t>
      </w:r>
      <w:r w:rsidRPr="002A75D9">
        <w:rPr>
          <w:rFonts w:ascii="Times New Roman" w:eastAsia="Times New Roman" w:hAnsi="Times New Roman" w:cs="Times New Roman"/>
          <w:sz w:val="24"/>
          <w:szCs w:val="24"/>
          <w:lang w:val="en-CA" w:eastAsia="fr-CA"/>
        </w:rPr>
        <w:t xml:space="preserve"> </w:t>
      </w:r>
    </w:p>
    <w:p w:rsidR="002A75D9" w:rsidRPr="002A75D9" w:rsidRDefault="002A75D9" w:rsidP="002A75D9">
      <w:pPr>
        <w:spacing w:before="100" w:beforeAutospacing="1" w:after="100" w:afterAutospacing="1" w:line="240" w:lineRule="auto"/>
        <w:jc w:val="center"/>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sz w:val="24"/>
          <w:szCs w:val="24"/>
          <w:lang w:val="en-CA" w:eastAsia="fr-CA"/>
        </w:rPr>
        <w:t xml:space="preserve">CARLETON UNIVERSITY </w:t>
      </w:r>
      <w:r w:rsidRPr="002A75D9">
        <w:rPr>
          <w:rFonts w:ascii="Times New Roman" w:eastAsia="Times New Roman" w:hAnsi="Times New Roman" w:cs="Times New Roman"/>
          <w:sz w:val="24"/>
          <w:szCs w:val="24"/>
          <w:lang w:val="en-CA" w:eastAsia="fr-CA"/>
        </w:rPr>
        <w:br/>
        <w:t xml:space="preserve">Department of Economics </w:t>
      </w:r>
      <w:r w:rsidRPr="002A75D9">
        <w:rPr>
          <w:rFonts w:ascii="Times New Roman" w:eastAsia="Times New Roman" w:hAnsi="Times New Roman" w:cs="Times New Roman"/>
          <w:sz w:val="24"/>
          <w:szCs w:val="24"/>
          <w:lang w:val="en-CA" w:eastAsia="fr-CA"/>
        </w:rPr>
        <w:br/>
        <w:t xml:space="preserve">ECON 3870 V </w:t>
      </w:r>
    </w:p>
    <w:p w:rsidR="002A75D9" w:rsidRPr="002A75D9" w:rsidRDefault="002A75D9" w:rsidP="002A75D9">
      <w:pPr>
        <w:spacing w:before="100" w:beforeAutospacing="1" w:after="100" w:afterAutospacing="1" w:line="240" w:lineRule="auto"/>
        <w:jc w:val="center"/>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sz w:val="24"/>
          <w:szCs w:val="24"/>
          <w:lang w:val="en-CA" w:eastAsia="fr-CA"/>
        </w:rPr>
        <w:t>Instructor: R. Carson</w:t>
      </w:r>
    </w:p>
    <w:p w:rsidR="002A75D9" w:rsidRPr="002A75D9" w:rsidRDefault="002A75D9" w:rsidP="002A75D9">
      <w:pPr>
        <w:spacing w:after="0" w:line="240" w:lineRule="auto"/>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b/>
          <w:bCs/>
          <w:sz w:val="24"/>
          <w:szCs w:val="24"/>
          <w:lang w:val="en-CA" w:eastAsia="fr-CA"/>
        </w:rPr>
        <w:t>DIRECTIONS:</w:t>
      </w:r>
      <w:r w:rsidRPr="002A75D9">
        <w:rPr>
          <w:rFonts w:ascii="Times New Roman" w:eastAsia="Times New Roman" w:hAnsi="Times New Roman" w:cs="Times New Roman"/>
          <w:sz w:val="24"/>
          <w:szCs w:val="24"/>
          <w:lang w:val="en-CA" w:eastAsia="fr-CA"/>
        </w:rPr>
        <w:t xml:space="preserve"> </w:t>
      </w:r>
    </w:p>
    <w:p w:rsidR="002A75D9" w:rsidRPr="002A75D9" w:rsidRDefault="002A75D9" w:rsidP="002A75D9">
      <w:pPr>
        <w:spacing w:after="0" w:line="240" w:lineRule="auto"/>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b/>
          <w:bCs/>
          <w:sz w:val="24"/>
          <w:szCs w:val="24"/>
          <w:lang w:val="en-CA" w:eastAsia="fr-CA"/>
        </w:rPr>
        <w:t xml:space="preserve">Please answer each question below. The question weights are as indicated. Use graphs where you find them useful, making sure to explain them. In general, be sure to explain yourself well enough that the grader knows that you know what you are doing. </w:t>
      </w:r>
      <w:r w:rsidRPr="002A75D9">
        <w:rPr>
          <w:rFonts w:ascii="Times New Roman" w:eastAsia="Times New Roman" w:hAnsi="Times New Roman" w:cs="Times New Roman"/>
          <w:b/>
          <w:bCs/>
          <w:i/>
          <w:iCs/>
          <w:sz w:val="24"/>
          <w:szCs w:val="24"/>
          <w:lang w:val="en-CA" w:eastAsia="fr-CA"/>
        </w:rPr>
        <w:t>Please write on every other line</w:t>
      </w:r>
      <w:r w:rsidRPr="002A75D9">
        <w:rPr>
          <w:rFonts w:ascii="Times New Roman" w:eastAsia="Times New Roman" w:hAnsi="Times New Roman" w:cs="Times New Roman"/>
          <w:b/>
          <w:bCs/>
          <w:sz w:val="24"/>
          <w:szCs w:val="24"/>
          <w:lang w:val="en-CA" w:eastAsia="fr-CA"/>
        </w:rPr>
        <w:t>.</w:t>
      </w:r>
      <w:r w:rsidRPr="002A75D9">
        <w:rPr>
          <w:rFonts w:ascii="Times New Roman" w:eastAsia="Times New Roman" w:hAnsi="Times New Roman" w:cs="Times New Roman"/>
          <w:sz w:val="24"/>
          <w:szCs w:val="24"/>
          <w:lang w:val="en-CA" w:eastAsia="fr-CA"/>
        </w:rPr>
        <w:t xml:space="preserve">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sz w:val="24"/>
          <w:szCs w:val="24"/>
          <w:lang w:val="en-CA" w:eastAsia="fr-CA"/>
        </w:rPr>
        <w:t>1. Economic reform in China has been accompanied by rapid economic growth. Increases in average living standards have been far more rapid than in the period before 1979. By contrast, growth in the European transition economies was much slower until recently.</w:t>
      </w:r>
    </w:p>
    <w:p w:rsidR="002A75D9" w:rsidRPr="002A75D9" w:rsidRDefault="002A75D9" w:rsidP="002A75D9">
      <w:pPr>
        <w:spacing w:after="0" w:line="240" w:lineRule="auto"/>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sz w:val="24"/>
          <w:szCs w:val="24"/>
          <w:lang w:val="en-CA" w:eastAsia="fr-CA"/>
        </w:rPr>
        <w:t>A. (</w:t>
      </w:r>
      <w:r w:rsidRPr="002A75D9">
        <w:rPr>
          <w:rFonts w:ascii="Times New Roman" w:eastAsia="Times New Roman" w:hAnsi="Times New Roman" w:cs="Times New Roman"/>
          <w:b/>
          <w:bCs/>
          <w:sz w:val="24"/>
          <w:szCs w:val="24"/>
          <w:lang w:val="en-CA" w:eastAsia="fr-CA"/>
        </w:rPr>
        <w:t>20%</w:t>
      </w:r>
      <w:r w:rsidRPr="002A75D9">
        <w:rPr>
          <w:rFonts w:ascii="Times New Roman" w:eastAsia="Times New Roman" w:hAnsi="Times New Roman" w:cs="Times New Roman"/>
          <w:sz w:val="24"/>
          <w:szCs w:val="24"/>
          <w:lang w:val="en-CA" w:eastAsia="fr-CA"/>
        </w:rPr>
        <w:t xml:space="preserve">) Give at least four basic reasons why China has been able to combine the transition to a market economy with faster economic growth than has been enjoyed by European transition economies. Explain briefly.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sz w:val="24"/>
          <w:szCs w:val="24"/>
          <w:lang w:val="en-CA" w:eastAsia="fr-CA"/>
        </w:rPr>
        <w:t>B. (</w:t>
      </w:r>
      <w:r w:rsidRPr="002A75D9">
        <w:rPr>
          <w:rFonts w:ascii="Times New Roman" w:eastAsia="Times New Roman" w:hAnsi="Times New Roman" w:cs="Times New Roman"/>
          <w:b/>
          <w:bCs/>
          <w:sz w:val="24"/>
          <w:szCs w:val="24"/>
          <w:lang w:val="en-CA" w:eastAsia="fr-CA"/>
        </w:rPr>
        <w:t>10%</w:t>
      </w:r>
      <w:r w:rsidRPr="002A75D9">
        <w:rPr>
          <w:rFonts w:ascii="Times New Roman" w:eastAsia="Times New Roman" w:hAnsi="Times New Roman" w:cs="Times New Roman"/>
          <w:sz w:val="24"/>
          <w:szCs w:val="24"/>
          <w:lang w:val="en-CA" w:eastAsia="fr-CA"/>
        </w:rPr>
        <w:t xml:space="preserve">) In what key areas is reform still incomplete? Explain briefly what needs to be done and why.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sz w:val="24"/>
          <w:szCs w:val="24"/>
          <w:lang w:val="en-CA" w:eastAsia="fr-CA"/>
        </w:rPr>
        <w:t>C. (</w:t>
      </w:r>
      <w:r w:rsidRPr="002A75D9">
        <w:rPr>
          <w:rFonts w:ascii="Times New Roman" w:eastAsia="Times New Roman" w:hAnsi="Times New Roman" w:cs="Times New Roman"/>
          <w:b/>
          <w:bCs/>
          <w:sz w:val="24"/>
          <w:szCs w:val="24"/>
          <w:lang w:val="en-CA" w:eastAsia="fr-CA"/>
        </w:rPr>
        <w:t>10%</w:t>
      </w:r>
      <w:r w:rsidRPr="002A75D9">
        <w:rPr>
          <w:rFonts w:ascii="Times New Roman" w:eastAsia="Times New Roman" w:hAnsi="Times New Roman" w:cs="Times New Roman"/>
          <w:sz w:val="24"/>
          <w:szCs w:val="24"/>
          <w:lang w:val="en-CA" w:eastAsia="fr-CA"/>
        </w:rPr>
        <w:t>) Recently, inflation in China has slowed and even disappeared. Explain what the economic cost of this has been and how it relates to the role and lending practices of the Chinese banks. (</w:t>
      </w:r>
      <w:r w:rsidRPr="002A75D9">
        <w:rPr>
          <w:rFonts w:ascii="Times New Roman" w:eastAsia="Times New Roman" w:hAnsi="Times New Roman" w:cs="Times New Roman"/>
          <w:i/>
          <w:iCs/>
          <w:sz w:val="24"/>
          <w:szCs w:val="24"/>
          <w:lang w:val="en-CA" w:eastAsia="fr-CA"/>
        </w:rPr>
        <w:t>Hint</w:t>
      </w:r>
      <w:r w:rsidRPr="002A75D9">
        <w:rPr>
          <w:rFonts w:ascii="Times New Roman" w:eastAsia="Times New Roman" w:hAnsi="Times New Roman" w:cs="Times New Roman"/>
          <w:sz w:val="24"/>
          <w:szCs w:val="24"/>
          <w:lang w:val="en-CA" w:eastAsia="fr-CA"/>
        </w:rPr>
        <w:t xml:space="preserve">: Why might we expect China to face a trade-off between inflation and unemployment?) </w:t>
      </w:r>
    </w:p>
    <w:p w:rsidR="002A75D9" w:rsidRPr="002A75D9" w:rsidRDefault="002A75D9" w:rsidP="002A75D9">
      <w:pPr>
        <w:spacing w:after="0" w:line="240" w:lineRule="auto"/>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sz w:val="24"/>
          <w:szCs w:val="24"/>
          <w:lang w:val="en-CA" w:eastAsia="fr-CA"/>
        </w:rPr>
        <w:t xml:space="preserve">2. This question deals with the reform in rural areas of China. </w:t>
      </w:r>
    </w:p>
    <w:p w:rsidR="002A75D9" w:rsidRPr="002A75D9" w:rsidRDefault="002A75D9" w:rsidP="002A75D9">
      <w:pPr>
        <w:spacing w:after="0" w:line="240" w:lineRule="auto"/>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sz w:val="24"/>
          <w:szCs w:val="24"/>
          <w:lang w:val="en-CA" w:eastAsia="fr-CA"/>
        </w:rPr>
        <w:t>A. (</w:t>
      </w:r>
      <w:r w:rsidRPr="002A75D9">
        <w:rPr>
          <w:rFonts w:ascii="Times New Roman" w:eastAsia="Times New Roman" w:hAnsi="Times New Roman" w:cs="Times New Roman"/>
          <w:b/>
          <w:bCs/>
          <w:sz w:val="24"/>
          <w:szCs w:val="24"/>
          <w:lang w:val="en-CA" w:eastAsia="fr-CA"/>
        </w:rPr>
        <w:t>15%</w:t>
      </w:r>
      <w:r w:rsidRPr="002A75D9">
        <w:rPr>
          <w:rFonts w:ascii="Times New Roman" w:eastAsia="Times New Roman" w:hAnsi="Times New Roman" w:cs="Times New Roman"/>
          <w:sz w:val="24"/>
          <w:szCs w:val="24"/>
          <w:lang w:val="en-CA" w:eastAsia="fr-CA"/>
        </w:rPr>
        <w:t>) What is the "responsibility system", as applied to rural areas of China? Why did the introduction of this system lead to a large initial increase in farm output after it replaced the old system of collectivized agriculture? (Give two sources of productivity gain.) What other factor contributed to the rise in output?</w:t>
      </w:r>
    </w:p>
    <w:p w:rsidR="002A75D9" w:rsidRPr="002A75D9" w:rsidRDefault="002A75D9" w:rsidP="002A75D9">
      <w:pPr>
        <w:spacing w:after="0" w:line="240" w:lineRule="auto"/>
        <w:ind w:left="2160"/>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sz w:val="24"/>
          <w:szCs w:val="24"/>
          <w:lang w:val="en-CA" w:eastAsia="fr-CA"/>
        </w:rPr>
        <w:t>B. (</w:t>
      </w:r>
      <w:r w:rsidRPr="002A75D9">
        <w:rPr>
          <w:rFonts w:ascii="Times New Roman" w:eastAsia="Times New Roman" w:hAnsi="Times New Roman" w:cs="Times New Roman"/>
          <w:b/>
          <w:bCs/>
          <w:sz w:val="24"/>
          <w:szCs w:val="24"/>
          <w:lang w:val="en-CA" w:eastAsia="fr-CA"/>
        </w:rPr>
        <w:t>15%</w:t>
      </w:r>
      <w:r w:rsidRPr="002A75D9">
        <w:rPr>
          <w:rFonts w:ascii="Times New Roman" w:eastAsia="Times New Roman" w:hAnsi="Times New Roman" w:cs="Times New Roman"/>
          <w:sz w:val="24"/>
          <w:szCs w:val="24"/>
          <w:lang w:val="en-CA" w:eastAsia="fr-CA"/>
        </w:rPr>
        <w:t>) Why did the reform in agriculture make the need for expansion of the sector of small private and collective firms in rural areas (the rural enterprise sector) more critical? How did changes in property rights vis-à-vis these firms in the mid-1980s encourage faster expansion and greater efficiency in this sector? How did the open-door policy aid the growth of this sector?</w:t>
      </w:r>
    </w:p>
    <w:p w:rsidR="002A75D9" w:rsidRPr="002A75D9" w:rsidRDefault="002A75D9" w:rsidP="002A75D9">
      <w:pPr>
        <w:spacing w:after="0" w:line="240" w:lineRule="auto"/>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sz w:val="24"/>
          <w:szCs w:val="24"/>
          <w:lang w:val="en-CA" w:eastAsia="fr-CA"/>
        </w:rPr>
        <w:t xml:space="preserve">3. The roots of the present Japanese financial and economic crisis lie in the collapse of the economic "bubble" over 1990-91 and in the nature of ties between Japanese banks and the Japanese government. </w:t>
      </w:r>
    </w:p>
    <w:p w:rsidR="002A75D9" w:rsidRPr="002A75D9" w:rsidRDefault="002A75D9" w:rsidP="002A75D9">
      <w:pPr>
        <w:spacing w:after="0" w:line="240" w:lineRule="auto"/>
        <w:ind w:left="2160"/>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sz w:val="24"/>
          <w:szCs w:val="24"/>
          <w:lang w:val="en-CA" w:eastAsia="fr-CA"/>
        </w:rPr>
        <w:lastRenderedPageBreak/>
        <w:t>A. (</w:t>
      </w:r>
      <w:r w:rsidRPr="002A75D9">
        <w:rPr>
          <w:rFonts w:ascii="Times New Roman" w:eastAsia="Times New Roman" w:hAnsi="Times New Roman" w:cs="Times New Roman"/>
          <w:b/>
          <w:bCs/>
          <w:sz w:val="24"/>
          <w:szCs w:val="24"/>
          <w:lang w:val="en-CA" w:eastAsia="fr-CA"/>
        </w:rPr>
        <w:t>15%</w:t>
      </w:r>
      <w:r w:rsidRPr="002A75D9">
        <w:rPr>
          <w:rFonts w:ascii="Times New Roman" w:eastAsia="Times New Roman" w:hAnsi="Times New Roman" w:cs="Times New Roman"/>
          <w:sz w:val="24"/>
          <w:szCs w:val="24"/>
          <w:lang w:val="en-CA" w:eastAsia="fr-CA"/>
        </w:rPr>
        <w:t xml:space="preserve">) Explain how Japanese government policy helped first to fuel the spectacular rise in prices of land, equities, and other assets during the latter part of the 1980s and then to cause the sharp fall in these prices during the early 1990s. How did the collapse of the asset price bubble result in a financial crisis? </w:t>
      </w:r>
    </w:p>
    <w:p w:rsidR="002A75D9" w:rsidRPr="002A75D9" w:rsidRDefault="002A75D9" w:rsidP="002A75D9">
      <w:pPr>
        <w:spacing w:before="100" w:beforeAutospacing="1" w:after="100" w:afterAutospacing="1" w:line="240" w:lineRule="auto"/>
        <w:ind w:left="2160"/>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sz w:val="24"/>
          <w:szCs w:val="24"/>
          <w:lang w:val="en-CA" w:eastAsia="fr-CA"/>
        </w:rPr>
        <w:t>B. (</w:t>
      </w:r>
      <w:r w:rsidRPr="002A75D9">
        <w:rPr>
          <w:rFonts w:ascii="Times New Roman" w:eastAsia="Times New Roman" w:hAnsi="Times New Roman" w:cs="Times New Roman"/>
          <w:b/>
          <w:bCs/>
          <w:sz w:val="24"/>
          <w:szCs w:val="24"/>
          <w:lang w:val="en-CA" w:eastAsia="fr-CA"/>
        </w:rPr>
        <w:t>15%)</w:t>
      </w:r>
      <w:r w:rsidRPr="002A75D9">
        <w:rPr>
          <w:rFonts w:ascii="Times New Roman" w:eastAsia="Times New Roman" w:hAnsi="Times New Roman" w:cs="Times New Roman"/>
          <w:sz w:val="24"/>
          <w:szCs w:val="24"/>
          <w:lang w:val="en-CA" w:eastAsia="fr-CA"/>
        </w:rPr>
        <w:t xml:space="preserve"> This crisis has led to long-term economic stagnation (or slow economic growth), a major cause of which is "crowding out" in credit markets. In this context, what is "evergreening" and how does it relate to crowding out? What is the reason for this practice? How has it worked to convert the crisis in the financial system into over-all economic stagnation? </w:t>
      </w:r>
    </w:p>
    <w:p w:rsidR="002A75D9" w:rsidRPr="002A75D9" w:rsidRDefault="002A75D9" w:rsidP="002A75D9">
      <w:pPr>
        <w:spacing w:before="100" w:beforeAutospacing="1" w:after="100" w:afterAutospacing="1" w:line="240" w:lineRule="auto"/>
        <w:ind w:left="2160"/>
        <w:jc w:val="center"/>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b/>
          <w:bCs/>
          <w:sz w:val="24"/>
          <w:szCs w:val="24"/>
          <w:lang w:val="en-CA" w:eastAsia="fr-CA"/>
        </w:rPr>
        <w:t>OR</w:t>
      </w:r>
    </w:p>
    <w:p w:rsidR="002A75D9" w:rsidRPr="002A75D9" w:rsidRDefault="002A75D9" w:rsidP="002A75D9">
      <w:pPr>
        <w:spacing w:after="0" w:line="240" w:lineRule="auto"/>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sz w:val="24"/>
          <w:szCs w:val="24"/>
          <w:lang w:val="en-CA" w:eastAsia="fr-CA"/>
        </w:rPr>
        <w:t xml:space="preserve">3'. Sometimes, the Japanese economy is described as an example of "finance capitalism" - that is, of an economic system based on close ties between banks and business firms. Japanese banks also have close ties with government and have been a highly regulated sector. </w:t>
      </w:r>
    </w:p>
    <w:p w:rsidR="002A75D9" w:rsidRPr="002A75D9" w:rsidRDefault="002A75D9" w:rsidP="002A75D9">
      <w:pPr>
        <w:spacing w:after="0" w:line="240" w:lineRule="auto"/>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sz w:val="24"/>
          <w:szCs w:val="24"/>
          <w:lang w:val="en-CA" w:eastAsia="fr-CA"/>
        </w:rPr>
        <w:t>A. (</w:t>
      </w:r>
      <w:r w:rsidRPr="002A75D9">
        <w:rPr>
          <w:rFonts w:ascii="Times New Roman" w:eastAsia="Times New Roman" w:hAnsi="Times New Roman" w:cs="Times New Roman"/>
          <w:b/>
          <w:bCs/>
          <w:sz w:val="24"/>
          <w:szCs w:val="24"/>
          <w:lang w:val="en-CA" w:eastAsia="fr-CA"/>
        </w:rPr>
        <w:t>15%</w:t>
      </w:r>
      <w:r w:rsidRPr="002A75D9">
        <w:rPr>
          <w:rFonts w:ascii="Times New Roman" w:eastAsia="Times New Roman" w:hAnsi="Times New Roman" w:cs="Times New Roman"/>
          <w:sz w:val="24"/>
          <w:szCs w:val="24"/>
          <w:lang w:val="en-CA" w:eastAsia="fr-CA"/>
        </w:rPr>
        <w:t xml:space="preserve">) Explain why finance capitalism arose in Japan. What basic problem of economic development did it help to solve in the 19th and early 20th centuries and how did it solve this problem? </w:t>
      </w:r>
    </w:p>
    <w:p w:rsidR="002A75D9" w:rsidRDefault="002A75D9" w:rsidP="002A75D9">
      <w:pPr>
        <w:spacing w:before="100" w:beforeAutospacing="1" w:after="100" w:afterAutospacing="1" w:line="240" w:lineRule="auto"/>
        <w:rPr>
          <w:rFonts w:ascii="Times New Roman" w:eastAsia="Times New Roman" w:hAnsi="Times New Roman" w:cs="Times New Roman"/>
          <w:sz w:val="24"/>
          <w:szCs w:val="24"/>
          <w:lang w:val="en-CA" w:eastAsia="fr-CA"/>
        </w:rPr>
      </w:pPr>
      <w:r w:rsidRPr="002A75D9">
        <w:rPr>
          <w:rFonts w:ascii="Times New Roman" w:eastAsia="Times New Roman" w:hAnsi="Times New Roman" w:cs="Times New Roman"/>
          <w:sz w:val="24"/>
          <w:szCs w:val="24"/>
          <w:lang w:val="en-CA" w:eastAsia="fr-CA"/>
        </w:rPr>
        <w:t>B. (</w:t>
      </w:r>
      <w:r w:rsidRPr="002A75D9">
        <w:rPr>
          <w:rFonts w:ascii="Times New Roman" w:eastAsia="Times New Roman" w:hAnsi="Times New Roman" w:cs="Times New Roman"/>
          <w:b/>
          <w:bCs/>
          <w:sz w:val="24"/>
          <w:szCs w:val="24"/>
          <w:lang w:val="en-CA" w:eastAsia="fr-CA"/>
        </w:rPr>
        <w:t>15%</w:t>
      </w:r>
      <w:r w:rsidRPr="002A75D9">
        <w:rPr>
          <w:rFonts w:ascii="Times New Roman" w:eastAsia="Times New Roman" w:hAnsi="Times New Roman" w:cs="Times New Roman"/>
          <w:sz w:val="24"/>
          <w:szCs w:val="24"/>
          <w:lang w:val="en-CA" w:eastAsia="fr-CA"/>
        </w:rPr>
        <w:t>) Explain how Japanese government policy helped first to fuel the spectacular rise in prices of land, equities, and other assets during the latter part of the 1980s and then to cause the sharp fall in these prices during the early 1990s. How did the collapse of the asset price bubble result in a financial crisis?</w:t>
      </w:r>
    </w:p>
    <w:p w:rsidR="002A75D9" w:rsidRDefault="002A75D9" w:rsidP="002A75D9">
      <w:pPr>
        <w:spacing w:before="100" w:beforeAutospacing="1" w:after="100" w:afterAutospacing="1" w:line="240" w:lineRule="auto"/>
        <w:rPr>
          <w:rFonts w:ascii="Times New Roman" w:eastAsia="Times New Roman" w:hAnsi="Times New Roman" w:cs="Times New Roman"/>
          <w:sz w:val="24"/>
          <w:szCs w:val="24"/>
          <w:lang w:val="en-CA" w:eastAsia="fr-CA"/>
        </w:rPr>
      </w:pPr>
    </w:p>
    <w:p w:rsidR="002A75D9" w:rsidRDefault="002A75D9" w:rsidP="002A75D9">
      <w:pPr>
        <w:spacing w:after="0" w:line="240" w:lineRule="auto"/>
        <w:jc w:val="center"/>
        <w:rPr>
          <w:rFonts w:ascii="Times New Roman" w:eastAsia="Times New Roman" w:hAnsi="Times New Roman" w:cs="Times New Roman"/>
          <w:color w:val="000000" w:themeColor="text1"/>
          <w:sz w:val="48"/>
          <w:szCs w:val="48"/>
          <w:lang w:val="en-CA" w:eastAsia="fr-CA"/>
        </w:rPr>
      </w:pPr>
      <w:bookmarkStart w:id="1" w:name="July_1999"/>
      <w:bookmarkEnd w:id="1"/>
    </w:p>
    <w:p w:rsidR="002A75D9" w:rsidRDefault="002A75D9" w:rsidP="002A75D9">
      <w:pPr>
        <w:spacing w:after="0" w:line="240" w:lineRule="auto"/>
        <w:jc w:val="center"/>
        <w:rPr>
          <w:rFonts w:ascii="Times New Roman" w:eastAsia="Times New Roman" w:hAnsi="Times New Roman" w:cs="Times New Roman"/>
          <w:color w:val="000000" w:themeColor="text1"/>
          <w:sz w:val="48"/>
          <w:szCs w:val="48"/>
          <w:lang w:val="en-CA" w:eastAsia="fr-CA"/>
        </w:rPr>
      </w:pPr>
    </w:p>
    <w:p w:rsidR="002A75D9" w:rsidRDefault="002A75D9" w:rsidP="002A75D9">
      <w:pPr>
        <w:spacing w:after="0" w:line="240" w:lineRule="auto"/>
        <w:jc w:val="center"/>
        <w:rPr>
          <w:rFonts w:ascii="Times New Roman" w:eastAsia="Times New Roman" w:hAnsi="Times New Roman" w:cs="Times New Roman"/>
          <w:color w:val="000000" w:themeColor="text1"/>
          <w:sz w:val="48"/>
          <w:szCs w:val="48"/>
          <w:lang w:val="en-CA" w:eastAsia="fr-CA"/>
        </w:rPr>
      </w:pPr>
    </w:p>
    <w:p w:rsidR="002A75D9" w:rsidRDefault="002A75D9" w:rsidP="002A75D9">
      <w:pPr>
        <w:spacing w:after="0" w:line="240" w:lineRule="auto"/>
        <w:jc w:val="center"/>
        <w:rPr>
          <w:rFonts w:ascii="Times New Roman" w:eastAsia="Times New Roman" w:hAnsi="Times New Roman" w:cs="Times New Roman"/>
          <w:color w:val="000000" w:themeColor="text1"/>
          <w:sz w:val="48"/>
          <w:szCs w:val="48"/>
          <w:lang w:val="en-CA" w:eastAsia="fr-CA"/>
        </w:rPr>
      </w:pPr>
    </w:p>
    <w:p w:rsidR="002A75D9" w:rsidRDefault="002A75D9" w:rsidP="002A75D9">
      <w:pPr>
        <w:spacing w:after="0" w:line="240" w:lineRule="auto"/>
        <w:jc w:val="center"/>
        <w:rPr>
          <w:rFonts w:ascii="Times New Roman" w:eastAsia="Times New Roman" w:hAnsi="Times New Roman" w:cs="Times New Roman"/>
          <w:color w:val="000000" w:themeColor="text1"/>
          <w:sz w:val="48"/>
          <w:szCs w:val="48"/>
          <w:lang w:val="en-CA" w:eastAsia="fr-CA"/>
        </w:rPr>
      </w:pPr>
    </w:p>
    <w:p w:rsidR="002A75D9" w:rsidRDefault="002A75D9" w:rsidP="002A75D9">
      <w:pPr>
        <w:spacing w:after="0" w:line="240" w:lineRule="auto"/>
        <w:jc w:val="center"/>
        <w:rPr>
          <w:rFonts w:ascii="Times New Roman" w:eastAsia="Times New Roman" w:hAnsi="Times New Roman" w:cs="Times New Roman"/>
          <w:color w:val="000000" w:themeColor="text1"/>
          <w:sz w:val="48"/>
          <w:szCs w:val="48"/>
          <w:lang w:val="en-CA" w:eastAsia="fr-CA"/>
        </w:rPr>
      </w:pPr>
    </w:p>
    <w:p w:rsidR="002A75D9" w:rsidRDefault="002A75D9" w:rsidP="002A75D9">
      <w:pPr>
        <w:spacing w:after="0" w:line="240" w:lineRule="auto"/>
        <w:jc w:val="center"/>
        <w:rPr>
          <w:rFonts w:ascii="Times New Roman" w:eastAsia="Times New Roman" w:hAnsi="Times New Roman" w:cs="Times New Roman"/>
          <w:color w:val="000000" w:themeColor="text1"/>
          <w:sz w:val="48"/>
          <w:szCs w:val="48"/>
          <w:lang w:val="en-CA" w:eastAsia="fr-CA"/>
        </w:rPr>
      </w:pPr>
    </w:p>
    <w:p w:rsidR="002A75D9" w:rsidRDefault="002A75D9" w:rsidP="002A75D9">
      <w:pPr>
        <w:spacing w:after="0" w:line="240" w:lineRule="auto"/>
        <w:jc w:val="center"/>
        <w:rPr>
          <w:rFonts w:ascii="Times New Roman" w:eastAsia="Times New Roman" w:hAnsi="Times New Roman" w:cs="Times New Roman"/>
          <w:color w:val="000000" w:themeColor="text1"/>
          <w:sz w:val="48"/>
          <w:szCs w:val="48"/>
          <w:lang w:val="en-CA" w:eastAsia="fr-CA"/>
        </w:rPr>
      </w:pPr>
    </w:p>
    <w:p w:rsidR="002A75D9" w:rsidRPr="002A75D9" w:rsidRDefault="002A75D9" w:rsidP="002A75D9">
      <w:pPr>
        <w:spacing w:after="0" w:line="240" w:lineRule="auto"/>
        <w:jc w:val="center"/>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48"/>
          <w:szCs w:val="48"/>
          <w:lang w:val="en-CA" w:eastAsia="fr-CA"/>
        </w:rPr>
        <w:lastRenderedPageBreak/>
        <w:t>July 2005</w:t>
      </w:r>
      <w:r w:rsidRPr="002A75D9">
        <w:rPr>
          <w:rFonts w:ascii="Times New Roman" w:eastAsia="Times New Roman" w:hAnsi="Times New Roman" w:cs="Times New Roman"/>
          <w:color w:val="000000" w:themeColor="text1"/>
          <w:sz w:val="24"/>
          <w:szCs w:val="24"/>
          <w:lang w:val="en-CA" w:eastAsia="fr-CA"/>
        </w:rPr>
        <w:t xml:space="preserve"> </w:t>
      </w:r>
      <w:r w:rsidRPr="002A75D9">
        <w:rPr>
          <w:rFonts w:ascii="Times New Roman" w:eastAsia="Times New Roman" w:hAnsi="Times New Roman" w:cs="Times New Roman"/>
          <w:color w:val="000000" w:themeColor="text1"/>
          <w:sz w:val="24"/>
          <w:szCs w:val="24"/>
          <w:lang w:val="en-CA" w:eastAsia="fr-CA"/>
        </w:rPr>
        <w:br/>
      </w:r>
      <w:r w:rsidRPr="002A75D9">
        <w:rPr>
          <w:rFonts w:ascii="Times New Roman" w:eastAsia="Times New Roman" w:hAnsi="Times New Roman" w:cs="Times New Roman"/>
          <w:color w:val="000000" w:themeColor="text1"/>
          <w:sz w:val="27"/>
          <w:szCs w:val="27"/>
          <w:lang w:val="en-CA" w:eastAsia="fr-CA"/>
        </w:rPr>
        <w:t>MID-TERM EXAM ANSWER KEY</w:t>
      </w:r>
      <w:r w:rsidRPr="002A75D9">
        <w:rPr>
          <w:rFonts w:ascii="Times New Roman" w:eastAsia="Times New Roman" w:hAnsi="Times New Roman" w:cs="Times New Roman"/>
          <w:color w:val="000000" w:themeColor="text1"/>
          <w:sz w:val="24"/>
          <w:szCs w:val="24"/>
          <w:lang w:val="en-CA" w:eastAsia="fr-CA"/>
        </w:rPr>
        <w:t xml:space="preserve"> </w:t>
      </w:r>
    </w:p>
    <w:p w:rsidR="002A75D9" w:rsidRPr="002A75D9" w:rsidRDefault="002A75D9" w:rsidP="002A75D9">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b/>
          <w:bCs/>
          <w:color w:val="000000" w:themeColor="text1"/>
          <w:sz w:val="24"/>
          <w:szCs w:val="24"/>
          <w:lang w:val="en-CA" w:eastAsia="fr-CA"/>
        </w:rPr>
        <w:t>(Note: The following answers are longer than student answers are expected to be.)</w:t>
      </w:r>
    </w:p>
    <w:p w:rsidR="002A75D9" w:rsidRPr="002A75D9" w:rsidRDefault="002A75D9" w:rsidP="002A75D9">
      <w:pPr>
        <w:spacing w:after="0"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b/>
          <w:bCs/>
          <w:color w:val="000000" w:themeColor="text1"/>
          <w:sz w:val="24"/>
          <w:szCs w:val="24"/>
          <w:lang w:val="en-CA" w:eastAsia="fr-CA"/>
        </w:rPr>
        <w:t>1A</w:t>
      </w:r>
      <w:r w:rsidRPr="002A75D9">
        <w:rPr>
          <w:rFonts w:ascii="Times New Roman" w:eastAsia="Times New Roman" w:hAnsi="Times New Roman" w:cs="Times New Roman"/>
          <w:color w:val="000000" w:themeColor="text1"/>
          <w:sz w:val="24"/>
          <w:szCs w:val="24"/>
          <w:lang w:val="en-CA" w:eastAsia="fr-CA"/>
        </w:rPr>
        <w:t xml:space="preserve">. The following are six basic reasons why China enjoyed faster growth than the European transition economies--at least up to the late 1990s. </w:t>
      </w:r>
      <w:r w:rsidRPr="002A75D9">
        <w:rPr>
          <w:rFonts w:ascii="Times New Roman" w:eastAsia="Times New Roman" w:hAnsi="Times New Roman" w:cs="Times New Roman"/>
          <w:b/>
          <w:bCs/>
          <w:i/>
          <w:iCs/>
          <w:color w:val="000000" w:themeColor="text1"/>
          <w:sz w:val="24"/>
          <w:szCs w:val="24"/>
          <w:lang w:val="en-CA" w:eastAsia="fr-CA"/>
        </w:rPr>
        <w:t xml:space="preserve">Note: </w:t>
      </w:r>
      <w:r w:rsidRPr="002A75D9">
        <w:rPr>
          <w:rFonts w:ascii="Times New Roman" w:eastAsia="Times New Roman" w:hAnsi="Times New Roman" w:cs="Times New Roman"/>
          <w:color w:val="000000" w:themeColor="text1"/>
          <w:sz w:val="24"/>
          <w:szCs w:val="24"/>
          <w:lang w:val="en-CA" w:eastAsia="fr-CA"/>
        </w:rPr>
        <w:t xml:space="preserve">Only four of these are required. </w:t>
      </w:r>
    </w:p>
    <w:p w:rsidR="002A75D9" w:rsidRPr="002A75D9" w:rsidRDefault="002A75D9" w:rsidP="002A75D9">
      <w:pPr>
        <w:spacing w:after="0"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(a). China has followed a more gradual approach to transition than any European country except Hungary. This does not mean that transition in China has actually taken longer, only that the pace of change has been kept deliberately slow. In the process, China has adopted the practice of first experimenting with reforms on a small scale and then adapting successful experiments on a more widespread basis. This is called the "model" or "experimental" </w:t>
      </w:r>
      <w:bookmarkStart w:id="2" w:name="_GoBack"/>
      <w:bookmarkEnd w:id="2"/>
      <w:r w:rsidRPr="002A75D9">
        <w:rPr>
          <w:rFonts w:ascii="Times New Roman" w:eastAsia="Times New Roman" w:hAnsi="Times New Roman" w:cs="Times New Roman"/>
          <w:color w:val="000000" w:themeColor="text1"/>
          <w:sz w:val="24"/>
          <w:szCs w:val="24"/>
          <w:lang w:val="en-CA" w:eastAsia="fr-CA"/>
        </w:rPr>
        <w:t xml:space="preserve">approach.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In particular, prices were freed gradually in China, after market institutions were put in place and only after there was some assurance that resulting price increases would be limited. Subsidies continue to hold down prices of some basic foodstuffs, rent, energy, and a few others, mainly in urban areas. Goods still traded under the mandatory plan continue to have artificially low prices.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By contrast, the sharp fall in output and employment and the consequent sharp rise in inflation in the initial transition stage in the Eastern European countries is partly attributable to their "big bang" approach to transition. Price and trade systems were liberalized rapidly, and internal convertibility of their currencies was restored through a sharp currency devaluation under restrictive fiscal, monetary and income policies. The overall liberalization of prices, together with the currency devaluation, led to a sharp rise in inflation. At the same time the withdrawal of subsidies and the immediate trade liberalization suddenly exposed enterprises to market forces and foreign competition. This, together with the credit squeeze under the tight monetary policies, led to a sharp fall in output and employment in the state sector. The non-state sector did not expand fast enough to keep resources fully employed.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(b). China did not reform her state sector, except in a slow and limited way. The absence of significant progress here for many years meant that directors of state firms were spared the-supply side shocks typical of Eastern and Central Europe, as their markets remained sheltered from foreign competition. They also continued to receive subsidies and soft bank loans from the state. Hence, a large fall of output and employment was prevented. Even now, state firms continue to benefit from the soft budget constraint (via soft loans), although not nearly as much as formerly.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In particular--and unlike in Eastern and central Europe--the transition from a Soviet-type to a market economy was not accompanied by significant privatization of previously-existing state-owned assets. Agriculture was de-collectivized, but the state retained ownership of the land, which was leased to the peasants.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In industry, the collective, private, and foreign-owned sectors expanded through new, greenfield investment, rather than by privatizing state firms. China's success in attracting huge amounts of foreign investment and in encouraging domestic entrepreneurship and investment, both public </w:t>
      </w:r>
      <w:r w:rsidRPr="002A75D9">
        <w:rPr>
          <w:rFonts w:ascii="Times New Roman" w:eastAsia="Times New Roman" w:hAnsi="Times New Roman" w:cs="Times New Roman"/>
          <w:color w:val="000000" w:themeColor="text1"/>
          <w:sz w:val="24"/>
          <w:szCs w:val="24"/>
          <w:lang w:val="en-CA" w:eastAsia="fr-CA"/>
        </w:rPr>
        <w:lastRenderedPageBreak/>
        <w:t xml:space="preserve">and private, is basically the reason for her economic success. The state sector did not really begin to downsize until around 1996, when privatization of smaller firms began in earnest. Under the compromise "two-track" approach to reform, the state sector was even allowed to expand over 1978-1996, despite its inefficiency. However, larger and larger subsidies were required to sustain the growth of this sector.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In European transition economies, continuing expansion of the state sector would have made reform impossible, since the state sector was far larger there, relative to the total size of the economy.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(c). Another advantage for China was the absence of a major external shock. This was a key difference from the smaller CMEA countries of Eastern and Central Europe. The collapse of CMEA trade in the late 1980’s eliminated the Soviet Union as a lucrative export market on which the Eastern European economies had been highly dependent prior to transition. Exports to the USSR and to its successor states continued, but at less favourable prices and on less favourable terms. Another external shock stemmed from the termination by the USSR of its subsidies on exports of energy and raw materials for the Eastern European countries.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In contrast, China was much less vulnerable to the external environment in its transition, and the world economy proved to be much more accommodative for China. Thanks to the Sino-Soviet dispute and rift in 1960, China’s trade had long since been diversified intoWestern markets, along with those of developing nations. By 1989, trade with CMEA nations was minor.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(d). The postponement of political reforms enabled China to maintain relative political and social stability. Empirical studies of the determinants of Foreign Direct Investment flows reveal that political stability is the most decisive factor in attracting FDI. This enabled China to attract more FDI than any other country in the world, and this contributed significantly to its access to modern technology and management methods, as well as to its exports, and thereby to its output and employment growth.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Nevertheless the Rule of Law is still not firmly established in China, and this factor has worked to discourage foreign investment, since there is always risk of an unfavourable change to a foreign investor's rights to conduct business and receive rewards.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(e). By de-collectivizing agriculture, China was able to achieve a sharp increase in food production, which also improved rural, as well as urban, living standards. This helped to increase support for the reforms. The positive response of Chinese peasants to de-collectivization has no counterpart in other transition economies, except Vietnam, where a big increases in food production also occurred. Elsewhere, peasants have resisted de-collectivization because of the loss of welfare benefits and the increased risk and work requirements (and despite the greater opportunities). Local officials, fearing loss of prestige and status, have spearheaded this resistance. But in China, opposition to reforms was swept aside, and many peasants responded in an entrepreneurial way to the new opportunities. Local officials have generally benefitted from these more than others.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lastRenderedPageBreak/>
        <w:t xml:space="preserve">(f). Another major difference between China and the European transition economies has been the existence and expansion of a large sector of rural collective and private firms in China. These had originally been created in the late 1950’s under Mao’s "walking on two legs" policy, which envisioned the coexistence of labour-intensive, small-scale rural enterprises together with large-scale, "modern," and capital-intensive urban industrial firms. The original purpose had been to mobilize surplus labour and other resources in the countryside.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Following reform, they became township and village enterprises (TVEs), and this sector started to grow and prosper, especially after 1984. At that time, many restrictions on these firms were eased, their budget constraints were hardened, and their property rights became better defined. They operate in a market environment and are subject to fewer government controls than state firms, in return for which they operate with greater responsibility for their profits and losses. As a result, they became the most important contributor to China’s rapid industrial growth.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These enterprises were also the major absorbers of rural surplus labour in agriculture released by the replacement of the communes with the household responsibility system. They account for 30-35 % of China’s exports and have a higher total factor productivity than the state sector. </w:t>
      </w:r>
    </w:p>
    <w:p w:rsidR="002A75D9" w:rsidRPr="002A75D9" w:rsidRDefault="002A75D9" w:rsidP="002A75D9">
      <w:pPr>
        <w:spacing w:after="0"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b/>
          <w:bCs/>
          <w:color w:val="000000" w:themeColor="text1"/>
          <w:sz w:val="24"/>
          <w:szCs w:val="24"/>
          <w:lang w:val="en-CA" w:eastAsia="fr-CA"/>
        </w:rPr>
        <w:t>1B.</w:t>
      </w:r>
      <w:r w:rsidRPr="002A75D9">
        <w:rPr>
          <w:rFonts w:ascii="Times New Roman" w:eastAsia="Times New Roman" w:hAnsi="Times New Roman" w:cs="Times New Roman"/>
          <w:color w:val="000000" w:themeColor="text1"/>
          <w:sz w:val="24"/>
          <w:szCs w:val="24"/>
          <w:lang w:val="en-CA" w:eastAsia="fr-CA"/>
        </w:rPr>
        <w:t xml:space="preserve"> We can say that three major hurdles to successful transition remain in China: </w:t>
      </w:r>
    </w:p>
    <w:p w:rsidR="002A75D9" w:rsidRPr="002A75D9" w:rsidRDefault="002A75D9" w:rsidP="002A75D9">
      <w:pPr>
        <w:spacing w:after="0"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br/>
        <w:t xml:space="preserve">1. </w:t>
      </w:r>
      <w:r w:rsidRPr="002A75D9">
        <w:rPr>
          <w:rFonts w:ascii="Times New Roman" w:eastAsia="Times New Roman" w:hAnsi="Times New Roman" w:cs="Times New Roman"/>
          <w:b/>
          <w:bCs/>
          <w:color w:val="000000" w:themeColor="text1"/>
          <w:sz w:val="24"/>
          <w:szCs w:val="24"/>
          <w:lang w:val="en-CA" w:eastAsia="fr-CA"/>
        </w:rPr>
        <w:t xml:space="preserve">Reform of the state sector </w:t>
      </w:r>
      <w:r w:rsidRPr="002A75D9">
        <w:rPr>
          <w:rFonts w:ascii="Times New Roman" w:eastAsia="Times New Roman" w:hAnsi="Times New Roman" w:cs="Times New Roman"/>
          <w:color w:val="000000" w:themeColor="text1"/>
          <w:sz w:val="24"/>
          <w:szCs w:val="24"/>
          <w:lang w:val="en-CA" w:eastAsia="fr-CA"/>
        </w:rPr>
        <w:t xml:space="preserve">including privatization of many state firms. Here, productivity growth has been negative in recent years. This reform is underway, but has a long way to go.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2. </w:t>
      </w:r>
      <w:r w:rsidRPr="002A75D9">
        <w:rPr>
          <w:rFonts w:ascii="Times New Roman" w:eastAsia="Times New Roman" w:hAnsi="Times New Roman" w:cs="Times New Roman"/>
          <w:b/>
          <w:bCs/>
          <w:color w:val="000000" w:themeColor="text1"/>
          <w:sz w:val="24"/>
          <w:szCs w:val="24"/>
          <w:lang w:val="en-CA" w:eastAsia="fr-CA"/>
        </w:rPr>
        <w:t>Financial Reform</w:t>
      </w:r>
      <w:r w:rsidRPr="002A75D9">
        <w:rPr>
          <w:rFonts w:ascii="Times New Roman" w:eastAsia="Times New Roman" w:hAnsi="Times New Roman" w:cs="Times New Roman"/>
          <w:color w:val="000000" w:themeColor="text1"/>
          <w:sz w:val="24"/>
          <w:szCs w:val="24"/>
          <w:lang w:val="en-CA" w:eastAsia="fr-CA"/>
        </w:rPr>
        <w:t xml:space="preserve">: Thus far Chinese banks have not learned how to operate in a market environment and , in particular, how to make loans on the basis of creditworthiness, rather than according to government guidelines. More generally, they have not learned how to operate in a cost-effective way within a market environment. This reform can not succeed until banks are freed of the obligation of subsidizing state firms, and forced to operate under harder budget constraints themselves. Widening and deepening of financial capital (securities) markets also needs to be accelerated---in part, to accommodate tax and welfare reform.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3. </w:t>
      </w:r>
      <w:r w:rsidRPr="002A75D9">
        <w:rPr>
          <w:rFonts w:ascii="Times New Roman" w:eastAsia="Times New Roman" w:hAnsi="Times New Roman" w:cs="Times New Roman"/>
          <w:b/>
          <w:bCs/>
          <w:color w:val="000000" w:themeColor="text1"/>
          <w:sz w:val="24"/>
          <w:szCs w:val="24"/>
          <w:lang w:val="en-CA" w:eastAsia="fr-CA"/>
        </w:rPr>
        <w:t>Tax and Welfare Reform</w:t>
      </w:r>
      <w:r w:rsidRPr="002A75D9">
        <w:rPr>
          <w:rFonts w:ascii="Times New Roman" w:eastAsia="Times New Roman" w:hAnsi="Times New Roman" w:cs="Times New Roman"/>
          <w:color w:val="000000" w:themeColor="text1"/>
          <w:sz w:val="24"/>
          <w:szCs w:val="24"/>
          <w:lang w:val="en-CA" w:eastAsia="fr-CA"/>
        </w:rPr>
        <w:t xml:space="preserve">: The State must assume greater responsibility for pensions, unemployment compensation, retraining, and health insurance, which will ultimately have to be financed to a much greater extent by obligatory contributions from individual employees and employers, as in the west. Benefits and contributions should also become more equal across state and non-state sectors and across urban and rural areas. Freed of this expenditure burden, state firms can more easily become cost effective, and the greater ability to harden enterprise budget constraints will ease the burden on banks to pile up uncollectible debts of state enterprises.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The government can afford to shoulder the cost of a more broadly based social insurance system only if it can collect higher social insurance contributions from many more sources than it now does. To accommodate a pension system based to a large extent on the contributions of employers and individual employees, China also needs a huge expansion of investment opportunities for pension-related savings. This requires broader and deeper financial markets, including securities markets of all kinds. And the state sector's claim on these savings has to be reduced. In order for the system to be viable (or self-sustaining), the savings deposited with it </w:t>
      </w:r>
      <w:r w:rsidRPr="002A75D9">
        <w:rPr>
          <w:rFonts w:ascii="Times New Roman" w:eastAsia="Times New Roman" w:hAnsi="Times New Roman" w:cs="Times New Roman"/>
          <w:color w:val="000000" w:themeColor="text1"/>
          <w:sz w:val="24"/>
          <w:szCs w:val="24"/>
          <w:lang w:val="en-CA" w:eastAsia="fr-CA"/>
        </w:rPr>
        <w:lastRenderedPageBreak/>
        <w:t xml:space="preserve">must be invested in a productive way. Generally speaking, moreover, the Chinese government must collect more revenue. Following fiscal decentralization near the outset of reform, tax collections fell from 35% of GDP in 1978 to 11% in 1995, one of the most precipitous decreases ever recorded anywhere in the world. Following the tax reform of 1995, revenue has risen to about 15% in 2002, mainly because of a new value-added tax. This is not enough.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It is also necessary to improve the collection of taxes, as well as of social insurance fees. In order to reduce rampant tax avoidance, some rates will have to fall, and above all, the state will have to broaden the tax base and make taxation more transparent. </w:t>
      </w:r>
    </w:p>
    <w:p w:rsidR="002A75D9" w:rsidRPr="002A75D9" w:rsidRDefault="002A75D9" w:rsidP="002A75D9">
      <w:pPr>
        <w:spacing w:after="0"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b/>
          <w:bCs/>
          <w:color w:val="000000" w:themeColor="text1"/>
          <w:sz w:val="24"/>
          <w:szCs w:val="24"/>
          <w:lang w:val="en-CA" w:eastAsia="fr-CA"/>
        </w:rPr>
        <w:t>1C</w:t>
      </w:r>
      <w:r w:rsidRPr="002A75D9">
        <w:rPr>
          <w:rFonts w:ascii="Times New Roman" w:eastAsia="Times New Roman" w:hAnsi="Times New Roman" w:cs="Times New Roman"/>
          <w:color w:val="000000" w:themeColor="text1"/>
          <w:sz w:val="24"/>
          <w:szCs w:val="24"/>
          <w:lang w:val="en-CA" w:eastAsia="fr-CA"/>
        </w:rPr>
        <w:t xml:space="preserve">. Subsidies to state firms were initially financed by money-supply expansion, which was inflationary, and by cheap loans from state banks, which crowded out expansion of the non-state sector. Up to 1993, the growth of wages, employment, and investment in the state sector matched that in the non-state sector, even though the state sector's share of output was declining. In 1997, the Asian crisis plus China's promise not to devalue the renminbi forced her to constrain money supply expansion in order to constrain inflation. Inflation nose-dived and soon became deflation. With money-supply expansion constrained, subsidies to state firms were financed more and more by cheap bank loans, and the "crowding-out" effect on the non-state sector became greater and greater. This was the source of China's "Phillip's curve"-type trade-off between inflation and unemployment. Unemployment rose and economic growth declined; since the start of reform, growth has been negatively correlated with the state sector's share of total investment. And the mountain of bad debt held by the state banks mushroomed. Inflationary credit expansion had eased the crowding out problem by making more credit available outside the state sector, which also created more growth and jobs.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In short, the trade-off between inflation and unemployment relates to the availability of credit outside the state sector where almost all new jobs are now being created. The cost of low inflation has been higher unemployment, but also lower growth and a mountain of bad debt that puts in jeopardy the survival of the banking system. Not only are state banks in jeopardy, but so are the savings of hundreds of millions of ordinary Chinese, who have had relatively few savings choices, and whose savings have financed all these non-performing loans.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b/>
          <w:bCs/>
          <w:color w:val="000000" w:themeColor="text1"/>
          <w:sz w:val="24"/>
          <w:szCs w:val="24"/>
          <w:lang w:val="en-CA" w:eastAsia="fr-CA"/>
        </w:rPr>
        <w:t>2A</w:t>
      </w:r>
      <w:r w:rsidRPr="002A75D9">
        <w:rPr>
          <w:rFonts w:ascii="Times New Roman" w:eastAsia="Times New Roman" w:hAnsi="Times New Roman" w:cs="Times New Roman"/>
          <w:color w:val="000000" w:themeColor="text1"/>
          <w:sz w:val="24"/>
          <w:szCs w:val="24"/>
          <w:lang w:val="en-CA" w:eastAsia="fr-CA"/>
        </w:rPr>
        <w:t xml:space="preserve">. The household responsibility system is the system of household farming in China, in which households farm on their own account (are residual claimants to the fruits of their labour), on small plots of land that they lease from the state. Previously, China relied on a system of collective farming, as did the vast majority of socialist countries. Most of the land was farmed collectively, rather than being divided into plots for each household, although a small amount was put aside for "private" plots. The latter were owned by the communes, but given to each household to farm on its own account. China's commune system was grossly inefficient.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After decollectivization---in which the land farmed collectively was divided up among households and small groups---large increases in farm output occurred, but fewer peasants were needed in agriculture. There were two sources of productivity gain: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b/>
          <w:bCs/>
          <w:color w:val="000000" w:themeColor="text1"/>
          <w:sz w:val="24"/>
          <w:szCs w:val="24"/>
          <w:lang w:val="en-CA" w:eastAsia="fr-CA"/>
        </w:rPr>
        <w:t>First</w:t>
      </w:r>
      <w:r w:rsidRPr="002A75D9">
        <w:rPr>
          <w:rFonts w:ascii="Times New Roman" w:eastAsia="Times New Roman" w:hAnsi="Times New Roman" w:cs="Times New Roman"/>
          <w:color w:val="000000" w:themeColor="text1"/>
          <w:sz w:val="24"/>
          <w:szCs w:val="24"/>
          <w:lang w:val="en-CA" w:eastAsia="fr-CA"/>
        </w:rPr>
        <w:t xml:space="preserve">, under the collective system, peasant labour was more heavily "taxed" on collective land than on private plots. Not only were peasants residual claimants to the income of collectives, </w:t>
      </w:r>
      <w:r w:rsidRPr="002A75D9">
        <w:rPr>
          <w:rFonts w:ascii="Times New Roman" w:eastAsia="Times New Roman" w:hAnsi="Times New Roman" w:cs="Times New Roman"/>
          <w:color w:val="000000" w:themeColor="text1"/>
          <w:sz w:val="24"/>
          <w:szCs w:val="24"/>
          <w:lang w:val="en-CA" w:eastAsia="fr-CA"/>
        </w:rPr>
        <w:lastRenderedPageBreak/>
        <w:t xml:space="preserve">after all other expenses including taxes were met, but there was an egalitarian bias in awarding work points that tended to reduce the earnings of the most productive peasants. As a result, peasants preferred to work their private plots.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Labour was therefore misallocated, with too much going to private plots and not enough to collective fields, in China as in other socialist economies with collective agriculture. To maximize total output over both types of land would require equalization of the marginal products of labour on both types. However, the marginal product of labour was lower on private plots than on collective land, since peasants were taxed at a lower effective rate for work on private plots. This situation is shown below, in which the curves represent labour's marginal product (productivity of a worker at the margin) on a given land area, comprised of private plots and collective fields. The curves slope downward, reflecting the law of diminishing returns. After decollectivization, the rewards for working the two kinds of land became the same. As a result, the marginal products of labour on the two types of land equalized as well.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b/>
          <w:bCs/>
          <w:color w:val="000000" w:themeColor="text1"/>
          <w:sz w:val="24"/>
          <w:szCs w:val="24"/>
          <w:lang w:val="en-CA" w:eastAsia="fr-CA"/>
        </w:rPr>
        <w:t>NOTE: On the graph below, L</w:t>
      </w:r>
      <w:r w:rsidRPr="002A75D9">
        <w:rPr>
          <w:rFonts w:ascii="Times New Roman" w:eastAsia="Times New Roman" w:hAnsi="Times New Roman" w:cs="Times New Roman"/>
          <w:b/>
          <w:bCs/>
          <w:color w:val="000000" w:themeColor="text1"/>
          <w:sz w:val="24"/>
          <w:szCs w:val="24"/>
          <w:vertAlign w:val="subscript"/>
          <w:lang w:val="en-CA" w:eastAsia="fr-CA"/>
        </w:rPr>
        <w:t>A</w:t>
      </w:r>
      <w:r w:rsidRPr="002A75D9">
        <w:rPr>
          <w:rFonts w:ascii="Times New Roman" w:eastAsia="Times New Roman" w:hAnsi="Times New Roman" w:cs="Times New Roman"/>
          <w:b/>
          <w:bCs/>
          <w:color w:val="000000" w:themeColor="text1"/>
          <w:sz w:val="24"/>
          <w:szCs w:val="24"/>
          <w:lang w:val="en-CA" w:eastAsia="fr-CA"/>
        </w:rPr>
        <w:t xml:space="preserve"> should be labour input after reform and L</w:t>
      </w:r>
      <w:r w:rsidRPr="002A75D9">
        <w:rPr>
          <w:rFonts w:ascii="Times New Roman" w:eastAsia="Times New Roman" w:hAnsi="Times New Roman" w:cs="Times New Roman"/>
          <w:b/>
          <w:bCs/>
          <w:color w:val="000000" w:themeColor="text1"/>
          <w:sz w:val="24"/>
          <w:szCs w:val="24"/>
          <w:vertAlign w:val="subscript"/>
          <w:lang w:val="en-CA" w:eastAsia="fr-CA"/>
        </w:rPr>
        <w:t>B</w:t>
      </w:r>
      <w:r w:rsidRPr="002A75D9">
        <w:rPr>
          <w:rFonts w:ascii="Times New Roman" w:eastAsia="Times New Roman" w:hAnsi="Times New Roman" w:cs="Times New Roman"/>
          <w:b/>
          <w:bCs/>
          <w:color w:val="000000" w:themeColor="text1"/>
          <w:sz w:val="24"/>
          <w:szCs w:val="24"/>
          <w:lang w:val="en-CA" w:eastAsia="fr-CA"/>
        </w:rPr>
        <w:t xml:space="preserve"> should be labour input before reform.</w:t>
      </w:r>
      <w:r w:rsidRPr="002A75D9">
        <w:rPr>
          <w:rFonts w:ascii="Times New Roman" w:eastAsia="Times New Roman" w:hAnsi="Times New Roman" w:cs="Times New Roman"/>
          <w:color w:val="000000" w:themeColor="text1"/>
          <w:sz w:val="24"/>
          <w:szCs w:val="24"/>
          <w:lang w:val="en-CA" w:eastAsia="fr-CA"/>
        </w:rPr>
        <w:t xml:space="preserve">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eastAsia="fr-CA"/>
        </w:rPr>
      </w:pPr>
      <w:r w:rsidRPr="002A75D9">
        <w:rPr>
          <w:rFonts w:ascii="Times New Roman" w:eastAsia="Times New Roman" w:hAnsi="Times New Roman" w:cs="Times New Roman"/>
          <w:noProof/>
          <w:color w:val="000000" w:themeColor="text1"/>
          <w:sz w:val="24"/>
          <w:szCs w:val="24"/>
          <w:lang w:eastAsia="fr-CA"/>
        </w:rPr>
        <w:drawing>
          <wp:inline distT="0" distB="0" distL="0" distR="0" wp14:anchorId="0C3FB810" wp14:editId="0384FEB4">
            <wp:extent cx="5772150" cy="3324225"/>
            <wp:effectExtent l="0" t="0" r="0" b="9525"/>
            <wp:docPr id="3" name="Picture 3" descr="http://http-server.carleton.ca/~rcarson/4807/past_exams/midterms/answer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http-server.carleton.ca/~rcarson/4807/past_exams/midterms/answer1a.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72150" cy="3324225"/>
                    </a:xfrm>
                    <a:prstGeom prst="rect">
                      <a:avLst/>
                    </a:prstGeom>
                    <a:noFill/>
                    <a:ln>
                      <a:noFill/>
                    </a:ln>
                  </pic:spPr>
                </pic:pic>
              </a:graphicData>
            </a:graphic>
          </wp:inline>
        </w:drawing>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By re-allocating JH=CE units of labour from private plots to collective fields, a net output gain of (Area ABEC - Area FGHJ) could be realized, for any given total labour input, even if no other changes occured as a result of the changeover from collective to individual household farming (that is, as a result of de-collectivization or the shift to the responsibility system).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However, this was probably not the major source of productivity gain, since the private plots were much smaller than the collective fields. The shift to the responsibility system also improved incentives and allowed more efficient use/allocation of peasant labour on what had been the </w:t>
      </w:r>
      <w:r w:rsidRPr="002A75D9">
        <w:rPr>
          <w:rFonts w:ascii="Times New Roman" w:eastAsia="Times New Roman" w:hAnsi="Times New Roman" w:cs="Times New Roman"/>
          <w:color w:val="000000" w:themeColor="text1"/>
          <w:sz w:val="24"/>
          <w:szCs w:val="24"/>
          <w:lang w:val="en-CA" w:eastAsia="fr-CA"/>
        </w:rPr>
        <w:lastRenderedPageBreak/>
        <w:t xml:space="preserve">collective fields. This became the </w:t>
      </w:r>
      <w:r w:rsidRPr="002A75D9">
        <w:rPr>
          <w:rFonts w:ascii="Times New Roman" w:eastAsia="Times New Roman" w:hAnsi="Times New Roman" w:cs="Times New Roman"/>
          <w:b/>
          <w:bCs/>
          <w:color w:val="000000" w:themeColor="text1"/>
          <w:sz w:val="24"/>
          <w:szCs w:val="24"/>
          <w:lang w:val="en-CA" w:eastAsia="fr-CA"/>
        </w:rPr>
        <w:t xml:space="preserve">second </w:t>
      </w:r>
      <w:r w:rsidRPr="002A75D9">
        <w:rPr>
          <w:rFonts w:ascii="Times New Roman" w:eastAsia="Times New Roman" w:hAnsi="Times New Roman" w:cs="Times New Roman"/>
          <w:color w:val="000000" w:themeColor="text1"/>
          <w:sz w:val="24"/>
          <w:szCs w:val="24"/>
          <w:lang w:val="en-CA" w:eastAsia="fr-CA"/>
        </w:rPr>
        <w:t>source of productivity gain. After the reallocation of labour described above, but with no other changes, suppose that the curve labelled MP</w:t>
      </w:r>
      <w:r w:rsidRPr="002A75D9">
        <w:rPr>
          <w:rFonts w:ascii="Times New Roman" w:eastAsia="Times New Roman" w:hAnsi="Times New Roman" w:cs="Times New Roman"/>
          <w:color w:val="000000" w:themeColor="text1"/>
          <w:sz w:val="24"/>
          <w:szCs w:val="24"/>
          <w:vertAlign w:val="subscript"/>
          <w:lang w:val="en-CA" w:eastAsia="fr-CA"/>
        </w:rPr>
        <w:t>LB</w:t>
      </w:r>
      <w:r w:rsidRPr="002A75D9">
        <w:rPr>
          <w:rFonts w:ascii="Times New Roman" w:eastAsia="Times New Roman" w:hAnsi="Times New Roman" w:cs="Times New Roman"/>
          <w:color w:val="000000" w:themeColor="text1"/>
          <w:sz w:val="24"/>
          <w:szCs w:val="24"/>
          <w:lang w:val="en-CA" w:eastAsia="fr-CA"/>
        </w:rPr>
        <w:t xml:space="preserve"> in the graph below is labour's marginal product curve in agriculture. This already represents some improvement from the former collective system.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The better incentives and more efficient use/allocation of labour on what had been the collective land also caused two further changes, which shifted the MP</w:t>
      </w:r>
      <w:r w:rsidRPr="002A75D9">
        <w:rPr>
          <w:rFonts w:ascii="Times New Roman" w:eastAsia="Times New Roman" w:hAnsi="Times New Roman" w:cs="Times New Roman"/>
          <w:color w:val="000000" w:themeColor="text1"/>
          <w:sz w:val="24"/>
          <w:szCs w:val="24"/>
          <w:vertAlign w:val="subscript"/>
          <w:lang w:val="en-CA" w:eastAsia="fr-CA"/>
        </w:rPr>
        <w:t>L</w:t>
      </w:r>
      <w:r w:rsidRPr="002A75D9">
        <w:rPr>
          <w:rFonts w:ascii="Times New Roman" w:eastAsia="Times New Roman" w:hAnsi="Times New Roman" w:cs="Times New Roman"/>
          <w:color w:val="000000" w:themeColor="text1"/>
          <w:sz w:val="24"/>
          <w:szCs w:val="24"/>
          <w:lang w:val="en-CA" w:eastAsia="fr-CA"/>
        </w:rPr>
        <w:t xml:space="preserve"> curve upward to MP</w:t>
      </w:r>
      <w:r w:rsidRPr="002A75D9">
        <w:rPr>
          <w:rFonts w:ascii="Times New Roman" w:eastAsia="Times New Roman" w:hAnsi="Times New Roman" w:cs="Times New Roman"/>
          <w:color w:val="000000" w:themeColor="text1"/>
          <w:sz w:val="24"/>
          <w:szCs w:val="24"/>
          <w:vertAlign w:val="subscript"/>
          <w:lang w:val="en-CA" w:eastAsia="fr-CA"/>
        </w:rPr>
        <w:t>LA</w:t>
      </w:r>
      <w:r w:rsidRPr="002A75D9">
        <w:rPr>
          <w:rFonts w:ascii="Times New Roman" w:eastAsia="Times New Roman" w:hAnsi="Times New Roman" w:cs="Times New Roman"/>
          <w:color w:val="000000" w:themeColor="text1"/>
          <w:sz w:val="24"/>
          <w:szCs w:val="24"/>
          <w:lang w:val="en-CA" w:eastAsia="fr-CA"/>
        </w:rPr>
        <w:t xml:space="preserve">. First, the maximum output from any given fields increased. After the changes, which included higher prices for farm output, rewards were tied more closely to the quantity and quality of a household's labour input. In addition, the over-centralized and cumbersome commune hierarchy was gone, and peasants responded flexibly to price signals on the land that they were leasing.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Second, the amount of labour needed to maximize the output of given fields decreased. Because labour is now allocated and used more efficiently than before, fewer peasants can be productively employed on any given amount of land. (Or, to put it loosely, a given number of peasants can work more land.) As a result, MP</w:t>
      </w:r>
      <w:r w:rsidRPr="002A75D9">
        <w:rPr>
          <w:rFonts w:ascii="Times New Roman" w:eastAsia="Times New Roman" w:hAnsi="Times New Roman" w:cs="Times New Roman"/>
          <w:color w:val="000000" w:themeColor="text1"/>
          <w:sz w:val="24"/>
          <w:szCs w:val="24"/>
          <w:vertAlign w:val="subscript"/>
          <w:lang w:val="en-CA" w:eastAsia="fr-CA"/>
        </w:rPr>
        <w:t>LA</w:t>
      </w:r>
      <w:r w:rsidRPr="002A75D9">
        <w:rPr>
          <w:rFonts w:ascii="Times New Roman" w:eastAsia="Times New Roman" w:hAnsi="Times New Roman" w:cs="Times New Roman"/>
          <w:color w:val="000000" w:themeColor="text1"/>
          <w:sz w:val="24"/>
          <w:szCs w:val="24"/>
          <w:lang w:val="en-CA" w:eastAsia="fr-CA"/>
        </w:rPr>
        <w:t xml:space="preserve"> is greater at low levels of labour input than MP</w:t>
      </w:r>
      <w:r w:rsidRPr="002A75D9">
        <w:rPr>
          <w:rFonts w:ascii="Times New Roman" w:eastAsia="Times New Roman" w:hAnsi="Times New Roman" w:cs="Times New Roman"/>
          <w:color w:val="000000" w:themeColor="text1"/>
          <w:sz w:val="24"/>
          <w:szCs w:val="24"/>
          <w:vertAlign w:val="subscript"/>
          <w:lang w:val="en-CA" w:eastAsia="fr-CA"/>
        </w:rPr>
        <w:t>LB</w:t>
      </w:r>
      <w:r w:rsidRPr="002A75D9">
        <w:rPr>
          <w:rFonts w:ascii="Times New Roman" w:eastAsia="Times New Roman" w:hAnsi="Times New Roman" w:cs="Times New Roman"/>
          <w:color w:val="000000" w:themeColor="text1"/>
          <w:sz w:val="24"/>
          <w:szCs w:val="24"/>
          <w:lang w:val="en-CA" w:eastAsia="fr-CA"/>
        </w:rPr>
        <w:t>, but MP</w:t>
      </w:r>
      <w:r w:rsidRPr="002A75D9">
        <w:rPr>
          <w:rFonts w:ascii="Times New Roman" w:eastAsia="Times New Roman" w:hAnsi="Times New Roman" w:cs="Times New Roman"/>
          <w:color w:val="000000" w:themeColor="text1"/>
          <w:sz w:val="24"/>
          <w:szCs w:val="24"/>
          <w:vertAlign w:val="subscript"/>
          <w:lang w:val="en-CA" w:eastAsia="fr-CA"/>
        </w:rPr>
        <w:t>LA</w:t>
      </w:r>
      <w:r w:rsidRPr="002A75D9">
        <w:rPr>
          <w:rFonts w:ascii="Times New Roman" w:eastAsia="Times New Roman" w:hAnsi="Times New Roman" w:cs="Times New Roman"/>
          <w:color w:val="000000" w:themeColor="text1"/>
          <w:sz w:val="24"/>
          <w:szCs w:val="24"/>
          <w:lang w:val="en-CA" w:eastAsia="fr-CA"/>
        </w:rPr>
        <w:t xml:space="preserve"> also reaches zero at a lower level of labour input than MP</w:t>
      </w:r>
      <w:r w:rsidRPr="002A75D9">
        <w:rPr>
          <w:rFonts w:ascii="Times New Roman" w:eastAsia="Times New Roman" w:hAnsi="Times New Roman" w:cs="Times New Roman"/>
          <w:color w:val="000000" w:themeColor="text1"/>
          <w:sz w:val="24"/>
          <w:szCs w:val="24"/>
          <w:vertAlign w:val="subscript"/>
          <w:lang w:val="en-CA" w:eastAsia="fr-CA"/>
        </w:rPr>
        <w:t>LB</w:t>
      </w:r>
      <w:r w:rsidRPr="002A75D9">
        <w:rPr>
          <w:rFonts w:ascii="Times New Roman" w:eastAsia="Times New Roman" w:hAnsi="Times New Roman" w:cs="Times New Roman"/>
          <w:color w:val="000000" w:themeColor="text1"/>
          <w:sz w:val="24"/>
          <w:szCs w:val="24"/>
          <w:lang w:val="en-CA" w:eastAsia="fr-CA"/>
        </w:rPr>
        <w:t>, since MP</w:t>
      </w:r>
      <w:r w:rsidRPr="002A75D9">
        <w:rPr>
          <w:rFonts w:ascii="Times New Roman" w:eastAsia="Times New Roman" w:hAnsi="Times New Roman" w:cs="Times New Roman"/>
          <w:color w:val="000000" w:themeColor="text1"/>
          <w:sz w:val="24"/>
          <w:szCs w:val="24"/>
          <w:vertAlign w:val="subscript"/>
          <w:lang w:val="en-CA" w:eastAsia="fr-CA"/>
        </w:rPr>
        <w:t>L</w:t>
      </w:r>
      <w:r w:rsidRPr="002A75D9">
        <w:rPr>
          <w:rFonts w:ascii="Times New Roman" w:eastAsia="Times New Roman" w:hAnsi="Times New Roman" w:cs="Times New Roman"/>
          <w:color w:val="000000" w:themeColor="text1"/>
          <w:sz w:val="24"/>
          <w:szCs w:val="24"/>
          <w:lang w:val="en-CA" w:eastAsia="fr-CA"/>
        </w:rPr>
        <w:t xml:space="preserve"> always reaches zero where output is maximized. As a result, the upward shift of MP</w:t>
      </w:r>
      <w:r w:rsidRPr="002A75D9">
        <w:rPr>
          <w:rFonts w:ascii="Times New Roman" w:eastAsia="Times New Roman" w:hAnsi="Times New Roman" w:cs="Times New Roman"/>
          <w:color w:val="000000" w:themeColor="text1"/>
          <w:sz w:val="24"/>
          <w:szCs w:val="24"/>
          <w:vertAlign w:val="subscript"/>
          <w:lang w:val="en-CA" w:eastAsia="fr-CA"/>
        </w:rPr>
        <w:t>L</w:t>
      </w:r>
      <w:r w:rsidRPr="002A75D9">
        <w:rPr>
          <w:rFonts w:ascii="Times New Roman" w:eastAsia="Times New Roman" w:hAnsi="Times New Roman" w:cs="Times New Roman"/>
          <w:color w:val="000000" w:themeColor="text1"/>
          <w:sz w:val="24"/>
          <w:szCs w:val="24"/>
          <w:lang w:val="en-CA" w:eastAsia="fr-CA"/>
        </w:rPr>
        <w:t xml:space="preserve"> is greatest at relatively low quantities of labour input, following which MP</w:t>
      </w:r>
      <w:r w:rsidRPr="002A75D9">
        <w:rPr>
          <w:rFonts w:ascii="Times New Roman" w:eastAsia="Times New Roman" w:hAnsi="Times New Roman" w:cs="Times New Roman"/>
          <w:color w:val="000000" w:themeColor="text1"/>
          <w:sz w:val="24"/>
          <w:szCs w:val="24"/>
          <w:vertAlign w:val="subscript"/>
          <w:lang w:val="en-CA" w:eastAsia="fr-CA"/>
        </w:rPr>
        <w:t>L</w:t>
      </w:r>
      <w:r w:rsidRPr="002A75D9">
        <w:rPr>
          <w:rFonts w:ascii="Times New Roman" w:eastAsia="Times New Roman" w:hAnsi="Times New Roman" w:cs="Times New Roman"/>
          <w:color w:val="000000" w:themeColor="text1"/>
          <w:sz w:val="24"/>
          <w:szCs w:val="24"/>
          <w:lang w:val="en-CA" w:eastAsia="fr-CA"/>
        </w:rPr>
        <w:t xml:space="preserve"> decreases more rapidly as L expands, and reaches zero at a lower level of L.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China's very high labour/land endowment therefore resulted in a situation in which the average product of labour (or output per unit of labour input) rose as a result of reform, but the marginal product of labour (productivity of a worker at the margin) fell. In fact, considerable underemployment of rural labour emerged---labour which could no longer be used in agriculture with at least a subsistence marginal product---that had been masked by the commune system, with its inefficiencies.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b/>
          <w:bCs/>
          <w:color w:val="000000" w:themeColor="text1"/>
          <w:sz w:val="24"/>
          <w:szCs w:val="24"/>
          <w:lang w:val="en-CA" w:eastAsia="fr-CA"/>
        </w:rPr>
        <w:t>2B</w:t>
      </w:r>
      <w:r w:rsidRPr="002A75D9">
        <w:rPr>
          <w:rFonts w:ascii="Times New Roman" w:eastAsia="Times New Roman" w:hAnsi="Times New Roman" w:cs="Times New Roman"/>
          <w:color w:val="000000" w:themeColor="text1"/>
          <w:sz w:val="24"/>
          <w:szCs w:val="24"/>
          <w:lang w:val="en-CA" w:eastAsia="fr-CA"/>
        </w:rPr>
        <w:t>. Because of the way in which the MP</w:t>
      </w:r>
      <w:r w:rsidRPr="002A75D9">
        <w:rPr>
          <w:rFonts w:ascii="Times New Roman" w:eastAsia="Times New Roman" w:hAnsi="Times New Roman" w:cs="Times New Roman"/>
          <w:color w:val="000000" w:themeColor="text1"/>
          <w:sz w:val="24"/>
          <w:szCs w:val="24"/>
          <w:vertAlign w:val="subscript"/>
          <w:lang w:val="en-CA" w:eastAsia="fr-CA"/>
        </w:rPr>
        <w:t>L</w:t>
      </w:r>
      <w:r w:rsidRPr="002A75D9">
        <w:rPr>
          <w:rFonts w:ascii="Times New Roman" w:eastAsia="Times New Roman" w:hAnsi="Times New Roman" w:cs="Times New Roman"/>
          <w:color w:val="000000" w:themeColor="text1"/>
          <w:sz w:val="24"/>
          <w:szCs w:val="24"/>
          <w:lang w:val="en-CA" w:eastAsia="fr-CA"/>
        </w:rPr>
        <w:t xml:space="preserve"> curve shifted upward, the reform in agriculture increased peasant redundancy. With more and more workers unable to make a living by farming, China critically needed to expand rural job opportunities outside agriculture, in order to keep down social unrest and prevent a large-scale rural-to-urban migration.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At the same time, there were new opportunities to start firms in rural areas. Peasant incomes were higher, but there was a shortage of products to buy. Higher incomes meant higher saving, which could finance the expansion of the rural-enterprise sector. The open-door policy meant that many foreigners (especially overseas Chinese) were willing and able to invest in rural enterprises (where wages were low) and help these firms to establish export markets. Three changes in property rights in the mid-1980s then triggered the explosive expansion of the rural-enterprise sector, which has become China's growth leader: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(i). A wider variety of ownership forms became possible. Very few rural enterprises are now state firms. Most are private and collective, including many with foreign investment.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It became easier to found and to grow these enterprises. In particular, private firms could more easily register as collective enterprises (or wear the "red cap"), giving them ideological cover.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lastRenderedPageBreak/>
        <w:t xml:space="preserve">(ii). These firms have harder budget constraints than state firms. They have to make money or go under, for the most part. Unlike in Russia, local governments (with some exceptions) have not been captured by inefficient state firms.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This forces them to be cost-effective and to pay attention to demand. Entrepreneurship is rewarded, and local governments and business people have become entrepreneurial. Rural enterprises are the main source of tax revenue for rural local governments. The profit motive is therefore important in their founding and expansion.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Previously, rural enterprises had had soft budget constraints. They gave all their profits to the state, and their losses were frequently subsidized.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Following reform, these enterprises have better defined tax obligations to higher government levels. After meeting these---and it should be noted that tax avoidance to higher gov't. levels is rampant---the profits of rural enterprises are retained locally, for the owners and local government. In many cases (although by no means in all), they also have well-defined tax obligations to local governments, which encourage them to be profitable.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(iii). These firms may now engage in a wider variety of different kinds of production. Before reform, they were limited to operations directly related to agriculture and the processing of natural resources. Now they may branch out into all types of light industry and services. Before they were prevented from competing with state firms. Now the latter receive less protection.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This sector is still held back by relatively low access to credit and China’s overburdened transport system, which limits their markets and sources of supply. For most firms not located near the coast, the cost of transport and the delays involved make exporting nearly impossible. In addition, the shortage of energy, skills, and raw materials, as well as the tendency of some local governments to overtax or to go for prestige (usually capital- or technology-intensive) projects are restraints. In some cases, ideological factors may prove restricting.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This sector now accounts for 30-35 % of Chinese exports and has higher total factor productivity (including higher capital productivity, but lower labour productivity) than state firms. However, this sector contains many firms that are notorious polluters, and land is often confiscated from peasants for their production facilities with little remuneration.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b/>
          <w:bCs/>
          <w:color w:val="000000" w:themeColor="text1"/>
          <w:sz w:val="24"/>
          <w:szCs w:val="24"/>
          <w:lang w:val="en-CA" w:eastAsia="fr-CA"/>
        </w:rPr>
        <w:t>3A</w:t>
      </w:r>
      <w:r w:rsidRPr="002A75D9">
        <w:rPr>
          <w:rFonts w:ascii="Times New Roman" w:eastAsia="Times New Roman" w:hAnsi="Times New Roman" w:cs="Times New Roman"/>
          <w:color w:val="000000" w:themeColor="text1"/>
          <w:sz w:val="24"/>
          <w:szCs w:val="24"/>
          <w:lang w:val="en-CA" w:eastAsia="fr-CA"/>
        </w:rPr>
        <w:t>. The spectacular rise of asset prices in Japan during the 1980's was fuelled by easy monetary policy and by deregulation of banks and other financial institutions. Large current account (BOP) surpluses that were not fully sterilized made the economy awash in liquidity. Much of this found its way into purchases of assets, notably land and securities. This was made easier by financial deregulation, which eased restrictions on lending. Banks and other credit institutions were encouraged to lend for property development---in part, because traditional business customers now required less capital for expansion and modernization and had greater access to direct finance, as well as larger retained earnings. In postwar Japan, asset prices had always risen in a growing economy. So how could they ever fall?</w:t>
      </w:r>
    </w:p>
    <w:p w:rsidR="002A75D9" w:rsidRPr="002A75D9" w:rsidRDefault="002A75D9" w:rsidP="002A75D9">
      <w:pPr>
        <w:spacing w:after="0"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lastRenderedPageBreak/>
        <w:t xml:space="preserve">The answer lies in the nature of the asset price increases, especially over 1985-90. They rose, not so much </w:t>
      </w:r>
      <w:r w:rsidRPr="002A75D9">
        <w:rPr>
          <w:rFonts w:ascii="Times New Roman" w:eastAsia="Times New Roman" w:hAnsi="Times New Roman" w:cs="Times New Roman"/>
          <w:color w:val="000000" w:themeColor="text1"/>
          <w:sz w:val="24"/>
          <w:szCs w:val="24"/>
          <w:lang w:val="en-CA" w:eastAsia="fr-CA"/>
        </w:rPr>
        <w:br/>
        <w:t xml:space="preserve">because of improvement in underlying fundamentals, but rather because buyers expected them to keep on on rising. They rested on a speculative bubble, fed by easy money, BOP surpluses, and deregulation. </w:t>
      </w:r>
    </w:p>
    <w:p w:rsidR="002A75D9" w:rsidRPr="002A75D9" w:rsidRDefault="002A75D9" w:rsidP="002A75D9">
      <w:pPr>
        <w:spacing w:after="0" w:line="240" w:lineRule="auto"/>
        <w:rPr>
          <w:rFonts w:ascii="Times New Roman" w:eastAsia="Times New Roman" w:hAnsi="Times New Roman" w:cs="Times New Roman"/>
          <w:color w:val="000000" w:themeColor="text1"/>
          <w:sz w:val="24"/>
          <w:szCs w:val="24"/>
          <w:lang w:eastAsia="fr-CA"/>
        </w:rPr>
      </w:pPr>
      <w:r w:rsidRPr="002A75D9">
        <w:rPr>
          <w:rFonts w:ascii="Times New Roman" w:eastAsia="Times New Roman" w:hAnsi="Times New Roman" w:cs="Times New Roman"/>
          <w:color w:val="000000" w:themeColor="text1"/>
          <w:sz w:val="24"/>
          <w:szCs w:val="24"/>
          <w:lang w:val="en-CA" w:eastAsia="fr-CA"/>
        </w:rPr>
        <w:br/>
      </w:r>
      <w:r w:rsidRPr="002A75D9">
        <w:rPr>
          <w:rFonts w:ascii="Times New Roman" w:eastAsia="Times New Roman" w:hAnsi="Times New Roman" w:cs="Times New Roman"/>
          <w:noProof/>
          <w:color w:val="000000" w:themeColor="text1"/>
          <w:sz w:val="24"/>
          <w:szCs w:val="24"/>
          <w:lang w:eastAsia="fr-CA"/>
        </w:rPr>
        <w:drawing>
          <wp:inline distT="0" distB="0" distL="0" distR="0" wp14:anchorId="2DDCBE8B" wp14:editId="0886A8A6">
            <wp:extent cx="5086350" cy="5095875"/>
            <wp:effectExtent l="0" t="0" r="0" b="9525"/>
            <wp:docPr id="4" name="Picture 4" descr="http://http-server.carleton.ca/~rcarson/4807/past_exams/midterms/answer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http-server.carleton.ca/~rcarson/4807/past_exams/midterms/answer3.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6350" cy="5095875"/>
                    </a:xfrm>
                    <a:prstGeom prst="rect">
                      <a:avLst/>
                    </a:prstGeom>
                    <a:noFill/>
                    <a:ln>
                      <a:noFill/>
                    </a:ln>
                  </pic:spPr>
                </pic:pic>
              </a:graphicData>
            </a:graphic>
          </wp:inline>
        </w:drawing>
      </w:r>
    </w:p>
    <w:p w:rsidR="002A75D9" w:rsidRPr="002A75D9" w:rsidRDefault="002A75D9" w:rsidP="002A75D9">
      <w:pPr>
        <w:spacing w:after="0"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Buyers want to acquire assets for two basic reasons. First, an asset has an underlying yield, such as a stock dividend, the interest on a bond, the rent on a parcel of land, the marginal value product or rental of a machine, etc. When this is the only reason to buy, demand in the graph above is D</w:t>
      </w:r>
      <w:r w:rsidRPr="002A75D9">
        <w:rPr>
          <w:rFonts w:ascii="Times New Roman" w:eastAsia="Times New Roman" w:hAnsi="Times New Roman" w:cs="Times New Roman"/>
          <w:color w:val="000000" w:themeColor="text1"/>
          <w:sz w:val="24"/>
          <w:szCs w:val="24"/>
          <w:vertAlign w:val="subscript"/>
          <w:lang w:val="en-CA" w:eastAsia="fr-CA"/>
        </w:rPr>
        <w:t>u</w:t>
      </w:r>
      <w:r w:rsidRPr="002A75D9">
        <w:rPr>
          <w:rFonts w:ascii="Times New Roman" w:eastAsia="Times New Roman" w:hAnsi="Times New Roman" w:cs="Times New Roman"/>
          <w:color w:val="000000" w:themeColor="text1"/>
          <w:sz w:val="24"/>
          <w:szCs w:val="24"/>
          <w:lang w:val="en-CA" w:eastAsia="fr-CA"/>
        </w:rPr>
        <w:t>D</w:t>
      </w:r>
      <w:r w:rsidRPr="002A75D9">
        <w:rPr>
          <w:rFonts w:ascii="Times New Roman" w:eastAsia="Times New Roman" w:hAnsi="Times New Roman" w:cs="Times New Roman"/>
          <w:color w:val="000000" w:themeColor="text1"/>
          <w:sz w:val="24"/>
          <w:szCs w:val="24"/>
          <w:vertAlign w:val="subscript"/>
          <w:lang w:val="en-CA" w:eastAsia="fr-CA"/>
        </w:rPr>
        <w:t>u</w:t>
      </w:r>
      <w:r w:rsidRPr="002A75D9">
        <w:rPr>
          <w:rFonts w:ascii="Times New Roman" w:eastAsia="Times New Roman" w:hAnsi="Times New Roman" w:cs="Times New Roman"/>
          <w:color w:val="000000" w:themeColor="text1"/>
          <w:sz w:val="24"/>
          <w:szCs w:val="24"/>
          <w:lang w:val="en-CA" w:eastAsia="fr-CA"/>
        </w:rPr>
        <w:t>, or demand based solely on the underlying fundamentals of the asset. However, buyers and sellers will also form expectations about how the price of this asset is likely to change over time. If a buyer thinks the price will go up, he or she may buy just to be able to sell later on. Besides the demand based on underlying fundamentals, we therefore have the speculative demand. Total demand, D</w:t>
      </w:r>
      <w:r w:rsidRPr="002A75D9">
        <w:rPr>
          <w:rFonts w:ascii="Times New Roman" w:eastAsia="Times New Roman" w:hAnsi="Times New Roman" w:cs="Times New Roman"/>
          <w:color w:val="000000" w:themeColor="text1"/>
          <w:sz w:val="24"/>
          <w:szCs w:val="24"/>
          <w:vertAlign w:val="subscript"/>
          <w:lang w:val="en-CA" w:eastAsia="fr-CA"/>
        </w:rPr>
        <w:t>1</w:t>
      </w:r>
      <w:r w:rsidRPr="002A75D9">
        <w:rPr>
          <w:rFonts w:ascii="Times New Roman" w:eastAsia="Times New Roman" w:hAnsi="Times New Roman" w:cs="Times New Roman"/>
          <w:color w:val="000000" w:themeColor="text1"/>
          <w:sz w:val="24"/>
          <w:szCs w:val="24"/>
          <w:lang w:val="en-CA" w:eastAsia="fr-CA"/>
        </w:rPr>
        <w:t>D</w:t>
      </w:r>
      <w:r w:rsidRPr="002A75D9">
        <w:rPr>
          <w:rFonts w:ascii="Times New Roman" w:eastAsia="Times New Roman" w:hAnsi="Times New Roman" w:cs="Times New Roman"/>
          <w:color w:val="000000" w:themeColor="text1"/>
          <w:sz w:val="24"/>
          <w:szCs w:val="24"/>
          <w:vertAlign w:val="subscript"/>
          <w:lang w:val="en-CA" w:eastAsia="fr-CA"/>
        </w:rPr>
        <w:t>1</w:t>
      </w:r>
      <w:r w:rsidRPr="002A75D9">
        <w:rPr>
          <w:rFonts w:ascii="Times New Roman" w:eastAsia="Times New Roman" w:hAnsi="Times New Roman" w:cs="Times New Roman"/>
          <w:color w:val="000000" w:themeColor="text1"/>
          <w:sz w:val="24"/>
          <w:szCs w:val="24"/>
          <w:lang w:val="en-CA" w:eastAsia="fr-CA"/>
        </w:rPr>
        <w:t xml:space="preserve"> or D</w:t>
      </w:r>
      <w:r w:rsidRPr="002A75D9">
        <w:rPr>
          <w:rFonts w:ascii="Times New Roman" w:eastAsia="Times New Roman" w:hAnsi="Times New Roman" w:cs="Times New Roman"/>
          <w:color w:val="000000" w:themeColor="text1"/>
          <w:sz w:val="24"/>
          <w:szCs w:val="24"/>
          <w:vertAlign w:val="subscript"/>
          <w:lang w:val="en-CA" w:eastAsia="fr-CA"/>
        </w:rPr>
        <w:t>2</w:t>
      </w:r>
      <w:r w:rsidRPr="002A75D9">
        <w:rPr>
          <w:rFonts w:ascii="Times New Roman" w:eastAsia="Times New Roman" w:hAnsi="Times New Roman" w:cs="Times New Roman"/>
          <w:color w:val="000000" w:themeColor="text1"/>
          <w:sz w:val="24"/>
          <w:szCs w:val="24"/>
          <w:lang w:val="en-CA" w:eastAsia="fr-CA"/>
        </w:rPr>
        <w:t>D</w:t>
      </w:r>
      <w:r w:rsidRPr="002A75D9">
        <w:rPr>
          <w:rFonts w:ascii="Times New Roman" w:eastAsia="Times New Roman" w:hAnsi="Times New Roman" w:cs="Times New Roman"/>
          <w:color w:val="000000" w:themeColor="text1"/>
          <w:sz w:val="24"/>
          <w:szCs w:val="24"/>
          <w:vertAlign w:val="subscript"/>
          <w:lang w:val="en-CA" w:eastAsia="fr-CA"/>
        </w:rPr>
        <w:t>2</w:t>
      </w:r>
      <w:r w:rsidRPr="002A75D9">
        <w:rPr>
          <w:rFonts w:ascii="Times New Roman" w:eastAsia="Times New Roman" w:hAnsi="Times New Roman" w:cs="Times New Roman"/>
          <w:color w:val="000000" w:themeColor="text1"/>
          <w:sz w:val="24"/>
          <w:szCs w:val="24"/>
          <w:lang w:val="en-CA" w:eastAsia="fr-CA"/>
        </w:rPr>
        <w:t xml:space="preserve"> in the figure above, is the horizontal sum of the speculative demand and the demand based on underlying fundamentals.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lastRenderedPageBreak/>
        <w:t>Expectations about future asset prices are sometimes self-fulfilling. Suppose that some potential buyers revise their expectations upwards. This will cause the demand for the asset to shift outward--for example, from D</w:t>
      </w:r>
      <w:r w:rsidRPr="002A75D9">
        <w:rPr>
          <w:rFonts w:ascii="Times New Roman" w:eastAsia="Times New Roman" w:hAnsi="Times New Roman" w:cs="Times New Roman"/>
          <w:color w:val="000000" w:themeColor="text1"/>
          <w:sz w:val="24"/>
          <w:szCs w:val="24"/>
          <w:vertAlign w:val="subscript"/>
          <w:lang w:val="en-CA" w:eastAsia="fr-CA"/>
        </w:rPr>
        <w:t>1</w:t>
      </w:r>
      <w:r w:rsidRPr="002A75D9">
        <w:rPr>
          <w:rFonts w:ascii="Times New Roman" w:eastAsia="Times New Roman" w:hAnsi="Times New Roman" w:cs="Times New Roman"/>
          <w:color w:val="000000" w:themeColor="text1"/>
          <w:sz w:val="24"/>
          <w:szCs w:val="24"/>
          <w:lang w:val="en-CA" w:eastAsia="fr-CA"/>
        </w:rPr>
        <w:t>D</w:t>
      </w:r>
      <w:r w:rsidRPr="002A75D9">
        <w:rPr>
          <w:rFonts w:ascii="Times New Roman" w:eastAsia="Times New Roman" w:hAnsi="Times New Roman" w:cs="Times New Roman"/>
          <w:color w:val="000000" w:themeColor="text1"/>
          <w:sz w:val="24"/>
          <w:szCs w:val="24"/>
          <w:vertAlign w:val="subscript"/>
          <w:lang w:val="en-CA" w:eastAsia="fr-CA"/>
        </w:rPr>
        <w:t>1</w:t>
      </w:r>
      <w:r w:rsidRPr="002A75D9">
        <w:rPr>
          <w:rFonts w:ascii="Times New Roman" w:eastAsia="Times New Roman" w:hAnsi="Times New Roman" w:cs="Times New Roman"/>
          <w:color w:val="000000" w:themeColor="text1"/>
          <w:sz w:val="24"/>
          <w:szCs w:val="24"/>
          <w:lang w:val="en-CA" w:eastAsia="fr-CA"/>
        </w:rPr>
        <w:t xml:space="preserve"> to D</w:t>
      </w:r>
      <w:r w:rsidRPr="002A75D9">
        <w:rPr>
          <w:rFonts w:ascii="Times New Roman" w:eastAsia="Times New Roman" w:hAnsi="Times New Roman" w:cs="Times New Roman"/>
          <w:color w:val="000000" w:themeColor="text1"/>
          <w:sz w:val="24"/>
          <w:szCs w:val="24"/>
          <w:vertAlign w:val="subscript"/>
          <w:lang w:val="en-CA" w:eastAsia="fr-CA"/>
        </w:rPr>
        <w:t>2</w:t>
      </w:r>
      <w:r w:rsidRPr="002A75D9">
        <w:rPr>
          <w:rFonts w:ascii="Times New Roman" w:eastAsia="Times New Roman" w:hAnsi="Times New Roman" w:cs="Times New Roman"/>
          <w:color w:val="000000" w:themeColor="text1"/>
          <w:sz w:val="24"/>
          <w:szCs w:val="24"/>
          <w:lang w:val="en-CA" w:eastAsia="fr-CA"/>
        </w:rPr>
        <w:t>D</w:t>
      </w:r>
      <w:r w:rsidRPr="002A75D9">
        <w:rPr>
          <w:rFonts w:ascii="Times New Roman" w:eastAsia="Times New Roman" w:hAnsi="Times New Roman" w:cs="Times New Roman"/>
          <w:color w:val="000000" w:themeColor="text1"/>
          <w:sz w:val="24"/>
          <w:szCs w:val="24"/>
          <w:vertAlign w:val="subscript"/>
          <w:lang w:val="en-CA" w:eastAsia="fr-CA"/>
        </w:rPr>
        <w:t>2</w:t>
      </w:r>
      <w:r w:rsidRPr="002A75D9">
        <w:rPr>
          <w:rFonts w:ascii="Times New Roman" w:eastAsia="Times New Roman" w:hAnsi="Times New Roman" w:cs="Times New Roman"/>
          <w:color w:val="000000" w:themeColor="text1"/>
          <w:sz w:val="24"/>
          <w:szCs w:val="24"/>
          <w:lang w:val="en-CA" w:eastAsia="fr-CA"/>
        </w:rPr>
        <w:t xml:space="preserve"> in the above figure--causing the price to rise from P</w:t>
      </w:r>
      <w:r w:rsidRPr="002A75D9">
        <w:rPr>
          <w:rFonts w:ascii="Times New Roman" w:eastAsia="Times New Roman" w:hAnsi="Times New Roman" w:cs="Times New Roman"/>
          <w:color w:val="000000" w:themeColor="text1"/>
          <w:sz w:val="24"/>
          <w:szCs w:val="24"/>
          <w:vertAlign w:val="subscript"/>
          <w:lang w:val="en-CA" w:eastAsia="fr-CA"/>
        </w:rPr>
        <w:t>1</w:t>
      </w:r>
      <w:r w:rsidRPr="002A75D9">
        <w:rPr>
          <w:rFonts w:ascii="Times New Roman" w:eastAsia="Times New Roman" w:hAnsi="Times New Roman" w:cs="Times New Roman"/>
          <w:color w:val="000000" w:themeColor="text1"/>
          <w:sz w:val="24"/>
          <w:szCs w:val="24"/>
          <w:lang w:val="en-CA" w:eastAsia="fr-CA"/>
        </w:rPr>
        <w:t xml:space="preserve"> to P</w:t>
      </w:r>
      <w:r w:rsidRPr="002A75D9">
        <w:rPr>
          <w:rFonts w:ascii="Times New Roman" w:eastAsia="Times New Roman" w:hAnsi="Times New Roman" w:cs="Times New Roman"/>
          <w:color w:val="000000" w:themeColor="text1"/>
          <w:sz w:val="24"/>
          <w:szCs w:val="24"/>
          <w:vertAlign w:val="subscript"/>
          <w:lang w:val="en-CA" w:eastAsia="fr-CA"/>
        </w:rPr>
        <w:t>2</w:t>
      </w:r>
      <w:r w:rsidRPr="002A75D9">
        <w:rPr>
          <w:rFonts w:ascii="Times New Roman" w:eastAsia="Times New Roman" w:hAnsi="Times New Roman" w:cs="Times New Roman"/>
          <w:color w:val="000000" w:themeColor="text1"/>
          <w:sz w:val="24"/>
          <w:szCs w:val="24"/>
          <w:lang w:val="en-CA" w:eastAsia="fr-CA"/>
        </w:rPr>
        <w:t>. Observing this increase, other prospective buyers may also revise their expectations upward, causing a further price jump. It is quite possible for most traders to base their buying and selling decisions on their expectations of future price changes instead of on underlying fundamentals.</w:t>
      </w:r>
      <w:r w:rsidRPr="002A75D9">
        <w:rPr>
          <w:rFonts w:ascii="Times New Roman" w:eastAsia="Times New Roman" w:hAnsi="Times New Roman" w:cs="Times New Roman"/>
          <w:b/>
          <w:bCs/>
          <w:color w:val="000000" w:themeColor="text1"/>
          <w:sz w:val="24"/>
          <w:szCs w:val="24"/>
          <w:lang w:val="en-CA" w:eastAsia="fr-CA"/>
        </w:rPr>
        <w:t xml:space="preserve"> </w:t>
      </w:r>
      <w:r w:rsidRPr="002A75D9">
        <w:rPr>
          <w:rFonts w:ascii="Times New Roman" w:eastAsia="Times New Roman" w:hAnsi="Times New Roman" w:cs="Times New Roman"/>
          <w:color w:val="000000" w:themeColor="text1"/>
          <w:sz w:val="24"/>
          <w:szCs w:val="24"/>
          <w:lang w:val="en-CA" w:eastAsia="fr-CA"/>
        </w:rPr>
        <w:t>With price at P</w:t>
      </w:r>
      <w:r w:rsidRPr="002A75D9">
        <w:rPr>
          <w:rFonts w:ascii="Times New Roman" w:eastAsia="Times New Roman" w:hAnsi="Times New Roman" w:cs="Times New Roman"/>
          <w:color w:val="000000" w:themeColor="text1"/>
          <w:sz w:val="24"/>
          <w:szCs w:val="24"/>
          <w:vertAlign w:val="subscript"/>
          <w:lang w:val="en-CA" w:eastAsia="fr-CA"/>
        </w:rPr>
        <w:t>2</w:t>
      </w:r>
      <w:r w:rsidRPr="002A75D9">
        <w:rPr>
          <w:rFonts w:ascii="Times New Roman" w:eastAsia="Times New Roman" w:hAnsi="Times New Roman" w:cs="Times New Roman"/>
          <w:color w:val="000000" w:themeColor="text1"/>
          <w:sz w:val="24"/>
          <w:szCs w:val="24"/>
          <w:lang w:val="en-CA" w:eastAsia="fr-CA"/>
        </w:rPr>
        <w:t xml:space="preserve"> above, most of the latter demand (D</w:t>
      </w:r>
      <w:r w:rsidRPr="002A75D9">
        <w:rPr>
          <w:rFonts w:ascii="Times New Roman" w:eastAsia="Times New Roman" w:hAnsi="Times New Roman" w:cs="Times New Roman"/>
          <w:color w:val="000000" w:themeColor="text1"/>
          <w:sz w:val="24"/>
          <w:szCs w:val="24"/>
          <w:vertAlign w:val="subscript"/>
          <w:lang w:val="en-CA" w:eastAsia="fr-CA"/>
        </w:rPr>
        <w:t>u</w:t>
      </w:r>
      <w:r w:rsidRPr="002A75D9">
        <w:rPr>
          <w:rFonts w:ascii="Times New Roman" w:eastAsia="Times New Roman" w:hAnsi="Times New Roman" w:cs="Times New Roman"/>
          <w:color w:val="000000" w:themeColor="text1"/>
          <w:sz w:val="24"/>
          <w:szCs w:val="24"/>
          <w:lang w:val="en-CA" w:eastAsia="fr-CA"/>
        </w:rPr>
        <w:t>D</w:t>
      </w:r>
      <w:r w:rsidRPr="002A75D9">
        <w:rPr>
          <w:rFonts w:ascii="Times New Roman" w:eastAsia="Times New Roman" w:hAnsi="Times New Roman" w:cs="Times New Roman"/>
          <w:color w:val="000000" w:themeColor="text1"/>
          <w:sz w:val="24"/>
          <w:szCs w:val="24"/>
          <w:vertAlign w:val="subscript"/>
          <w:lang w:val="en-CA" w:eastAsia="fr-CA"/>
        </w:rPr>
        <w:t>u</w:t>
      </w:r>
      <w:r w:rsidRPr="002A75D9">
        <w:rPr>
          <w:rFonts w:ascii="Times New Roman" w:eastAsia="Times New Roman" w:hAnsi="Times New Roman" w:cs="Times New Roman"/>
          <w:color w:val="000000" w:themeColor="text1"/>
          <w:sz w:val="24"/>
          <w:szCs w:val="24"/>
          <w:lang w:val="en-CA" w:eastAsia="fr-CA"/>
        </w:rPr>
        <w:t xml:space="preserve">) is squeezed out of the market. This phenomenon is now sometimes referred to as "irrational exuberance." Any one investor's demand for an asset depends on what he or she expects other investors to do, and it is important to spot trends in demand before other investors. Crowd psychology becomes an important determinant of demand.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Whenever the bubble bursts, the price will fall. To burst the bubble, moreover, it may only be necessary for investors to revise downward their expectations of how fast the price will continue to rise. A slower rate of increase will mean a lower capital gain and thus a lower return to the owner of the asset over any given period of time.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A growing economy may therefore generate speculative bubbles that burst on their own, but government policy may also play a role, both in causing prices to rise and then in causing or intensifying their collapse. The latter appears to be true of Japan in the period 1985-92. We recall that the 1980s were a period of financial deregulation. Especially after 1985, financial institutions competed aggressively, and spreads between deposit and lending rates decreased. Creditors were especially willing to lend against real estate or equity as collateral.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During the easy money period, 1985-90, the average price of land in Japan's six major urban areas tripled, as did the Nikkei average. This was also a time of large current account surpluses in Japan's balance of payments. When land was used as security, the loan often went to develop the property in question, giving rise to shopping malls, office buildings, theme parks, condos, vacation resorts, and other commercial ventures.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In addition, because deregulation had only recently allowed them to make such loans, some nonbank lenders and second-tier regional banks had little or no experience in this area. This was especially true of the housing loan companies (jusen) that were established mainly to lend to home buyers. Most Japanese financial institutions also lacked the experience, organization, skills, and information systems required to operate efficiently in a competitive environment. This made them vulnerable.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At the same time, rising land prices were causing a social crisis in Japan, because home ownership was becoming unaffordable, except to the wealthiest citizens.</w:t>
      </w:r>
      <w:r w:rsidRPr="002A75D9">
        <w:rPr>
          <w:rFonts w:ascii="Times New Roman" w:eastAsia="Times New Roman" w:hAnsi="Times New Roman" w:cs="Times New Roman"/>
          <w:b/>
          <w:bCs/>
          <w:color w:val="000000" w:themeColor="text1"/>
          <w:sz w:val="24"/>
          <w:szCs w:val="24"/>
          <w:lang w:val="en-CA" w:eastAsia="fr-CA"/>
        </w:rPr>
        <w:t xml:space="preserve"> </w:t>
      </w:r>
      <w:r w:rsidRPr="002A75D9">
        <w:rPr>
          <w:rFonts w:ascii="Times New Roman" w:eastAsia="Times New Roman" w:hAnsi="Times New Roman" w:cs="Times New Roman"/>
          <w:color w:val="000000" w:themeColor="text1"/>
          <w:sz w:val="24"/>
          <w:szCs w:val="24"/>
          <w:lang w:val="en-CA" w:eastAsia="fr-CA"/>
        </w:rPr>
        <w:t xml:space="preserve">At the end of the 1980s, moreover, speculative forces appeared to be getting out of control. To curb them, the Bank of Japan raised its discount rate five times in 1989 and 1990, to reach 6 percent, and it used window guidance to reduce the growth of lending, especially for property development. This sudden tightening of monetary policy lowered expectations. It proved to be the pin that burst the price bubble by deflating the demand for land and other assets.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lastRenderedPageBreak/>
        <w:t xml:space="preserve">When prices of land, stocks, and other assets fell from their peaks, the value of collateral used as loan security fell below the value of unpaid principal and interest in many cases. In 1995, foreclosed properties in Tokyo sold an average for about 20 percent of the amounts owed on them. As a result, it often became rational for borrowers to default on their loans. Indeed, many borrowers had little choice since the investments they made were not profitable and sometimes could not even be completed. The volume of bad loans therefore soared. This too was helped by government policy toward debtors, which made defaulting on repayment relatively painless. Today, uncollectible loans total more than U.S. $1 trillion, and many of Japan's banks have been on the threshold of bankruptcy for several years.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Deposits with most of the failed institutions were insured, but the magnitude of insolvancies effectively wiped out the insurance fund. Thus, Japanese taxpayers' money has been used to bail out depositors and rescue insolvent lenders.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The latter include several banks plus a number of other financial institutions. Many others are using political ties to avoid bankruptcy, and the The quality of bank loan portfolios is poor, and it is still relatively easy for borrowers to default.</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br/>
      </w:r>
      <w:r w:rsidRPr="002A75D9">
        <w:rPr>
          <w:rFonts w:ascii="Times New Roman" w:eastAsia="Times New Roman" w:hAnsi="Times New Roman" w:cs="Times New Roman"/>
          <w:b/>
          <w:bCs/>
          <w:color w:val="000000" w:themeColor="text1"/>
          <w:sz w:val="24"/>
          <w:szCs w:val="24"/>
          <w:lang w:val="en-CA" w:eastAsia="fr-CA"/>
        </w:rPr>
        <w:t>3B</w:t>
      </w:r>
      <w:r w:rsidRPr="002A75D9">
        <w:rPr>
          <w:rFonts w:ascii="Times New Roman" w:eastAsia="Times New Roman" w:hAnsi="Times New Roman" w:cs="Times New Roman"/>
          <w:color w:val="000000" w:themeColor="text1"/>
          <w:sz w:val="24"/>
          <w:szCs w:val="24"/>
          <w:lang w:val="en-CA" w:eastAsia="fr-CA"/>
        </w:rPr>
        <w:t xml:space="preserve">. Recent Japanese economic growth performance has been fair to poor, and the days of touting Japan as a "miracle" economy are long gone. The slow growth has persisted since the early 1990s-when prices of land and equities collapsed-despite strongly expansionary monetary and fiscal policy, featuring large budget deficits and central bank interest rates close to zero. Apparently, these have done little to stimulate the economy-yet another example of the inadequacy of macro-economic policy without good supporting micro policy-and slow growth has been accompanied by deflation or falling prices.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A major cause of the low growth has been the poor performance of the financial system in allocating investment funds. The shortage of loans to industries with growth potential--comparatively new firms having especially bad access--is helping to keep the Japanese economy in recession and forcing many bankruptcies. Meanwhile, inefficient firms in distribution, construction, manufacturing, and elsewhere enjoy good access to gov't. largesse and in some cases even expanded during the 1990s, when the economy as a whole scarcely grew. Banks have lent huge sums of money to firms with low or even negative rates of return on investment. Because banks play a more important role in financing investment in Japan than in the west, this has resulted in a chronic misallocation of investment funds, as well as a mountain of bad debt (non-performing loans) for the banks. Here the problems faced by Japan are similar to those facing China, and as in China, loans to inefficient borrowers have "crowded out" venture capital and loans to firms with growth potential. This has persisted in Japan despite several bank bail-outs, which is to say that new bad loans are constantly being made.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This "crowding-out" process--or poor allocation and use of investment funds--has played a major role in keeping growth low and is the way in which financial system problems have contributed to real economic stagnation. A major part of this crowding-out process has been the "conscious policy of Japanese banks to keep extending credit to firms even when the prospects for being repaid are limited [or non-existent] (Hoshi and Kashyap, p. 7)." This is a phenomenon known as </w:t>
      </w:r>
      <w:r w:rsidRPr="002A75D9">
        <w:rPr>
          <w:rFonts w:ascii="Times New Roman" w:eastAsia="Times New Roman" w:hAnsi="Times New Roman" w:cs="Times New Roman"/>
          <w:color w:val="000000" w:themeColor="text1"/>
          <w:sz w:val="24"/>
          <w:szCs w:val="24"/>
          <w:lang w:val="en-CA" w:eastAsia="fr-CA"/>
        </w:rPr>
        <w:lastRenderedPageBreak/>
        <w:t xml:space="preserve">"ever-greening." These de facto subsidies "have not only kept many money-losing 'zombie' firms in business, but have also depressed the creation of new businesses in sectors where subsidized firms are most prevalent….Thus, because of a lack of restructuring, the mix of firms in the economy has been distorted, with inefficient firms crowding out new, more productive firms (H &amp; K, p.7)." Zombie banks are helping zombie borrowers and thereby strangling the economy. These zombie lenders include government financial institutions that continue to take large losses and receive large subsidies.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There is even evidence that the share of under-performing borrowers in lending has gone up. They often receive below-market interest rates on their loans, yet still do not service them in many cases. Ever-greening appears to have three causes. First, the role of long-term relations in the Japanese economy means that banks often do not desert their long-time customers when the latter run into financial difficulties. Second, government pressure on banks to extend loans in order to avoid bankruptcies and lay-offs has been documented in some cases. Third, banks may keep borrowing firms out of bankruptcy in order to conceal their own bankrupt status, which would be apparent if some of their customers would fail. In the latter context, Japanese banks substantially under-report non-performing loans. A loan carried on the books as a "good" loan could not continue to be treated in this way if the borrower went belly-up.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The resolution of this crisis would be similar to the one that must be carried out in China and involves 3 steps--first, a major re-capitalization or bail-out of the banks; second, a liberalization of the financial system--which in Japan has long been promised, but mostly not delivered--and third, privatization of much of the government financial system, along with a retreat by the Finance Ministry from detailed regulation and subsidization of the banks. </w:t>
      </w:r>
    </w:p>
    <w:p w:rsidR="002A75D9" w:rsidRPr="002A75D9" w:rsidRDefault="002A75D9" w:rsidP="002A75D9">
      <w:pPr>
        <w:spacing w:after="0"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Symbol" w:cs="Times New Roman"/>
          <w:color w:val="000000" w:themeColor="text1"/>
          <w:sz w:val="24"/>
          <w:szCs w:val="24"/>
          <w:lang w:eastAsia="fr-CA"/>
        </w:rPr>
        <w:t></w:t>
      </w:r>
      <w:r w:rsidRPr="002A75D9">
        <w:rPr>
          <w:rFonts w:ascii="Times New Roman" w:eastAsia="Times New Roman" w:hAnsi="Times New Roman" w:cs="Times New Roman"/>
          <w:color w:val="000000" w:themeColor="text1"/>
          <w:sz w:val="24"/>
          <w:szCs w:val="24"/>
          <w:lang w:val="en-CA" w:eastAsia="fr-CA"/>
        </w:rPr>
        <w:t xml:space="preserve">  </w:t>
      </w:r>
      <w:r w:rsidRPr="002A75D9">
        <w:rPr>
          <w:rFonts w:ascii="Times New Roman" w:eastAsia="Times New Roman" w:hAnsi="Times New Roman" w:cs="Times New Roman"/>
          <w:b/>
          <w:bCs/>
          <w:color w:val="000000" w:themeColor="text1"/>
          <w:sz w:val="24"/>
          <w:szCs w:val="24"/>
          <w:lang w:val="en-CA" w:eastAsia="fr-CA"/>
        </w:rPr>
        <w:t>3'A.</w:t>
      </w:r>
      <w:r w:rsidRPr="002A75D9">
        <w:rPr>
          <w:rFonts w:ascii="Times New Roman" w:eastAsia="Times New Roman" w:hAnsi="Times New Roman" w:cs="Times New Roman"/>
          <w:color w:val="000000" w:themeColor="text1"/>
          <w:sz w:val="24"/>
          <w:szCs w:val="24"/>
          <w:lang w:val="en-CA" w:eastAsia="fr-CA"/>
        </w:rPr>
        <w:t xml:space="preserve"> When Japan set out to industrialize in the latter 19th century, there had been no preceding accumulation of profits in private hands (as there had been, for example, in England and Holland during the commercial revolution). Yet, capital formation in modern industry required vast sums of money. Thus, a way was needed of combining the savings of thousands of small savers, mainly rural landowners, and of channeling them to investment projects in industry, where prospective returns were high. The question of collateral was crucial here. These projects were often risky, and the borrower would frequently lack security for a loan, other than the project itself. But to allow investments to be used as collateral for the loans that financed them required banks to protect themselves by acquiring a good knowledge of borrowing firms and of their investments--and, in the final analysis, to get involved in owning and managing these enterprises. Hence, the emergence of close times between banks and firms that is the hallmark of finance capitalism. </w:t>
      </w:r>
    </w:p>
    <w:p w:rsidR="002A75D9" w:rsidRPr="002A75D9" w:rsidRDefault="002A75D9" w:rsidP="002A75D9">
      <w:pPr>
        <w:spacing w:before="100" w:beforeAutospacing="1" w:after="240"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br/>
      </w:r>
      <w:r w:rsidRPr="002A75D9">
        <w:rPr>
          <w:rFonts w:ascii="Times New Roman" w:eastAsia="Times New Roman" w:hAnsi="Times New Roman" w:cs="Times New Roman"/>
          <w:color w:val="000000" w:themeColor="text1"/>
          <w:sz w:val="24"/>
          <w:szCs w:val="24"/>
          <w:lang w:val="en-CA" w:eastAsia="fr-CA"/>
        </w:rPr>
        <w:br/>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This system arose in Japan, as in countries on the continent of Europe that were also latecomers to industrial development and where growth of industry was initially financed by savings generated in agriculture. It allowed banks to assume greater risk burdens and, thus, to provide a secure harbor for savings, while advancing large amounts of industrial capital. It was important </w:t>
      </w:r>
      <w:r w:rsidRPr="002A75D9">
        <w:rPr>
          <w:rFonts w:ascii="Times New Roman" w:eastAsia="Times New Roman" w:hAnsi="Times New Roman" w:cs="Times New Roman"/>
          <w:color w:val="000000" w:themeColor="text1"/>
          <w:sz w:val="24"/>
          <w:szCs w:val="24"/>
          <w:lang w:val="en-CA" w:eastAsia="fr-CA"/>
        </w:rPr>
        <w:lastRenderedPageBreak/>
        <w:t xml:space="preserve">for chartered banks (or city banks, as the major chartered banks are called in Japan); along with the government, to assume considerable risk, since rural landowners were generally risk averse.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color w:val="000000" w:themeColor="text1"/>
          <w:sz w:val="24"/>
          <w:szCs w:val="24"/>
          <w:lang w:val="en-CA" w:eastAsia="fr-CA"/>
        </w:rPr>
      </w:pPr>
      <w:r w:rsidRPr="002A75D9">
        <w:rPr>
          <w:rFonts w:ascii="Times New Roman" w:eastAsia="Times New Roman" w:hAnsi="Times New Roman" w:cs="Times New Roman"/>
          <w:color w:val="000000" w:themeColor="text1"/>
          <w:sz w:val="24"/>
          <w:szCs w:val="24"/>
          <w:lang w:val="en-CA" w:eastAsia="fr-CA"/>
        </w:rPr>
        <w:t xml:space="preserve">In Europe, finance capitalism led to large financial industrial conglomerates centered on banks and held together by interlocking boards of directors. In Japan, both banks and firms were subordinated to holding companies, in the financial-industrial conglomerates known as zaibatsu. Each zaibatsu included a bank and a trading company, as well as several enterprises, each of which normally operated in a different branch of industry. The conglomerate was controlled through its holding company, which held shares in member firms. </w:t>
      </w:r>
    </w:p>
    <w:p w:rsidR="002A75D9" w:rsidRPr="002A75D9" w:rsidRDefault="002A75D9" w:rsidP="002A75D9">
      <w:pPr>
        <w:spacing w:before="100" w:beforeAutospacing="1" w:after="100" w:afterAutospacing="1" w:line="240" w:lineRule="auto"/>
        <w:rPr>
          <w:rFonts w:ascii="Times New Roman" w:eastAsia="Times New Roman" w:hAnsi="Times New Roman" w:cs="Times New Roman"/>
          <w:sz w:val="24"/>
          <w:szCs w:val="24"/>
          <w:lang w:val="en-CA" w:eastAsia="fr-CA"/>
        </w:rPr>
      </w:pPr>
    </w:p>
    <w:p w:rsidR="00B70C83" w:rsidRPr="00B70C83" w:rsidRDefault="00B70C83" w:rsidP="00B70C83">
      <w:pPr>
        <w:rPr>
          <w:lang w:val="en-CA"/>
        </w:rPr>
      </w:pPr>
    </w:p>
    <w:sectPr w:rsidR="00B70C83" w:rsidRPr="00B70C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16198"/>
    <w:multiLevelType w:val="hybridMultilevel"/>
    <w:tmpl w:val="48C2A614"/>
    <w:lvl w:ilvl="0" w:tplc="0C0C0015">
      <w:start w:val="2"/>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C83"/>
    <w:rsid w:val="002A75D9"/>
    <w:rsid w:val="00A65B5B"/>
    <w:rsid w:val="00B70C8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0C83"/>
    <w:pPr>
      <w:ind w:left="720"/>
      <w:contextualSpacing/>
    </w:pPr>
  </w:style>
  <w:style w:type="paragraph" w:styleId="BalloonText">
    <w:name w:val="Balloon Text"/>
    <w:basedOn w:val="Normal"/>
    <w:link w:val="BalloonTextChar"/>
    <w:uiPriority w:val="99"/>
    <w:semiHidden/>
    <w:unhideWhenUsed/>
    <w:rsid w:val="00B70C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C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0C83"/>
    <w:pPr>
      <w:ind w:left="720"/>
      <w:contextualSpacing/>
    </w:pPr>
  </w:style>
  <w:style w:type="paragraph" w:styleId="BalloonText">
    <w:name w:val="Balloon Text"/>
    <w:basedOn w:val="Normal"/>
    <w:link w:val="BalloonTextChar"/>
    <w:uiPriority w:val="99"/>
    <w:semiHidden/>
    <w:unhideWhenUsed/>
    <w:rsid w:val="00B70C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C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08093">
      <w:bodyDiv w:val="1"/>
      <w:marLeft w:val="0"/>
      <w:marRight w:val="0"/>
      <w:marTop w:val="0"/>
      <w:marBottom w:val="0"/>
      <w:divBdr>
        <w:top w:val="none" w:sz="0" w:space="0" w:color="auto"/>
        <w:left w:val="none" w:sz="0" w:space="0" w:color="auto"/>
        <w:bottom w:val="none" w:sz="0" w:space="0" w:color="auto"/>
        <w:right w:val="none" w:sz="0" w:space="0" w:color="auto"/>
      </w:divBdr>
      <w:divsChild>
        <w:div w:id="18829803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6450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7726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5988372">
      <w:bodyDiv w:val="1"/>
      <w:marLeft w:val="0"/>
      <w:marRight w:val="0"/>
      <w:marTop w:val="0"/>
      <w:marBottom w:val="0"/>
      <w:divBdr>
        <w:top w:val="none" w:sz="0" w:space="0" w:color="auto"/>
        <w:left w:val="none" w:sz="0" w:space="0" w:color="auto"/>
        <w:bottom w:val="none" w:sz="0" w:space="0" w:color="auto"/>
        <w:right w:val="none" w:sz="0" w:space="0" w:color="auto"/>
      </w:divBdr>
      <w:divsChild>
        <w:div w:id="1563709566">
          <w:blockQuote w:val="1"/>
          <w:marLeft w:val="720"/>
          <w:marRight w:val="720"/>
          <w:marTop w:val="100"/>
          <w:marBottom w:val="100"/>
          <w:divBdr>
            <w:top w:val="none" w:sz="0" w:space="0" w:color="auto"/>
            <w:left w:val="none" w:sz="0" w:space="0" w:color="auto"/>
            <w:bottom w:val="none" w:sz="0" w:space="0" w:color="auto"/>
            <w:right w:val="none" w:sz="0" w:space="0" w:color="auto"/>
          </w:divBdr>
        </w:div>
        <w:div w:id="885459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15976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5292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051951639">
      <w:bodyDiv w:val="1"/>
      <w:marLeft w:val="0"/>
      <w:marRight w:val="0"/>
      <w:marTop w:val="0"/>
      <w:marBottom w:val="0"/>
      <w:divBdr>
        <w:top w:val="none" w:sz="0" w:space="0" w:color="auto"/>
        <w:left w:val="none" w:sz="0" w:space="0" w:color="auto"/>
        <w:bottom w:val="none" w:sz="0" w:space="0" w:color="auto"/>
        <w:right w:val="none" w:sz="0" w:space="0" w:color="auto"/>
      </w:divBdr>
      <w:divsChild>
        <w:div w:id="430241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366076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27819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14</Pages>
  <Words>5902</Words>
  <Characters>32464</Characters>
  <Application>Microsoft Office Word</Application>
  <DocSecurity>0</DocSecurity>
  <Lines>270</Lines>
  <Paragraphs>76</Paragraphs>
  <ScaleCrop>false</ScaleCrop>
  <Company/>
  <LinksUpToDate>false</LinksUpToDate>
  <CharactersWithSpaces>38290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2012-07-01T14:49:00Z</dcterms:created>
  <dcterms:modified xsi:type="dcterms:W3CDTF">2012-07-01T15:03:00Z</dcterms:modified>
</cp:coreProperties>
</file>