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DB6" w:rsidRDefault="000E64FB" w:rsidP="00A65DC5">
      <w:pPr>
        <w:spacing w:after="0" w:line="240" w:lineRule="auto"/>
        <w:rPr>
          <w:b/>
        </w:rPr>
      </w:pPr>
      <w:r>
        <w:rPr>
          <w:b/>
        </w:rPr>
        <w:t>The Litigation Process: Who Can Sue and Be Sued?</w:t>
      </w:r>
    </w:p>
    <w:p w:rsidR="00D66F7F" w:rsidRDefault="00D66F7F" w:rsidP="00A65DC5">
      <w:pPr>
        <w:spacing w:after="0" w:line="240" w:lineRule="auto"/>
      </w:pPr>
      <w:r>
        <w:t>Who has access to the courts in Ontario?  Who can be sued in an Ontario court?</w:t>
      </w:r>
    </w:p>
    <w:p w:rsidR="00D66F7F" w:rsidRDefault="00D66F7F" w:rsidP="00A65DC5">
      <w:pPr>
        <w:pStyle w:val="ListParagraph"/>
        <w:numPr>
          <w:ilvl w:val="0"/>
          <w:numId w:val="1"/>
        </w:numPr>
        <w:spacing w:after="0" w:line="240" w:lineRule="auto"/>
      </w:pPr>
      <w:r>
        <w:t>All adults, regardless of their citizenship.</w:t>
      </w:r>
    </w:p>
    <w:p w:rsidR="00D66F7F" w:rsidRDefault="00D66F7F" w:rsidP="00A65DC5">
      <w:pPr>
        <w:pStyle w:val="ListParagraph"/>
        <w:numPr>
          <w:ilvl w:val="0"/>
          <w:numId w:val="1"/>
        </w:numPr>
        <w:spacing w:after="0" w:line="240" w:lineRule="auto"/>
      </w:pPr>
      <w:r>
        <w:t>Corporations, even if they are incorporated outside of Ontario.  (Remember that the law treats corporations as legal persons for some purposes.)</w:t>
      </w:r>
    </w:p>
    <w:p w:rsidR="00D66F7F" w:rsidRDefault="00D66F7F" w:rsidP="00A65DC5">
      <w:pPr>
        <w:pStyle w:val="ListParagraph"/>
        <w:numPr>
          <w:ilvl w:val="0"/>
          <w:numId w:val="1"/>
        </w:numPr>
        <w:spacing w:after="0" w:line="240" w:lineRule="auto"/>
      </w:pPr>
      <w:r>
        <w:t>Trade unions</w:t>
      </w:r>
      <w:r w:rsidR="00B50084">
        <w:t>.</w:t>
      </w:r>
    </w:p>
    <w:p w:rsidR="00D66F7F" w:rsidRDefault="00D66F7F" w:rsidP="00A65DC5">
      <w:pPr>
        <w:pStyle w:val="ListParagraph"/>
        <w:numPr>
          <w:ilvl w:val="0"/>
          <w:numId w:val="1"/>
        </w:numPr>
        <w:spacing w:after="0" w:line="240" w:lineRule="auto"/>
      </w:pPr>
      <w:r>
        <w:t>Special cases:</w:t>
      </w:r>
    </w:p>
    <w:p w:rsidR="00D66F7F" w:rsidRDefault="00D66F7F" w:rsidP="00A65DC5">
      <w:pPr>
        <w:pStyle w:val="ListParagraph"/>
        <w:numPr>
          <w:ilvl w:val="1"/>
          <w:numId w:val="1"/>
        </w:numPr>
        <w:spacing w:after="0" w:line="240" w:lineRule="auto"/>
      </w:pPr>
      <w:r>
        <w:t>Children: children can sue and be sued, but they must be represented by a parent or litigation guardian.</w:t>
      </w:r>
    </w:p>
    <w:p w:rsidR="00D66F7F" w:rsidRDefault="00D66F7F" w:rsidP="00A65DC5">
      <w:pPr>
        <w:pStyle w:val="ListParagraph"/>
        <w:numPr>
          <w:ilvl w:val="1"/>
          <w:numId w:val="1"/>
        </w:numPr>
        <w:spacing w:after="0" w:line="240" w:lineRule="auto"/>
      </w:pPr>
      <w:r>
        <w:t>Adults suffering from a mental incapacity (e.g., dementia or Alzheimer’s): they can sue and be sued, but they must be represented by a litigation guardian.</w:t>
      </w:r>
    </w:p>
    <w:p w:rsidR="00290E1F" w:rsidRDefault="00290E1F" w:rsidP="00A65DC5">
      <w:pPr>
        <w:spacing w:after="0" w:line="240" w:lineRule="auto"/>
      </w:pPr>
    </w:p>
    <w:p w:rsidR="00B50084" w:rsidRDefault="00D66F7F" w:rsidP="00A65DC5">
      <w:pPr>
        <w:spacing w:after="0" w:line="240" w:lineRule="auto"/>
      </w:pPr>
      <w:r>
        <w:t xml:space="preserve">Unincorporated organizations, such as clubs, amateur teams, and community groups, are generally not recognized in law as “persons”.  Thus, these organizations cannot sue or be sued </w:t>
      </w:r>
      <w:r>
        <w:rPr>
          <w:i/>
        </w:rPr>
        <w:t>as an organization</w:t>
      </w:r>
      <w:r>
        <w:t>.  If you want to sue a club, you must sue individual members of the club.  If members of a club wish to pursue legal action against another party, they must bring their legal action as individuals.  They cannot sue in the name of the club or organization.  Trade unions, however, are an important exception to this rule.</w:t>
      </w:r>
      <w:r w:rsidR="00A65DC5">
        <w:t xml:space="preserve"> </w:t>
      </w:r>
      <w:r>
        <w:t xml:space="preserve">Historically, it was not possible to sue the government.  However, legislation has now made it possible to sue the government under some circumstances. </w:t>
      </w:r>
    </w:p>
    <w:p w:rsidR="00DF0CB3" w:rsidRDefault="00A65DC5" w:rsidP="00A65DC5">
      <w:pPr>
        <w:pStyle w:val="ListParagraph"/>
        <w:numPr>
          <w:ilvl w:val="0"/>
          <w:numId w:val="31"/>
        </w:numPr>
        <w:spacing w:after="0" w:line="240" w:lineRule="auto"/>
      </w:pPr>
      <w:r w:rsidRPr="00A65DC5">
        <w:t>Unincorporated organizations – cannot be sued as not “persons”, but individual members may be sued</w:t>
      </w:r>
    </w:p>
    <w:p w:rsidR="00DF0CB3" w:rsidRDefault="00A65DC5" w:rsidP="00A65DC5">
      <w:pPr>
        <w:pStyle w:val="ListParagraph"/>
        <w:numPr>
          <w:ilvl w:val="0"/>
          <w:numId w:val="31"/>
        </w:numPr>
        <w:spacing w:after="0" w:line="240" w:lineRule="auto"/>
      </w:pPr>
      <w:r w:rsidRPr="00A65DC5">
        <w:t>Government – may be sued if legislation permits</w:t>
      </w:r>
    </w:p>
    <w:p w:rsidR="00DF0CB3" w:rsidRDefault="00A65DC5" w:rsidP="00A65DC5">
      <w:pPr>
        <w:pStyle w:val="ListParagraph"/>
        <w:numPr>
          <w:ilvl w:val="0"/>
          <w:numId w:val="31"/>
        </w:numPr>
        <w:spacing w:after="0" w:line="240" w:lineRule="auto"/>
      </w:pPr>
      <w:r w:rsidRPr="00DF0CB3">
        <w:rPr>
          <w:i/>
          <w:iCs/>
        </w:rPr>
        <w:t>Plaintiff</w:t>
      </w:r>
      <w:r w:rsidRPr="00A65DC5">
        <w:t>: person who brings law suit</w:t>
      </w:r>
    </w:p>
    <w:p w:rsidR="00DF0CB3" w:rsidRDefault="00A65DC5" w:rsidP="00A65DC5">
      <w:pPr>
        <w:pStyle w:val="ListParagraph"/>
        <w:numPr>
          <w:ilvl w:val="0"/>
          <w:numId w:val="31"/>
        </w:numPr>
        <w:spacing w:after="0" w:line="240" w:lineRule="auto"/>
      </w:pPr>
      <w:r w:rsidRPr="00DF0CB3">
        <w:rPr>
          <w:i/>
          <w:iCs/>
        </w:rPr>
        <w:t>Defendant</w:t>
      </w:r>
      <w:r w:rsidRPr="00A65DC5">
        <w:t>: person being sued</w:t>
      </w:r>
    </w:p>
    <w:p w:rsidR="00A65DC5" w:rsidRPr="00A65DC5" w:rsidRDefault="00A65DC5" w:rsidP="00A65DC5">
      <w:pPr>
        <w:pStyle w:val="ListParagraph"/>
        <w:numPr>
          <w:ilvl w:val="0"/>
          <w:numId w:val="31"/>
        </w:numPr>
        <w:spacing w:after="0" w:line="240" w:lineRule="auto"/>
      </w:pPr>
      <w:r w:rsidRPr="00DF0CB3">
        <w:rPr>
          <w:i/>
          <w:iCs/>
        </w:rPr>
        <w:t>Action</w:t>
      </w:r>
      <w:r w:rsidRPr="00A65DC5">
        <w:t>: law suit as a whole</w:t>
      </w:r>
    </w:p>
    <w:p w:rsidR="00A65DC5" w:rsidRDefault="00A65DC5" w:rsidP="00A65DC5">
      <w:pPr>
        <w:spacing w:after="0" w:line="240" w:lineRule="auto"/>
        <w:rPr>
          <w:b/>
        </w:rPr>
      </w:pPr>
    </w:p>
    <w:p w:rsidR="00DA54E7" w:rsidRDefault="007139AA" w:rsidP="00A65DC5">
      <w:pPr>
        <w:spacing w:after="0" w:line="240" w:lineRule="auto"/>
        <w:rPr>
          <w:b/>
        </w:rPr>
      </w:pPr>
      <w:r>
        <w:rPr>
          <w:b/>
        </w:rPr>
        <w:t>The Litigation Process: Class Actions</w:t>
      </w:r>
      <w:r w:rsidR="00765821">
        <w:rPr>
          <w:rStyle w:val="FootnoteReference"/>
          <w:b/>
        </w:rPr>
        <w:footnoteReference w:id="1"/>
      </w:r>
    </w:p>
    <w:p w:rsidR="003C1347" w:rsidRPr="00A65DC5" w:rsidRDefault="00685507" w:rsidP="00A65DC5">
      <w:pPr>
        <w:numPr>
          <w:ilvl w:val="0"/>
          <w:numId w:val="24"/>
        </w:numPr>
        <w:spacing w:after="0" w:line="240" w:lineRule="auto"/>
      </w:pPr>
      <w:r w:rsidRPr="00A65DC5">
        <w:t>Class action allows single person or small group of people to bring legal claim on behalf of larger group of people</w:t>
      </w:r>
    </w:p>
    <w:p w:rsidR="003C1347" w:rsidRPr="00A65DC5" w:rsidRDefault="00685507" w:rsidP="00A65DC5">
      <w:pPr>
        <w:numPr>
          <w:ilvl w:val="0"/>
          <w:numId w:val="24"/>
        </w:numPr>
        <w:spacing w:after="0" w:line="240" w:lineRule="auto"/>
      </w:pPr>
      <w:r w:rsidRPr="00A65DC5">
        <w:rPr>
          <w:b/>
        </w:rPr>
        <w:t>Class</w:t>
      </w:r>
      <w:r w:rsidR="00A65DC5">
        <w:t xml:space="preserve">: </w:t>
      </w:r>
      <w:r w:rsidRPr="00A65DC5">
        <w:t>is group of people on whose behalf legal claim brought</w:t>
      </w:r>
      <w:r w:rsidR="00A65DC5">
        <w:t xml:space="preserve">, it </w:t>
      </w:r>
      <w:r w:rsidRPr="00A65DC5">
        <w:t>can range in size from very small (2 people) to very large (thousands of people)</w:t>
      </w:r>
    </w:p>
    <w:tbl>
      <w:tblPr>
        <w:tblStyle w:val="TableGrid"/>
        <w:tblW w:w="0" w:type="auto"/>
        <w:tblLook w:val="04A0" w:firstRow="1" w:lastRow="0" w:firstColumn="1" w:lastColumn="0" w:noHBand="0" w:noVBand="1"/>
      </w:tblPr>
      <w:tblGrid>
        <w:gridCol w:w="9576"/>
      </w:tblGrid>
      <w:tr w:rsidR="007139AA" w:rsidTr="007139AA">
        <w:tc>
          <w:tcPr>
            <w:tcW w:w="9576" w:type="dxa"/>
          </w:tcPr>
          <w:p w:rsidR="00C55520" w:rsidRDefault="0025013E" w:rsidP="00A65DC5">
            <w:pPr>
              <w:rPr>
                <w:b/>
              </w:rPr>
            </w:pPr>
            <w:r>
              <w:rPr>
                <w:b/>
              </w:rPr>
              <w:t>Case</w:t>
            </w:r>
            <w:r w:rsidR="00B46865">
              <w:rPr>
                <w:b/>
              </w:rPr>
              <w:t xml:space="preserve"> 1: </w:t>
            </w:r>
            <w:r w:rsidR="00C55520" w:rsidRPr="00C55520">
              <w:rPr>
                <w:b/>
              </w:rPr>
              <w:t>Why do we have class actions?</w:t>
            </w:r>
            <w:r w:rsidR="00C55520">
              <w:rPr>
                <w:b/>
              </w:rPr>
              <w:t xml:space="preserve">  George v. Shark Loans</w:t>
            </w:r>
          </w:p>
          <w:p w:rsidR="00C55520" w:rsidRPr="00C55520" w:rsidRDefault="00C55520" w:rsidP="00A65DC5">
            <w:pPr>
              <w:rPr>
                <w:b/>
              </w:rPr>
            </w:pPr>
          </w:p>
          <w:p w:rsidR="007139AA" w:rsidRDefault="007139AA" w:rsidP="00A65DC5">
            <w:r>
              <w:t>When George’s car unexpectedly broke down, he needed a loan to cover the repair costs.  Because he had bad credit, George went to Shark Loans, a company that makes relatively small loans to people who are considered bad credit risks.  Shark Loans not only charges high interest rates, but it also imposes a major penalty for any late payments.  George was charged a $75 late penalty when he paid an instalment on the loan three days late.</w:t>
            </w:r>
          </w:p>
          <w:p w:rsidR="004C34F6" w:rsidRDefault="004C34F6" w:rsidP="00A65DC5"/>
          <w:p w:rsidR="004C34F6" w:rsidRDefault="004C34F6" w:rsidP="00A65DC5">
            <w:r>
              <w:t xml:space="preserve">George wondered if charging this late penalty was legal, so he asked his friend Wendy, who is a lawyer, for advice.  Wendy did some quick calculations, reviewed the case law, and then told George that the late penalty very likely violated the criminal interest rate provisions in the </w:t>
            </w:r>
            <w:r>
              <w:rPr>
                <w:i/>
              </w:rPr>
              <w:t>Criminal Code</w:t>
            </w:r>
            <w:r>
              <w:t xml:space="preserve">.  She told George that he could sue Shark Loans to get the late penalty back, but that he would have a hard time finding a lawyer who would take a case worth $75.   Even if George represented himself, the cost of the </w:t>
            </w:r>
            <w:r>
              <w:lastRenderedPageBreak/>
              <w:t>filing fees and the time wasted on pursuing the matter would be far more than $75.</w:t>
            </w:r>
          </w:p>
          <w:p w:rsidR="004C34F6" w:rsidRDefault="004C34F6" w:rsidP="00A65DC5"/>
          <w:p w:rsidR="004C34F6" w:rsidRDefault="004C34F6" w:rsidP="00A65DC5">
            <w:r>
              <w:t xml:space="preserve">At first, George was content to let the matter go.  But as he thought about it, he started to become angry.  How many other people were stuck paying this late penalty?  Shark Loans was breaking the law – and profiting from it.  Shark Loans knew that hardly anyone would bother to challenge the late penalty in court; it simply would not be worth the time and money.  At the same time, George estimated that Shark Loans could be making up to $7 million from the collection of the late penalties.  </w:t>
            </w:r>
            <w:r w:rsidR="001205D8">
              <w:t>Something had to be done.</w:t>
            </w:r>
          </w:p>
          <w:p w:rsidR="001205D8" w:rsidRDefault="001205D8" w:rsidP="00A65DC5"/>
          <w:p w:rsidR="001205D8" w:rsidRDefault="001205D8" w:rsidP="00A65DC5">
            <w:r>
              <w:t xml:space="preserve">George went back to his friend Wendy for more advice.  “You see, if it is just me, then the law suit is only worth $75.  But what if there were 100,000 people in my position?  Or even 250,000 people?  Shark Loans is a pretty big company; it has locations all over Ontario.  Shark Loans claims that it has given over 400,000 loans.  So what would Shark Loans do if we </w:t>
            </w:r>
            <w:r w:rsidRPr="001205D8">
              <w:rPr>
                <w:i/>
              </w:rPr>
              <w:t>all</w:t>
            </w:r>
            <w:r>
              <w:t xml:space="preserve"> sued the company, all at once – and all together?  Is that possible?”  </w:t>
            </w:r>
          </w:p>
          <w:p w:rsidR="001205D8" w:rsidRDefault="001205D8" w:rsidP="00A65DC5"/>
          <w:p w:rsidR="004C34F6" w:rsidRDefault="001205D8" w:rsidP="00A65DC5">
            <w:r>
              <w:t>Wendy thought about the matter, and replied, “You would need a class action.  You would ask the court for permission to join all the claims against Shark Bank in one proceeding, with a representative plaintiff.  You wouldn’t sue for $75.  You would sue for $7 million – the value of all the claims combined.</w:t>
            </w:r>
            <w:r w:rsidR="00951983">
              <w:t xml:space="preserve">  Since the claims are all very similar, it makes sense for the court to hear one or two cases and apply its decision from those cases to the rest of the cases.  It’s a better use of the court’s limited resources to decide these cases altogether than to hear very similar claims separately.</w:t>
            </w:r>
            <w:r>
              <w:t>”</w:t>
            </w:r>
          </w:p>
          <w:p w:rsidR="001205D8" w:rsidRDefault="001205D8" w:rsidP="00A65DC5"/>
          <w:p w:rsidR="00293387" w:rsidRDefault="001205D8" w:rsidP="00A65DC5">
            <w:r>
              <w:t xml:space="preserve">George smiled.  “Shark Loans might not care about $75 claims, but a $7 million claim will get its attention!”  </w:t>
            </w:r>
          </w:p>
          <w:p w:rsidR="00482575" w:rsidRDefault="00482575" w:rsidP="00A65DC5"/>
          <w:p w:rsidR="00482575" w:rsidRDefault="00482575" w:rsidP="00A65DC5">
            <w:pPr>
              <w:rPr>
                <w:b/>
              </w:rPr>
            </w:pPr>
            <w:r>
              <w:rPr>
                <w:b/>
              </w:rPr>
              <w:t>What are the benefits of class actions?</w:t>
            </w:r>
          </w:p>
          <w:p w:rsidR="00482575" w:rsidRPr="00482575" w:rsidRDefault="00482575" w:rsidP="00A65DC5">
            <w:pPr>
              <w:rPr>
                <w:b/>
              </w:rPr>
            </w:pPr>
            <w:r>
              <w:rPr>
                <w:b/>
              </w:rPr>
              <w:t xml:space="preserve">In this </w:t>
            </w:r>
            <w:r w:rsidR="0025013E">
              <w:rPr>
                <w:b/>
              </w:rPr>
              <w:t>Case</w:t>
            </w:r>
            <w:r>
              <w:rPr>
                <w:b/>
              </w:rPr>
              <w:t>, who would be the plaintiff and who would be the defendant if George decides to sue Shark Loans?</w:t>
            </w:r>
          </w:p>
        </w:tc>
      </w:tr>
    </w:tbl>
    <w:p w:rsidR="00A2671A" w:rsidRDefault="00A2671A" w:rsidP="00A65DC5">
      <w:pPr>
        <w:spacing w:after="0" w:line="240" w:lineRule="auto"/>
      </w:pPr>
    </w:p>
    <w:p w:rsidR="001205D8" w:rsidRDefault="00B46865" w:rsidP="00A65DC5">
      <w:pPr>
        <w:spacing w:after="0" w:line="240" w:lineRule="auto"/>
      </w:pPr>
      <w:r>
        <w:t xml:space="preserve">In </w:t>
      </w:r>
      <w:r w:rsidR="0025013E">
        <w:t>Case</w:t>
      </w:r>
      <w:r>
        <w:t xml:space="preserve"> 1, George is contemplating bring a </w:t>
      </w:r>
      <w:r>
        <w:rPr>
          <w:b/>
        </w:rPr>
        <w:t>class action</w:t>
      </w:r>
      <w:r>
        <w:t xml:space="preserve"> against Shark Loans.  A class action </w:t>
      </w:r>
      <w:r>
        <w:rPr>
          <w:b/>
        </w:rPr>
        <w:t>allows a single person (like George) or a small group of people to bring a legal claim on behalf of a larger group of people.</w:t>
      </w:r>
      <w:r>
        <w:t xml:space="preserve">  </w:t>
      </w:r>
      <w:r w:rsidR="008E6152">
        <w:t xml:space="preserve">The class is the group of people on whose behalf the legal claim is brought; a class can range in size from very small (even just two people) to very large (thousands of people).  </w:t>
      </w:r>
    </w:p>
    <w:p w:rsidR="0049605B" w:rsidRDefault="00B01583" w:rsidP="00A65DC5">
      <w:pPr>
        <w:spacing w:after="0" w:line="240" w:lineRule="auto"/>
      </w:pPr>
      <w:r>
        <w:t xml:space="preserve">In Ontario, the </w:t>
      </w:r>
      <w:r>
        <w:rPr>
          <w:i/>
        </w:rPr>
        <w:t>Class Proceedings Act</w:t>
      </w:r>
      <w:r>
        <w:t xml:space="preserve"> governs class actions.  You should read this Act, particularly s. </w:t>
      </w:r>
      <w:r w:rsidR="001E0B2A">
        <w:t xml:space="preserve">1, 5, </w:t>
      </w:r>
      <w:r w:rsidR="00A27055">
        <w:t xml:space="preserve">6, </w:t>
      </w:r>
      <w:r w:rsidR="001E0B2A">
        <w:t>and 9</w:t>
      </w:r>
      <w:r>
        <w:t xml:space="preserve">.  </w:t>
      </w:r>
      <w:r w:rsidR="0049605B">
        <w:t>In order to bring a class action, a representative plaintiff must take steps to have the class certified.  (</w:t>
      </w:r>
      <w:r w:rsidR="0049605B" w:rsidRPr="002A0B33">
        <w:rPr>
          <w:b/>
        </w:rPr>
        <w:t xml:space="preserve">Certification </w:t>
      </w:r>
      <w:r w:rsidR="0049605B">
        <w:t xml:space="preserve">basically means that the Court has </w:t>
      </w:r>
      <w:r w:rsidR="002A0B33">
        <w:t xml:space="preserve">decided to allow the claims of the individual members of a proposed class to be joined together; this allows </w:t>
      </w:r>
      <w:r w:rsidR="00DC0701">
        <w:t>someone like George to initiate a lawsuit on behalf of everyone else.)</w:t>
      </w:r>
      <w:r w:rsidR="0049605B">
        <w:t xml:space="preserve"> The </w:t>
      </w:r>
      <w:r w:rsidR="0049605B" w:rsidRPr="0049605B">
        <w:rPr>
          <w:i/>
        </w:rPr>
        <w:t>Class Proceeding Act</w:t>
      </w:r>
      <w:r w:rsidR="0049605B">
        <w:t xml:space="preserve"> states that a judge will certify a class if the following requirements are met:</w:t>
      </w:r>
    </w:p>
    <w:p w:rsidR="001E0B2A" w:rsidRDefault="001E0B2A" w:rsidP="00A65DC5">
      <w:pPr>
        <w:pStyle w:val="ListParagraph"/>
        <w:numPr>
          <w:ilvl w:val="0"/>
          <w:numId w:val="2"/>
        </w:numPr>
        <w:spacing w:after="0" w:line="240" w:lineRule="auto"/>
      </w:pPr>
      <w:r>
        <w:t xml:space="preserve">There is a </w:t>
      </w:r>
      <w:r w:rsidRPr="001E0B2A">
        <w:rPr>
          <w:b/>
        </w:rPr>
        <w:t>“cause of action”</w:t>
      </w:r>
      <w:r>
        <w:t xml:space="preserve"> (a legitimate claim recognized by the law).   The representative plaintiff does not have to prove his case during the certification phase, but he must show that there is some basis in law and in fact for the claim being made.</w:t>
      </w:r>
    </w:p>
    <w:p w:rsidR="00922BF2" w:rsidRDefault="00922BF2" w:rsidP="00A65DC5">
      <w:pPr>
        <w:pStyle w:val="ListParagraph"/>
        <w:numPr>
          <w:ilvl w:val="0"/>
          <w:numId w:val="2"/>
        </w:numPr>
        <w:spacing w:after="0" w:line="240" w:lineRule="auto"/>
      </w:pPr>
      <w:r>
        <w:t xml:space="preserve">Members of the proposed class must have </w:t>
      </w:r>
      <w:r w:rsidRPr="00DC0701">
        <w:rPr>
          <w:b/>
        </w:rPr>
        <w:t>common issues</w:t>
      </w:r>
      <w:r>
        <w:t xml:space="preserve">.  That is, the claims of class members must </w:t>
      </w:r>
      <w:r w:rsidR="00DC0701">
        <w:t xml:space="preserve">involve similar (but not necessarily identical) </w:t>
      </w:r>
      <w:r w:rsidR="00215759">
        <w:t xml:space="preserve">questions of </w:t>
      </w:r>
      <w:r w:rsidR="00DC0701">
        <w:t>fact</w:t>
      </w:r>
      <w:r w:rsidR="00215759">
        <w:t xml:space="preserve"> or law</w:t>
      </w:r>
      <w:r w:rsidR="00DC0701">
        <w:t>.</w:t>
      </w:r>
      <w:r>
        <w:t xml:space="preserve">  Here are some examples:</w:t>
      </w:r>
    </w:p>
    <w:p w:rsidR="00DC0701" w:rsidRDefault="00DC0701" w:rsidP="00A65DC5">
      <w:pPr>
        <w:pStyle w:val="ListParagraph"/>
        <w:spacing w:after="0" w:line="240" w:lineRule="auto"/>
      </w:pPr>
    </w:p>
    <w:p w:rsidR="00922BF2" w:rsidRDefault="00922BF2" w:rsidP="00A65DC5">
      <w:pPr>
        <w:pStyle w:val="ListParagraph"/>
        <w:numPr>
          <w:ilvl w:val="1"/>
          <w:numId w:val="2"/>
        </w:numPr>
        <w:spacing w:after="0" w:line="240" w:lineRule="auto"/>
      </w:pPr>
      <w:r>
        <w:t>The class members are all suing the same defendant in relation to the same product line or service or in relation to the defendant’s employment practices.</w:t>
      </w:r>
    </w:p>
    <w:p w:rsidR="00922BF2" w:rsidRDefault="00922BF2" w:rsidP="00A65DC5">
      <w:pPr>
        <w:pStyle w:val="ListParagraph"/>
        <w:numPr>
          <w:ilvl w:val="1"/>
          <w:numId w:val="2"/>
        </w:numPr>
        <w:spacing w:after="0" w:line="240" w:lineRule="auto"/>
      </w:pPr>
      <w:r>
        <w:lastRenderedPageBreak/>
        <w:t>The class members all suffered the same sort of injury.</w:t>
      </w:r>
    </w:p>
    <w:p w:rsidR="00922BF2" w:rsidRDefault="0049605B" w:rsidP="00A65DC5">
      <w:pPr>
        <w:pStyle w:val="ListParagraph"/>
        <w:numPr>
          <w:ilvl w:val="1"/>
          <w:numId w:val="2"/>
        </w:numPr>
        <w:spacing w:after="0" w:line="240" w:lineRule="auto"/>
      </w:pPr>
      <w:r>
        <w:t>The class members suffered different injuries, but the injuries arose from the same incident.</w:t>
      </w:r>
    </w:p>
    <w:p w:rsidR="0049605B" w:rsidRPr="0049605B" w:rsidRDefault="0049605B" w:rsidP="00A65DC5">
      <w:pPr>
        <w:spacing w:after="0" w:line="240" w:lineRule="auto"/>
        <w:ind w:left="720"/>
      </w:pPr>
      <w:r>
        <w:t>Sometimes, class members have quite different types of injuries, but their claims still have a lot in common with each other.</w:t>
      </w:r>
      <w:r w:rsidR="00DC0701">
        <w:t xml:space="preserve">  </w:t>
      </w:r>
      <w:r>
        <w:t xml:space="preserve">In such cases, the class might be certified with </w:t>
      </w:r>
      <w:r>
        <w:rPr>
          <w:b/>
        </w:rPr>
        <w:t xml:space="preserve">sub-classes </w:t>
      </w:r>
      <w:r>
        <w:t>that divide the class members into different sub-groups, based on the different types of injuries suffered.  Each sub-class must have its own representative plaintiff.</w:t>
      </w:r>
      <w:r w:rsidR="00302689">
        <w:t xml:space="preserve">  See </w:t>
      </w:r>
      <w:r w:rsidR="0025013E">
        <w:t>Case</w:t>
      </w:r>
      <w:r w:rsidR="00302689">
        <w:t xml:space="preserve"> 2 for an example.</w:t>
      </w:r>
    </w:p>
    <w:p w:rsidR="00B01583" w:rsidRDefault="00B01583" w:rsidP="00A65DC5">
      <w:pPr>
        <w:pStyle w:val="ListParagraph"/>
        <w:numPr>
          <w:ilvl w:val="0"/>
          <w:numId w:val="2"/>
        </w:numPr>
        <w:spacing w:after="0" w:line="240" w:lineRule="auto"/>
      </w:pPr>
      <w:r>
        <w:t xml:space="preserve">There must be a </w:t>
      </w:r>
      <w:r>
        <w:rPr>
          <w:b/>
        </w:rPr>
        <w:t>representative plaintiff</w:t>
      </w:r>
      <w:r>
        <w:t>.</w:t>
      </w:r>
      <w:r w:rsidR="00922BF2">
        <w:t xml:space="preserve">  </w:t>
      </w:r>
      <w:r w:rsidR="00495DC0">
        <w:t xml:space="preserve">The facts of the representative plaintiff’s case must be </w:t>
      </w:r>
      <w:r w:rsidR="008D1515">
        <w:t xml:space="preserve">typical of all the members of the class.  In </w:t>
      </w:r>
      <w:r w:rsidR="0025013E">
        <w:t>Case</w:t>
      </w:r>
      <w:r w:rsidR="008D1515">
        <w:t xml:space="preserve"> 1, George could be</w:t>
      </w:r>
      <w:r w:rsidR="000C75C2">
        <w:t xml:space="preserve"> the representative plaintiff, but not Wendy.  Wendy hasn’t suffered a loss as a result of Shark Loan’s late penalty.</w:t>
      </w:r>
    </w:p>
    <w:p w:rsidR="000C75C2" w:rsidRDefault="000C75C2" w:rsidP="00A65DC5">
      <w:pPr>
        <w:spacing w:after="0" w:line="240" w:lineRule="auto"/>
        <w:ind w:left="720"/>
      </w:pPr>
      <w:r>
        <w:t>Representative plaintiffs have a number of responsibilities, including a responsibility to have a workable plan for fairly representing the all members of the class.  Someone who has a potential conflict of interest with other members of the class, for example, could not satisfy this requirement.</w:t>
      </w:r>
    </w:p>
    <w:p w:rsidR="00A2671A" w:rsidRDefault="000C75C2" w:rsidP="00A65DC5">
      <w:pPr>
        <w:pStyle w:val="ListParagraph"/>
        <w:numPr>
          <w:ilvl w:val="0"/>
          <w:numId w:val="2"/>
        </w:numPr>
        <w:spacing w:after="0" w:line="240" w:lineRule="auto"/>
      </w:pPr>
      <w:r>
        <w:t xml:space="preserve">The representative plaintiff must demonstrate that he or she has a </w:t>
      </w:r>
      <w:r w:rsidRPr="002A0B33">
        <w:rPr>
          <w:b/>
        </w:rPr>
        <w:t>workable plan to notify all potential members of the proposed class</w:t>
      </w:r>
      <w:r>
        <w:t xml:space="preserve">.  </w:t>
      </w:r>
      <w:r w:rsidR="002A0B33">
        <w:t>People are not required to be part of a class action; they are allowed to sue the defendant on their own. However, i</w:t>
      </w:r>
      <w:r>
        <w:t>n Ontario, class actions are “opt-out”, which means that people are deemed to be included in a class action unless they specifi</w:t>
      </w:r>
      <w:r w:rsidR="002A0B33">
        <w:t xml:space="preserve">cally opt-out of participating. </w:t>
      </w:r>
      <w:r>
        <w:t xml:space="preserve"> </w:t>
      </w:r>
      <w:r w:rsidR="002A0B33">
        <w:t>It is only fair to require the representative plaintiff to give notice to everyone who could be a member of the proposed class so that people can opt out of the class if they want to sue the defendant on their own.  Notices about proposed class actions are frequently published in newspapers and magazines.</w:t>
      </w:r>
    </w:p>
    <w:p w:rsidR="002A0B33" w:rsidRDefault="002A0B33" w:rsidP="00A65DC5">
      <w:pPr>
        <w:pStyle w:val="ListParagraph"/>
        <w:numPr>
          <w:ilvl w:val="0"/>
          <w:numId w:val="2"/>
        </w:numPr>
        <w:spacing w:after="0" w:line="240" w:lineRule="auto"/>
      </w:pPr>
      <w:r>
        <w:t xml:space="preserve">A class action must be </w:t>
      </w:r>
      <w:r>
        <w:rPr>
          <w:b/>
        </w:rPr>
        <w:t>the preferable procedure for addressing the various claims</w:t>
      </w:r>
      <w:r>
        <w:t xml:space="preserve">.  For example, if the members of the proposed claim do not have enough in common or if joining the claims together would result in </w:t>
      </w:r>
      <w:r w:rsidR="00215759">
        <w:t>an overly complex proceeding, the judge may find that a class action is not appropriate.</w:t>
      </w:r>
    </w:p>
    <w:p w:rsidR="00326B30" w:rsidRDefault="00326B30" w:rsidP="00A65DC5">
      <w:pPr>
        <w:spacing w:after="0" w:line="240" w:lineRule="auto"/>
        <w:rPr>
          <w:b/>
        </w:rPr>
      </w:pPr>
    </w:p>
    <w:p w:rsidR="000B161B" w:rsidRPr="000B161B" w:rsidRDefault="000B161B" w:rsidP="00A65DC5">
      <w:pPr>
        <w:spacing w:after="0" w:line="240" w:lineRule="auto"/>
      </w:pPr>
      <w:r>
        <w:rPr>
          <w:b/>
        </w:rPr>
        <w:t>Question: Do you think George (</w:t>
      </w:r>
      <w:r w:rsidR="0025013E">
        <w:rPr>
          <w:b/>
        </w:rPr>
        <w:t>Case</w:t>
      </w:r>
      <w:r>
        <w:rPr>
          <w:b/>
        </w:rPr>
        <w:t xml:space="preserve"> 1) will be successful if he attempts to have his class action certified?  Why or why not?</w:t>
      </w:r>
    </w:p>
    <w:tbl>
      <w:tblPr>
        <w:tblStyle w:val="TableGrid"/>
        <w:tblW w:w="0" w:type="auto"/>
        <w:tblLook w:val="04A0" w:firstRow="1" w:lastRow="0" w:firstColumn="1" w:lastColumn="0" w:noHBand="0" w:noVBand="1"/>
      </w:tblPr>
      <w:tblGrid>
        <w:gridCol w:w="9576"/>
      </w:tblGrid>
      <w:tr w:rsidR="00302689" w:rsidTr="00302689">
        <w:tc>
          <w:tcPr>
            <w:tcW w:w="9576" w:type="dxa"/>
          </w:tcPr>
          <w:p w:rsidR="00302689" w:rsidRPr="00302689" w:rsidRDefault="0025013E" w:rsidP="00A65DC5">
            <w:pPr>
              <w:rPr>
                <w:b/>
              </w:rPr>
            </w:pPr>
            <w:r>
              <w:rPr>
                <w:b/>
              </w:rPr>
              <w:t>Case</w:t>
            </w:r>
            <w:r w:rsidR="00302689" w:rsidRPr="00302689">
              <w:rPr>
                <w:b/>
              </w:rPr>
              <w:t xml:space="preserve"> 2: Dealing with Complexities: Sub-classes</w:t>
            </w:r>
            <w:r w:rsidR="00302689">
              <w:rPr>
                <w:b/>
              </w:rPr>
              <w:t xml:space="preserve"> in a Town Terrorized by Tainted Water</w:t>
            </w:r>
          </w:p>
          <w:p w:rsidR="00302689" w:rsidRDefault="00302689" w:rsidP="00A65DC5">
            <w:r>
              <w:t xml:space="preserve">Suppose the company responsible for monitoring a town’s water supply carelessly failed to do its job.  As a result, the water supply became tainted with </w:t>
            </w:r>
            <w:proofErr w:type="spellStart"/>
            <w:r>
              <w:t>E.Coli</w:t>
            </w:r>
            <w:proofErr w:type="spellEnd"/>
            <w:r>
              <w:t>.  Some people get very sick and some people even die.  Other people don’t get sick, but their family members do.  The claims of the townspeople have an important fact in common: the claims all arise from the failure of the company to monitor the town’s water supply.  If the company is found liable in one case, it will almost certainly be found liable in every other case, too.  But the types of injuries are different.  People were hurt in different ways.  Some people need compensation for illness; other people need compensation for the loss of a child or a parent.  Other people might want compensation because they had to take time off work to take care of sick family members.  Some people may even try to get compensation for lost revenue since the tainted water issue kept tourists away from the town.  These injuries will probably be evaluated differently.  The court can allow the townspeople to proceed as a class, but divide the class members into sub-classes.  The determination of whether the company was negligent can be generally applied to all class members, and then the compensation for specific types of injuries can be decided separately, based on the sub-classes.  When we study negligence, you will see that some of the townspeople might not receive any compensation because their claims are too remote.  But this should not prevent other people from being compensated.</w:t>
            </w:r>
          </w:p>
        </w:tc>
      </w:tr>
    </w:tbl>
    <w:p w:rsidR="00A2671A" w:rsidRDefault="00A2671A" w:rsidP="00A65DC5">
      <w:pPr>
        <w:spacing w:after="0" w:line="240" w:lineRule="auto"/>
      </w:pPr>
    </w:p>
    <w:p w:rsidR="00326B30" w:rsidRDefault="00326B30">
      <w:r>
        <w:br w:type="page"/>
      </w:r>
    </w:p>
    <w:p w:rsidR="00F56DE4" w:rsidRDefault="000A0B65" w:rsidP="00A65DC5">
      <w:pPr>
        <w:spacing w:after="0" w:line="240" w:lineRule="auto"/>
      </w:pPr>
      <w:r>
        <w:lastRenderedPageBreak/>
        <w:t xml:space="preserve">As with all legal class proceedings, someone has to pay for the costs of the action, including the lawyers’ fees.  </w:t>
      </w:r>
      <w:r w:rsidR="00F56DE4">
        <w:t xml:space="preserve">Section 31(2) of the </w:t>
      </w:r>
      <w:r w:rsidR="00F56DE4">
        <w:rPr>
          <w:i/>
        </w:rPr>
        <w:t xml:space="preserve">Class Proceedings Act </w:t>
      </w:r>
      <w:r w:rsidR="00F56DE4">
        <w:t xml:space="preserve">makes clear that the Representative Plaintiff alone is liable for costs related to the action; other members of the class are not liable for the general costs of litigation.  Nevertheless, section 17(7) of the </w:t>
      </w:r>
      <w:r w:rsidR="00F56DE4">
        <w:rPr>
          <w:i/>
        </w:rPr>
        <w:t xml:space="preserve">Act </w:t>
      </w:r>
      <w:r w:rsidR="00F56DE4">
        <w:t>allows a Representative Plaintiff to ask the court for an order that permits him or her to ask other members to contribute to the cost of lawyers’ fees and disbursements.  The Representative Plaintiff is not entitled to any special form of compensation such as payment for the time and effort expended on bringing the class action.</w:t>
      </w:r>
    </w:p>
    <w:p w:rsidR="00F56DE4" w:rsidRDefault="00F56DE4" w:rsidP="00A65DC5">
      <w:pPr>
        <w:spacing w:after="0" w:line="240" w:lineRule="auto"/>
      </w:pPr>
      <w:r>
        <w:t xml:space="preserve">The </w:t>
      </w:r>
      <w:r>
        <w:rPr>
          <w:i/>
        </w:rPr>
        <w:t xml:space="preserve">Class Proceedings Act </w:t>
      </w:r>
      <w:r>
        <w:t xml:space="preserve">also permits a lawyer to charge contingency fees in class actions.  Contingency fees are fees that are only payable if the case is successful.  </w:t>
      </w:r>
    </w:p>
    <w:p w:rsidR="00290E1F" w:rsidRPr="00F56DE4" w:rsidRDefault="00290E1F" w:rsidP="00A65DC5">
      <w:pPr>
        <w:spacing w:after="0" w:line="240" w:lineRule="auto"/>
      </w:pPr>
    </w:p>
    <w:p w:rsidR="000B161B" w:rsidRDefault="000B161B" w:rsidP="00A65DC5">
      <w:pPr>
        <w:spacing w:after="0" w:line="240" w:lineRule="auto"/>
      </w:pPr>
      <w:r>
        <w:rPr>
          <w:b/>
        </w:rPr>
        <w:t>The Litigation Process: Legal Representation</w:t>
      </w:r>
    </w:p>
    <w:p w:rsidR="000B161B" w:rsidRDefault="000B161B" w:rsidP="00A65DC5">
      <w:pPr>
        <w:spacing w:after="0" w:line="240" w:lineRule="auto"/>
      </w:pPr>
      <w:r>
        <w:t>There are three broad options for obtaining legal representation in the litigation process: you can represent yourself; you can hire a paralegal; or you can hire a lawyer.</w:t>
      </w:r>
      <w:r w:rsidR="00D55CFB">
        <w:t xml:space="preserve">  </w:t>
      </w:r>
    </w:p>
    <w:p w:rsidR="000B161B" w:rsidRDefault="00D55CFB" w:rsidP="00A65DC5">
      <w:pPr>
        <w:spacing w:after="0" w:line="240" w:lineRule="auto"/>
      </w:pPr>
      <w:r>
        <w:t xml:space="preserve">In Ontario, both lawyers and paralegals are regulated by the Law Society of Upper Canada.  This means that you must obtain certain credentials and meet certain requirements in order to be licensed to practise as either a lawyer or a paralegal.  The licensing process is part of ensuring that lawyers and paralegals are competent and remain competent.  </w:t>
      </w:r>
    </w:p>
    <w:p w:rsidR="00D55CFB" w:rsidRDefault="00107540" w:rsidP="00A65DC5">
      <w:pPr>
        <w:spacing w:after="0" w:line="240" w:lineRule="auto"/>
      </w:pPr>
      <w:r>
        <w:t xml:space="preserve">Clients can sue their lawyers and paralegals for carelessness (negligence) and for intentional wrongdoing.  However, the lawyer or paralegal may not have enough money to compensate the client.  There are mechanisms in place to protect clients, however.  </w:t>
      </w:r>
      <w:r w:rsidR="00D55CFB">
        <w:t xml:space="preserve">Lawyers and paralegals in Ontario are required to hold </w:t>
      </w:r>
      <w:r w:rsidR="00D55CFB" w:rsidRPr="00D55CFB">
        <w:rPr>
          <w:b/>
        </w:rPr>
        <w:t>professional liability insurance</w:t>
      </w:r>
      <w:r w:rsidR="00D55CFB">
        <w:t xml:space="preserve">.  This insurance provides compensation to clients who have suffered losses as a result of a lawyer’s or a paralegal’s carelessness.  The Law Society also maintains an </w:t>
      </w:r>
      <w:r w:rsidR="00D55CFB">
        <w:rPr>
          <w:b/>
        </w:rPr>
        <w:t xml:space="preserve">Assurance Fund </w:t>
      </w:r>
      <w:r w:rsidR="00D55CFB">
        <w:t>to compensate people who have suffered losses as a result of a lawyer’s or a paralegal’s dishonest conduct.</w:t>
      </w:r>
      <w:r>
        <w:t xml:space="preserve">  </w:t>
      </w:r>
    </w:p>
    <w:p w:rsidR="00326B30" w:rsidRDefault="00326B30" w:rsidP="00A65DC5">
      <w:pPr>
        <w:spacing w:after="0" w:line="240" w:lineRule="auto"/>
        <w:rPr>
          <w:b/>
        </w:rPr>
      </w:pPr>
    </w:p>
    <w:p w:rsidR="00B320F8" w:rsidRPr="0013359B" w:rsidRDefault="006B6863" w:rsidP="00A65DC5">
      <w:pPr>
        <w:spacing w:after="0" w:line="240" w:lineRule="auto"/>
        <w:rPr>
          <w:b/>
        </w:rPr>
      </w:pPr>
      <w:r w:rsidRPr="0013359B">
        <w:rPr>
          <w:b/>
        </w:rPr>
        <w:t xml:space="preserve">The Litigation Process: </w:t>
      </w:r>
      <w:r w:rsidR="0013359B" w:rsidRPr="0013359B">
        <w:rPr>
          <w:b/>
        </w:rPr>
        <w:t xml:space="preserve"> An Overview of the Life of a Legal Action</w:t>
      </w:r>
    </w:p>
    <w:p w:rsidR="00290E1F" w:rsidRDefault="00290E1F" w:rsidP="00290E1F">
      <w:pPr>
        <w:pStyle w:val="ListParagraph"/>
        <w:numPr>
          <w:ilvl w:val="0"/>
          <w:numId w:val="25"/>
        </w:numPr>
        <w:spacing w:after="0" w:line="240" w:lineRule="auto"/>
      </w:pPr>
      <w:r>
        <w:t xml:space="preserve">Cause of Action </w:t>
      </w:r>
    </w:p>
    <w:p w:rsidR="00290E1F" w:rsidRDefault="00290E1F" w:rsidP="00290E1F">
      <w:pPr>
        <w:pStyle w:val="ListParagraph"/>
        <w:numPr>
          <w:ilvl w:val="1"/>
          <w:numId w:val="26"/>
        </w:numPr>
        <w:spacing w:after="0" w:line="240" w:lineRule="auto"/>
      </w:pPr>
      <w:r w:rsidRPr="00107540">
        <w:t>Action must be commenced within applicable limitation period</w:t>
      </w:r>
    </w:p>
    <w:p w:rsidR="00290E1F" w:rsidRDefault="00290E1F" w:rsidP="00290E1F">
      <w:pPr>
        <w:pStyle w:val="ListParagraph"/>
        <w:numPr>
          <w:ilvl w:val="0"/>
          <w:numId w:val="25"/>
        </w:numPr>
        <w:spacing w:after="0" w:line="240" w:lineRule="auto"/>
      </w:pPr>
      <w:r>
        <w:t>Pleadings</w:t>
      </w:r>
    </w:p>
    <w:p w:rsidR="00290E1F" w:rsidRDefault="00290E1F" w:rsidP="00290E1F">
      <w:pPr>
        <w:pStyle w:val="ListParagraph"/>
        <w:numPr>
          <w:ilvl w:val="1"/>
          <w:numId w:val="27"/>
        </w:numPr>
        <w:spacing w:after="0" w:line="240" w:lineRule="auto"/>
      </w:pPr>
      <w:r w:rsidRPr="00107540">
        <w:t>The parties exchange various filings that outline the issues that they will raise at trial and the facts upon which they will rely.</w:t>
      </w:r>
    </w:p>
    <w:p w:rsidR="00290E1F" w:rsidRDefault="00290E1F" w:rsidP="00290E1F">
      <w:pPr>
        <w:pStyle w:val="ListParagraph"/>
        <w:numPr>
          <w:ilvl w:val="0"/>
          <w:numId w:val="25"/>
        </w:numPr>
        <w:spacing w:after="0" w:line="240" w:lineRule="auto"/>
      </w:pPr>
      <w:r>
        <w:t xml:space="preserve">Pre-trial Activity </w:t>
      </w:r>
    </w:p>
    <w:p w:rsidR="00290E1F" w:rsidRPr="00107540" w:rsidRDefault="00290E1F" w:rsidP="00290E1F">
      <w:pPr>
        <w:numPr>
          <w:ilvl w:val="1"/>
          <w:numId w:val="27"/>
        </w:numPr>
        <w:spacing w:after="0" w:line="240" w:lineRule="auto"/>
      </w:pPr>
      <w:r w:rsidRPr="00107540">
        <w:t>Parties</w:t>
      </w:r>
      <w:r w:rsidRPr="00107540">
        <w:rPr>
          <w:b/>
        </w:rPr>
        <w:t xml:space="preserve"> </w:t>
      </w:r>
      <w:r w:rsidRPr="00107540">
        <w:t xml:space="preserve">have the opportunity to </w:t>
      </w:r>
      <w:r w:rsidRPr="00107540">
        <w:rPr>
          <w:bCs/>
        </w:rPr>
        <w:t>"discover"</w:t>
      </w:r>
      <w:r w:rsidRPr="00107540">
        <w:t xml:space="preserve"> each other's case through the exchange of documents and pre-trial examination of witnesses, which occurs under oath.  Discovery gives the parties an opportunity to evaluate the relative strength of the other party's case and to gauge how much the claim is really worth.</w:t>
      </w:r>
    </w:p>
    <w:p w:rsidR="00290E1F" w:rsidRPr="00107540" w:rsidRDefault="00290E1F" w:rsidP="00290E1F">
      <w:pPr>
        <w:numPr>
          <w:ilvl w:val="1"/>
          <w:numId w:val="27"/>
        </w:numPr>
        <w:spacing w:after="0" w:line="240" w:lineRule="auto"/>
      </w:pPr>
      <w:r w:rsidRPr="00107540">
        <w:t xml:space="preserve">Parties have a </w:t>
      </w:r>
      <w:r w:rsidRPr="00107540">
        <w:rPr>
          <w:bCs/>
        </w:rPr>
        <w:t xml:space="preserve">pre-trial conference </w:t>
      </w:r>
      <w:r w:rsidRPr="00107540">
        <w:t>in which they meet with a judge</w:t>
      </w:r>
      <w:r w:rsidRPr="00107540">
        <w:rPr>
          <w:bCs/>
        </w:rPr>
        <w:t xml:space="preserve">.  </w:t>
      </w:r>
      <w:r w:rsidRPr="00107540">
        <w:t>The judge may give the parties a frank assessment of which side is likely to win if the case goes to trial.  This gives the potential losing party more incentive to settle.</w:t>
      </w:r>
    </w:p>
    <w:p w:rsidR="00290E1F" w:rsidRDefault="00290E1F" w:rsidP="00290E1F">
      <w:pPr>
        <w:pStyle w:val="ListParagraph"/>
        <w:numPr>
          <w:ilvl w:val="1"/>
          <w:numId w:val="27"/>
        </w:numPr>
        <w:spacing w:after="0" w:line="240" w:lineRule="auto"/>
      </w:pPr>
      <w:r w:rsidRPr="00107540">
        <w:t>In some cases, there is court-mandated mediation.</w:t>
      </w:r>
    </w:p>
    <w:p w:rsidR="00290E1F" w:rsidRDefault="00290E1F" w:rsidP="00290E1F">
      <w:pPr>
        <w:pStyle w:val="ListParagraph"/>
        <w:numPr>
          <w:ilvl w:val="0"/>
          <w:numId w:val="25"/>
        </w:numPr>
        <w:spacing w:after="0" w:line="240" w:lineRule="auto"/>
      </w:pPr>
      <w:r>
        <w:t>Determination of Claim</w:t>
      </w:r>
    </w:p>
    <w:p w:rsidR="00290E1F" w:rsidRPr="00107540" w:rsidRDefault="00290E1F" w:rsidP="00290E1F">
      <w:pPr>
        <w:numPr>
          <w:ilvl w:val="0"/>
          <w:numId w:val="28"/>
        </w:numPr>
        <w:spacing w:after="0" w:line="240" w:lineRule="auto"/>
      </w:pPr>
      <w:r w:rsidRPr="00107540">
        <w:t>The parties either settle or the case goes to trial.  The vast majority of cases settle before trial.</w:t>
      </w:r>
    </w:p>
    <w:p w:rsidR="00290E1F" w:rsidRPr="00107540" w:rsidRDefault="00290E1F" w:rsidP="00290E1F">
      <w:pPr>
        <w:numPr>
          <w:ilvl w:val="0"/>
          <w:numId w:val="28"/>
        </w:numPr>
        <w:spacing w:after="0" w:line="240" w:lineRule="auto"/>
      </w:pPr>
      <w:r w:rsidRPr="00107540">
        <w:t xml:space="preserve">If the case goes to trial, the plaintiff must prove its case </w:t>
      </w:r>
      <w:r w:rsidRPr="00107540">
        <w:rPr>
          <w:b/>
          <w:bCs/>
        </w:rPr>
        <w:t>on a balance of probabilities</w:t>
      </w:r>
      <w:r w:rsidRPr="00107540">
        <w:t>.  In other words, every important part of the plaintiff's claim must be shown to be more likely true than not.  (The claim must be probably true.)</w:t>
      </w:r>
    </w:p>
    <w:p w:rsidR="00107540" w:rsidRDefault="00290E1F" w:rsidP="00290E1F">
      <w:pPr>
        <w:pStyle w:val="ListParagraph"/>
        <w:numPr>
          <w:ilvl w:val="0"/>
          <w:numId w:val="28"/>
        </w:numPr>
        <w:spacing w:after="0" w:line="240" w:lineRule="auto"/>
      </w:pPr>
      <w:r w:rsidRPr="00107540">
        <w:lastRenderedPageBreak/>
        <w:t xml:space="preserve">At trial, the defendant is found </w:t>
      </w:r>
      <w:proofErr w:type="gramStart"/>
      <w:r w:rsidRPr="00107540">
        <w:t xml:space="preserve">either </w:t>
      </w:r>
      <w:r w:rsidRPr="00290E1F">
        <w:rPr>
          <w:b/>
          <w:bCs/>
        </w:rPr>
        <w:t>liable</w:t>
      </w:r>
      <w:r w:rsidRPr="00107540">
        <w:t xml:space="preserve"> (and</w:t>
      </w:r>
      <w:proofErr w:type="gramEnd"/>
      <w:r w:rsidRPr="00107540">
        <w:t xml:space="preserve"> therefore res</w:t>
      </w:r>
      <w:r>
        <w:t>p</w:t>
      </w:r>
      <w:r w:rsidRPr="00107540">
        <w:t xml:space="preserve">onsible) or </w:t>
      </w:r>
      <w:r w:rsidRPr="00290E1F">
        <w:rPr>
          <w:b/>
          <w:bCs/>
        </w:rPr>
        <w:t xml:space="preserve">not liable.  </w:t>
      </w:r>
      <w:r w:rsidRPr="00107540">
        <w:t>If the defendant is held liable, the plaintiff will be awarded a remedy.  The most common remedy is compensatory damages.</w:t>
      </w:r>
    </w:p>
    <w:p w:rsidR="00290E1F" w:rsidRDefault="00290E1F" w:rsidP="00290E1F">
      <w:pPr>
        <w:pStyle w:val="ListParagraph"/>
        <w:numPr>
          <w:ilvl w:val="0"/>
          <w:numId w:val="25"/>
        </w:numPr>
        <w:spacing w:after="0" w:line="240" w:lineRule="auto"/>
      </w:pPr>
      <w:r>
        <w:t>Enforcing the Judgement</w:t>
      </w:r>
    </w:p>
    <w:p w:rsidR="00290E1F" w:rsidRDefault="00290E1F" w:rsidP="00290E1F">
      <w:pPr>
        <w:pStyle w:val="ListParagraph"/>
        <w:numPr>
          <w:ilvl w:val="1"/>
          <w:numId w:val="29"/>
        </w:numPr>
        <w:spacing w:after="0" w:line="240" w:lineRule="auto"/>
      </w:pPr>
      <w:r w:rsidRPr="00107540">
        <w:t xml:space="preserve">If the plaintiff wins an award of damages, the defendant becomes a </w:t>
      </w:r>
      <w:r w:rsidRPr="00107540">
        <w:rPr>
          <w:b/>
          <w:bCs/>
        </w:rPr>
        <w:t>judgment debtor</w:t>
      </w:r>
      <w:r w:rsidRPr="00107540">
        <w:t>.  The plaintiff now has the difficult task of getting its money from the defendant.</w:t>
      </w:r>
    </w:p>
    <w:p w:rsidR="00290E1F" w:rsidRDefault="00290E1F" w:rsidP="00290E1F">
      <w:pPr>
        <w:pStyle w:val="ListParagraph"/>
        <w:numPr>
          <w:ilvl w:val="0"/>
          <w:numId w:val="25"/>
        </w:numPr>
        <w:spacing w:after="0" w:line="240" w:lineRule="auto"/>
      </w:pPr>
      <w:r>
        <w:t>Appeals</w:t>
      </w:r>
    </w:p>
    <w:p w:rsidR="006B6863" w:rsidRDefault="00290E1F" w:rsidP="00290E1F">
      <w:pPr>
        <w:numPr>
          <w:ilvl w:val="1"/>
          <w:numId w:val="30"/>
        </w:numPr>
        <w:spacing w:after="0" w:line="240" w:lineRule="auto"/>
      </w:pPr>
      <w:r w:rsidRPr="00107540">
        <w:rPr>
          <w:bCs/>
        </w:rPr>
        <w:t>In some cases, a party may appeal all or part of a judgment.  This means that the party (</w:t>
      </w:r>
      <w:r w:rsidRPr="00107540">
        <w:t xml:space="preserve">called an </w:t>
      </w:r>
      <w:r w:rsidRPr="00107540">
        <w:rPr>
          <w:b/>
          <w:bCs/>
        </w:rPr>
        <w:t>appellant</w:t>
      </w:r>
      <w:r w:rsidRPr="00107540">
        <w:t>) asks a higher court to review the case and to decide if the judge made the correct legal decision.  Appeals are very different from trials.  See Figure XX below for more details.</w:t>
      </w:r>
    </w:p>
    <w:p w:rsidR="00290E1F" w:rsidRDefault="00290E1F" w:rsidP="00290E1F">
      <w:pPr>
        <w:spacing w:after="0" w:line="240" w:lineRule="auto"/>
        <w:ind w:left="1440"/>
      </w:pPr>
    </w:p>
    <w:p w:rsidR="0025013E" w:rsidRDefault="0025013E" w:rsidP="00A65DC5">
      <w:pPr>
        <w:spacing w:after="0" w:line="240" w:lineRule="auto"/>
      </w:pPr>
      <w:r>
        <w:t xml:space="preserve">In civil litigation, the clock is always ticking.  There are rules that require that claims be made and that various pleadings are filed in a timely way.  </w:t>
      </w:r>
    </w:p>
    <w:p w:rsidR="00290E1F" w:rsidRDefault="00290E1F" w:rsidP="00A65DC5">
      <w:pPr>
        <w:spacing w:after="0" w:line="240" w:lineRule="auto"/>
      </w:pPr>
    </w:p>
    <w:p w:rsidR="0025013E" w:rsidRDefault="0025013E" w:rsidP="00A65DC5">
      <w:pPr>
        <w:spacing w:after="0" w:line="240" w:lineRule="auto"/>
      </w:pPr>
      <w:r>
        <w:rPr>
          <w:b/>
        </w:rPr>
        <w:t xml:space="preserve">Limitation Periods: </w:t>
      </w:r>
      <w:r>
        <w:t xml:space="preserve">Limitation periods are the period of time within which an action must be started.  Legal claims must be made within a certain period of time or the court will not allow the claim to proceed.  These time periods are governed by statute, and can range from six days (e.g., if you want to sue a city in tort) to 21 years (e.g., if you want to assert certain property rights).  In Ontario, in cases involving torts or breach of contract, the most common limitation period is two years from the date on which the plaintiff should have become aware that he or she had a claim against the defendant. </w:t>
      </w:r>
    </w:p>
    <w:p w:rsidR="0025013E" w:rsidRDefault="0025013E" w:rsidP="00A65DC5">
      <w:pPr>
        <w:spacing w:after="0" w:line="240" w:lineRule="auto"/>
      </w:pPr>
      <w:r>
        <w:t xml:space="preserve">If the plaintiff misses the limitation period, she still has a claim…but she cannot enforce that claim through the courts unless there are very special circumstances.  From a practical perspective, this means that the plaintiff likely will not be able to get a remedy.  A special exception applies to </w:t>
      </w:r>
      <w:r>
        <w:rPr>
          <w:b/>
        </w:rPr>
        <w:t>debts</w:t>
      </w:r>
      <w:r>
        <w:t xml:space="preserve">, </w:t>
      </w:r>
      <w:r w:rsidRPr="00E02734">
        <w:t>however.</w:t>
      </w:r>
      <w:r>
        <w:t xml:space="preserve">   If a debtor acknowledges a debt after the limitation period expires, the creditor may bring an action to recover the outstanding monies even though the limitation period has passed.  Consider Ethical Perspective 11.1 on page 264 in the textbook in this regard.</w:t>
      </w:r>
    </w:p>
    <w:p w:rsidR="00290E1F" w:rsidRDefault="00290E1F" w:rsidP="00A65DC5">
      <w:pPr>
        <w:spacing w:after="0" w:line="240" w:lineRule="auto"/>
      </w:pPr>
    </w:p>
    <w:p w:rsidR="0025013E" w:rsidRDefault="0025013E" w:rsidP="00A65DC5">
      <w:pPr>
        <w:spacing w:after="0" w:line="240" w:lineRule="auto"/>
      </w:pPr>
      <w:r w:rsidRPr="00E02734">
        <w:rPr>
          <w:b/>
        </w:rPr>
        <w:t>Pleadings:</w:t>
      </w:r>
      <w:r>
        <w:t xml:space="preserve"> There are strict limits on the time that each party has to respond to the other’s pleadings.  The failure to file your pleadings in response to the other party’s pleadings could have disastrous results.  For example, if a defendant does not file a Statement of Defence on time, the plaintiff can move for a default judgment in favour of the plaintiff.  The failure to file the Statement of Defence on time is interpreted as meaning that the defendant accepts all of the plaintiff’s allegations in the Statement of Claim, including the allegation that the defendant is liable!</w:t>
      </w:r>
    </w:p>
    <w:p w:rsidR="00290E1F" w:rsidRDefault="00290E1F" w:rsidP="00A65DC5">
      <w:pPr>
        <w:spacing w:after="0" w:line="240" w:lineRule="auto"/>
      </w:pPr>
    </w:p>
    <w:p w:rsidR="0025013E" w:rsidRPr="0025013E" w:rsidRDefault="0025013E" w:rsidP="00A65DC5">
      <w:pPr>
        <w:spacing w:after="0" w:line="240" w:lineRule="auto"/>
      </w:pPr>
      <w:r w:rsidRPr="00E268CF">
        <w:rPr>
          <w:b/>
        </w:rPr>
        <w:t>If you are served with a statement of claim</w:t>
      </w:r>
      <w:r>
        <w:rPr>
          <w:b/>
        </w:rPr>
        <w:t xml:space="preserve"> or other form of pleading</w:t>
      </w:r>
      <w:r w:rsidRPr="00E268CF">
        <w:rPr>
          <w:b/>
        </w:rPr>
        <w:t>, you should immediately contact your lawyer.  Do not wait.  There are serious consequences to missing filing deadlines.</w:t>
      </w:r>
    </w:p>
    <w:p w:rsidR="00EF39CF" w:rsidRDefault="0025013E" w:rsidP="00A65DC5">
      <w:pPr>
        <w:spacing w:after="0" w:line="240" w:lineRule="auto"/>
        <w:rPr>
          <w:b/>
        </w:rPr>
      </w:pPr>
      <w:r>
        <w:rPr>
          <w:b/>
        </w:rPr>
        <w:t>T</w:t>
      </w:r>
      <w:r w:rsidR="00EF39CF" w:rsidRPr="00EF39CF">
        <w:rPr>
          <w:b/>
        </w:rPr>
        <w:t>he Litigation Process: Remedies</w:t>
      </w:r>
      <w:r w:rsidR="00EF39CF">
        <w:rPr>
          <w:b/>
        </w:rPr>
        <w:t xml:space="preserve"> and Enforcing Judgment</w:t>
      </w:r>
    </w:p>
    <w:p w:rsidR="00290E1F" w:rsidRPr="00EF39CF" w:rsidRDefault="00290E1F" w:rsidP="00A65DC5">
      <w:pPr>
        <w:spacing w:after="0" w:line="240" w:lineRule="auto"/>
        <w:rPr>
          <w:b/>
        </w:rPr>
      </w:pPr>
    </w:p>
    <w:p w:rsidR="00EF39CF" w:rsidRDefault="00EF39CF" w:rsidP="00A65DC5">
      <w:pPr>
        <w:spacing w:after="0" w:line="240" w:lineRule="auto"/>
      </w:pPr>
      <w:r>
        <w:t xml:space="preserve">If the plaintiff wins its case at trial, the plaintiff will be entitled to a remedy.  In civil litigation, the most common remedy is compensatory damages.  Other remedies, along with a brief description of these remedies, are set out in the table below.  </w:t>
      </w:r>
    </w:p>
    <w:p w:rsidR="00DF0CB3" w:rsidRDefault="00DF0CB3">
      <w:r>
        <w:br w:type="page"/>
      </w:r>
    </w:p>
    <w:tbl>
      <w:tblPr>
        <w:tblStyle w:val="TableGrid"/>
        <w:tblW w:w="0" w:type="auto"/>
        <w:tblLook w:val="04A0" w:firstRow="1" w:lastRow="0" w:firstColumn="1" w:lastColumn="0" w:noHBand="0" w:noVBand="1"/>
      </w:tblPr>
      <w:tblGrid>
        <w:gridCol w:w="3192"/>
        <w:gridCol w:w="3192"/>
        <w:gridCol w:w="3192"/>
      </w:tblGrid>
      <w:tr w:rsidR="00EF39CF" w:rsidTr="00EF39CF">
        <w:tc>
          <w:tcPr>
            <w:tcW w:w="3192" w:type="dxa"/>
          </w:tcPr>
          <w:p w:rsidR="00EF39CF" w:rsidRPr="00CA3A50" w:rsidRDefault="00EF39CF" w:rsidP="00A65DC5">
            <w:pPr>
              <w:rPr>
                <w:b/>
              </w:rPr>
            </w:pPr>
            <w:r w:rsidRPr="00CA3A50">
              <w:rPr>
                <w:b/>
              </w:rPr>
              <w:lastRenderedPageBreak/>
              <w:t>Remedy</w:t>
            </w:r>
          </w:p>
        </w:tc>
        <w:tc>
          <w:tcPr>
            <w:tcW w:w="3192" w:type="dxa"/>
          </w:tcPr>
          <w:p w:rsidR="00EF39CF" w:rsidRPr="00CA3A50" w:rsidRDefault="00EF39CF" w:rsidP="00A65DC5">
            <w:pPr>
              <w:rPr>
                <w:b/>
              </w:rPr>
            </w:pPr>
            <w:r w:rsidRPr="00CA3A50">
              <w:rPr>
                <w:b/>
              </w:rPr>
              <w:t xml:space="preserve">Description </w:t>
            </w:r>
          </w:p>
        </w:tc>
        <w:tc>
          <w:tcPr>
            <w:tcW w:w="3192" w:type="dxa"/>
          </w:tcPr>
          <w:p w:rsidR="00EF39CF" w:rsidRPr="00CA3A50" w:rsidRDefault="00EF39CF" w:rsidP="00A65DC5">
            <w:pPr>
              <w:rPr>
                <w:b/>
              </w:rPr>
            </w:pPr>
            <w:r w:rsidRPr="00CA3A50">
              <w:rPr>
                <w:b/>
              </w:rPr>
              <w:t>Example</w:t>
            </w:r>
          </w:p>
        </w:tc>
      </w:tr>
      <w:tr w:rsidR="00EF39CF" w:rsidTr="00EF39CF">
        <w:tc>
          <w:tcPr>
            <w:tcW w:w="3192" w:type="dxa"/>
          </w:tcPr>
          <w:p w:rsidR="00EF39CF" w:rsidRDefault="00EF39CF" w:rsidP="00A65DC5">
            <w:r>
              <w:t>Compensatory damages</w:t>
            </w:r>
          </w:p>
        </w:tc>
        <w:tc>
          <w:tcPr>
            <w:tcW w:w="3192" w:type="dxa"/>
          </w:tcPr>
          <w:p w:rsidR="00EF39CF" w:rsidRDefault="00EF39CF" w:rsidP="00A65DC5">
            <w:r>
              <w:t>Pay the plaintiff money to compensate for the plaintiff’s loss</w:t>
            </w:r>
          </w:p>
        </w:tc>
        <w:tc>
          <w:tcPr>
            <w:tcW w:w="3192" w:type="dxa"/>
          </w:tcPr>
          <w:p w:rsidR="00EF39CF" w:rsidRDefault="00CA3A50" w:rsidP="00A65DC5">
            <w:r>
              <w:t>Provide an injured plaintiff with the amount he lost as a result of not being able to work and the amount spent on medical bills</w:t>
            </w:r>
          </w:p>
        </w:tc>
      </w:tr>
      <w:tr w:rsidR="00EF39CF" w:rsidTr="00EF39CF">
        <w:tc>
          <w:tcPr>
            <w:tcW w:w="3192" w:type="dxa"/>
          </w:tcPr>
          <w:p w:rsidR="00EF39CF" w:rsidRDefault="00EF39CF" w:rsidP="00A65DC5">
            <w:r>
              <w:t>Punitive damages</w:t>
            </w:r>
          </w:p>
        </w:tc>
        <w:tc>
          <w:tcPr>
            <w:tcW w:w="3192" w:type="dxa"/>
          </w:tcPr>
          <w:p w:rsidR="00EF39CF" w:rsidRDefault="00EF39CF" w:rsidP="00A65DC5">
            <w:r>
              <w:t>Pay the plaintiff money as a means of punishing the defendant for acting very badly</w:t>
            </w:r>
          </w:p>
        </w:tc>
        <w:tc>
          <w:tcPr>
            <w:tcW w:w="3192" w:type="dxa"/>
          </w:tcPr>
          <w:p w:rsidR="00EF39CF" w:rsidRDefault="00CA3A50" w:rsidP="00A65DC5">
            <w:r>
              <w:t>Punish an insurance company that made up allegations of arson in order to avoid paying a benefit under an insurance policy</w:t>
            </w:r>
          </w:p>
        </w:tc>
      </w:tr>
      <w:tr w:rsidR="00EF39CF" w:rsidTr="00EF39CF">
        <w:tc>
          <w:tcPr>
            <w:tcW w:w="3192" w:type="dxa"/>
          </w:tcPr>
          <w:p w:rsidR="00EF39CF" w:rsidRDefault="00EF39CF" w:rsidP="00A65DC5">
            <w:r>
              <w:t>Nominal damages</w:t>
            </w:r>
          </w:p>
        </w:tc>
        <w:tc>
          <w:tcPr>
            <w:tcW w:w="3192" w:type="dxa"/>
          </w:tcPr>
          <w:p w:rsidR="00EF39CF" w:rsidRDefault="00EF39CF" w:rsidP="00A65DC5">
            <w:r>
              <w:t>Pay the plaintiff a very small amount of money (e.g., $1) to recognize symbolically that the defendant acted wrongfully even though the plaintiff did not suffer any loss</w:t>
            </w:r>
          </w:p>
        </w:tc>
        <w:tc>
          <w:tcPr>
            <w:tcW w:w="3192" w:type="dxa"/>
          </w:tcPr>
          <w:p w:rsidR="00EF39CF" w:rsidRDefault="00CA3A50" w:rsidP="00A65DC5">
            <w:r>
              <w:t>Recognize the right of a store that sued for trespass even though the unwanted customer did not do any harm</w:t>
            </w:r>
          </w:p>
        </w:tc>
      </w:tr>
      <w:tr w:rsidR="00EF39CF" w:rsidTr="00EF39CF">
        <w:tc>
          <w:tcPr>
            <w:tcW w:w="3192" w:type="dxa"/>
          </w:tcPr>
          <w:p w:rsidR="00EF39CF" w:rsidRDefault="00EF39CF" w:rsidP="00A65DC5">
            <w:r>
              <w:t>Specific performance</w:t>
            </w:r>
          </w:p>
        </w:tc>
        <w:tc>
          <w:tcPr>
            <w:tcW w:w="3192" w:type="dxa"/>
          </w:tcPr>
          <w:p w:rsidR="00EF39CF" w:rsidRDefault="00EF39CF" w:rsidP="00A65DC5">
            <w:r>
              <w:t>Order the defendant to fulfill a contractual promise</w:t>
            </w:r>
          </w:p>
          <w:p w:rsidR="00EF39CF" w:rsidRDefault="00EF39CF" w:rsidP="00A65DC5">
            <w:r>
              <w:t>***equitable remedy</w:t>
            </w:r>
          </w:p>
        </w:tc>
        <w:tc>
          <w:tcPr>
            <w:tcW w:w="3192" w:type="dxa"/>
          </w:tcPr>
          <w:p w:rsidR="00EF39CF" w:rsidRDefault="00CA3A50" w:rsidP="00A65DC5">
            <w:r>
              <w:t>Force a defendant who promised to sell a piece of land to the plaintiff to go through with the sale</w:t>
            </w:r>
          </w:p>
        </w:tc>
      </w:tr>
      <w:tr w:rsidR="00EF39CF" w:rsidTr="00EF39CF">
        <w:tc>
          <w:tcPr>
            <w:tcW w:w="3192" w:type="dxa"/>
          </w:tcPr>
          <w:p w:rsidR="00EF39CF" w:rsidRDefault="00EF39CF" w:rsidP="00A65DC5">
            <w:r>
              <w:t>Injunction</w:t>
            </w:r>
          </w:p>
        </w:tc>
        <w:tc>
          <w:tcPr>
            <w:tcW w:w="3192" w:type="dxa"/>
          </w:tcPr>
          <w:p w:rsidR="00EF39CF" w:rsidRDefault="00EF39CF" w:rsidP="00A65DC5">
            <w:r>
              <w:t>Require the defendant to act in a certain way (e.g., to do something or to stop doing something)</w:t>
            </w:r>
          </w:p>
          <w:p w:rsidR="00EF39CF" w:rsidRDefault="00EF39CF" w:rsidP="00A65DC5">
            <w:r>
              <w:t>***equitable remedy</w:t>
            </w:r>
          </w:p>
        </w:tc>
        <w:tc>
          <w:tcPr>
            <w:tcW w:w="3192" w:type="dxa"/>
          </w:tcPr>
          <w:p w:rsidR="00EF39CF" w:rsidRDefault="00CA3A50" w:rsidP="00A65DC5">
            <w:r>
              <w:t>Force the defendant to stop cutting through the plaintiff’s backyard or force a construction company to remove its equipment from a neighbour’s property</w:t>
            </w:r>
          </w:p>
        </w:tc>
      </w:tr>
      <w:tr w:rsidR="00EF39CF" w:rsidTr="00EF39CF">
        <w:tc>
          <w:tcPr>
            <w:tcW w:w="3192" w:type="dxa"/>
          </w:tcPr>
          <w:p w:rsidR="00EF39CF" w:rsidRDefault="00EF39CF" w:rsidP="00A65DC5">
            <w:r>
              <w:t>Rescission</w:t>
            </w:r>
          </w:p>
        </w:tc>
        <w:tc>
          <w:tcPr>
            <w:tcW w:w="3192" w:type="dxa"/>
          </w:tcPr>
          <w:p w:rsidR="00EF39CF" w:rsidRDefault="00EF39CF" w:rsidP="00A65DC5">
            <w:r>
              <w:t>Terminate a contract</w:t>
            </w:r>
          </w:p>
          <w:p w:rsidR="00EF39CF" w:rsidRDefault="00EF39CF" w:rsidP="00A65DC5">
            <w:r>
              <w:t>***equitable remedy</w:t>
            </w:r>
          </w:p>
        </w:tc>
        <w:tc>
          <w:tcPr>
            <w:tcW w:w="3192" w:type="dxa"/>
          </w:tcPr>
          <w:p w:rsidR="00EF39CF" w:rsidRDefault="00CA3A50" w:rsidP="00A65DC5">
            <w:r>
              <w:t>Eliminate a contract that was created by a con artist who tricked an elderly couple into signing</w:t>
            </w:r>
          </w:p>
        </w:tc>
      </w:tr>
      <w:tr w:rsidR="00FF1188" w:rsidTr="00394D37">
        <w:tc>
          <w:tcPr>
            <w:tcW w:w="9576" w:type="dxa"/>
            <w:gridSpan w:val="3"/>
          </w:tcPr>
          <w:p w:rsidR="00FF1188" w:rsidRDefault="00FF1188" w:rsidP="00A65DC5">
            <w:r>
              <w:t xml:space="preserve">Table adapted from </w:t>
            </w:r>
            <w:proofErr w:type="spellStart"/>
            <w:r w:rsidRPr="00B30238">
              <w:rPr>
                <w:bCs/>
              </w:rPr>
              <w:t>McInnes</w:t>
            </w:r>
            <w:proofErr w:type="spellEnd"/>
            <w:r w:rsidRPr="00B30238">
              <w:rPr>
                <w:bCs/>
              </w:rPr>
              <w:t xml:space="preserve"> et al., </w:t>
            </w:r>
            <w:r w:rsidRPr="00616F2D">
              <w:rPr>
                <w:bCs/>
                <w:i/>
                <w:iCs/>
              </w:rPr>
              <w:t>Managing the Law: The Legal Aspects of Doing Business</w:t>
            </w:r>
            <w:r>
              <w:rPr>
                <w:bCs/>
              </w:rPr>
              <w:t>, 3rd edition (Toronto: Pearson Canada, 2011) at 38.</w:t>
            </w:r>
          </w:p>
        </w:tc>
      </w:tr>
    </w:tbl>
    <w:p w:rsidR="00EF39CF" w:rsidRDefault="00EF39CF" w:rsidP="00A65DC5">
      <w:pPr>
        <w:spacing w:after="0" w:line="240" w:lineRule="auto"/>
      </w:pPr>
    </w:p>
    <w:p w:rsidR="00491415" w:rsidRDefault="00491415" w:rsidP="00A65DC5">
      <w:pPr>
        <w:spacing w:after="0" w:line="240" w:lineRule="auto"/>
      </w:pPr>
      <w:r>
        <w:t xml:space="preserve">Once a defendant has been found liable and ordered to pay damages, the defendant becomes a </w:t>
      </w:r>
      <w:r>
        <w:rPr>
          <w:b/>
        </w:rPr>
        <w:t>judgment debtor</w:t>
      </w:r>
      <w:r>
        <w:t xml:space="preserve"> (because the defendant owes the plaintiff a debt pursuant to a judgment).  If a judgment debtor does not pay, the plaintiff </w:t>
      </w:r>
      <w:r w:rsidR="00F51EA5">
        <w:t xml:space="preserve">has a few options.  For example, the plaintiff can </w:t>
      </w:r>
      <w:r w:rsidR="00F51EA5">
        <w:rPr>
          <w:b/>
        </w:rPr>
        <w:t xml:space="preserve">garnish </w:t>
      </w:r>
      <w:r w:rsidR="00F51EA5">
        <w:t xml:space="preserve">the judgment debtor’s income by getting a court order that requires the debtor’s employer to pay a portion of the debtor’s wages to the plaintiff.  The plaintiff can also get a court order to </w:t>
      </w:r>
      <w:r w:rsidR="00F51EA5">
        <w:rPr>
          <w:b/>
        </w:rPr>
        <w:t>seize and sell</w:t>
      </w:r>
      <w:r w:rsidR="00F51EA5">
        <w:t xml:space="preserve"> some of the judgment debtor’s assets, such as land, vehicles, computers, or other equipment.  However, judgment debtors may not be stripped bare, that is, left with nothing and with no means to earn a living.  So, if the judgment debtor is a freelance writer, the plaintiff likely will not be able to have her computer seized and sold since the debtor likely uses the computer to write and to file stories.</w:t>
      </w:r>
    </w:p>
    <w:p w:rsidR="00491415" w:rsidRDefault="00527C61" w:rsidP="00A65DC5">
      <w:pPr>
        <w:spacing w:after="0" w:line="240" w:lineRule="auto"/>
      </w:pPr>
      <w:r>
        <w:t>From a business perspective, the question of whether a defendant will be able to pay damages if the action is successful is an important one.  Litigation is very costly, and it may not make sense to sue a defendant if that defendant is unlikely to be able to pay a judgment.   The cost of litigation and a defendant’s ability to pay are also reasons to consider using alternative means of dispute resolution such as mediation.  We will discuss ADR below.</w:t>
      </w:r>
    </w:p>
    <w:p w:rsidR="00326B30" w:rsidRDefault="00326B30" w:rsidP="00A65DC5">
      <w:pPr>
        <w:spacing w:after="0" w:line="240" w:lineRule="auto"/>
        <w:rPr>
          <w:b/>
        </w:rPr>
      </w:pPr>
    </w:p>
    <w:p w:rsidR="00DC283E" w:rsidRPr="00DC283E" w:rsidRDefault="00DC283E" w:rsidP="00A65DC5">
      <w:pPr>
        <w:spacing w:after="0" w:line="240" w:lineRule="auto"/>
        <w:rPr>
          <w:b/>
        </w:rPr>
      </w:pPr>
      <w:r w:rsidRPr="00DC283E">
        <w:rPr>
          <w:b/>
        </w:rPr>
        <w:t>The Litigation Process: Costs</w:t>
      </w:r>
    </w:p>
    <w:p w:rsidR="001E5E75" w:rsidRDefault="00982FE8" w:rsidP="00A65DC5">
      <w:pPr>
        <w:spacing w:after="0" w:line="240" w:lineRule="auto"/>
      </w:pPr>
      <w:r>
        <w:t xml:space="preserve">Litigation is expensive.  The </w:t>
      </w:r>
      <w:r w:rsidRPr="00982FE8">
        <w:rPr>
          <w:b/>
        </w:rPr>
        <w:t>costs</w:t>
      </w:r>
      <w:r>
        <w:rPr>
          <w:b/>
        </w:rPr>
        <w:t xml:space="preserve"> </w:t>
      </w:r>
      <w:r>
        <w:t>of an action include lawyers’ fees, disbursements (e.g., charges for photocopying), and filing fees.</w:t>
      </w:r>
      <w:r w:rsidR="001E5E75">
        <w:t xml:space="preserve">  </w:t>
      </w:r>
    </w:p>
    <w:p w:rsidR="00DC283E" w:rsidRDefault="00BF2EC2" w:rsidP="00A65DC5">
      <w:pPr>
        <w:spacing w:after="0" w:line="240" w:lineRule="auto"/>
      </w:pPr>
      <w:r>
        <w:t>Canadian jurisdictions have an interesting rule concerning the costs of litigation.  The general rule is that the losing party pays the costs of the winning party, although the costs that are awarded are set using specific formulae that do not reflect the actual costs of the litigation.</w:t>
      </w:r>
      <w:r w:rsidR="00982FE8">
        <w:t xml:space="preserve">  In Ontario, for example, the typical cost award covers between 40 to 50 percent of the actual costs of litigation, although in unusual cases the award may be as high as 70 to 80 percent.</w:t>
      </w:r>
      <w:r w:rsidR="005668BE">
        <w:t xml:space="preserve">  Thus, even if you win at trial or on appeal, you will still have to pay a portion of your own costs.  Moreover, cost awards do not cover the internal costs of litigation.</w:t>
      </w:r>
    </w:p>
    <w:p w:rsidR="00326B30" w:rsidRDefault="00326B30" w:rsidP="00A65DC5">
      <w:pPr>
        <w:spacing w:after="0" w:line="240" w:lineRule="auto"/>
      </w:pPr>
    </w:p>
    <w:p w:rsidR="006E6369" w:rsidRDefault="00913E72" w:rsidP="00A65DC5">
      <w:pPr>
        <w:spacing w:after="0" w:line="240" w:lineRule="auto"/>
        <w:rPr>
          <w:b/>
        </w:rPr>
      </w:pPr>
      <w:r w:rsidRPr="002B38A7">
        <w:t>Contingency fee agreements can reduce the risk associated with the high costs of litigation.  When a client has a contingency fee agreement with a lawyer, the client only has to pay the lawyer’s fees if the lawsuit is successful.</w:t>
      </w:r>
      <w:r w:rsidR="00450356" w:rsidRPr="002B38A7">
        <w:t xml:space="preserve">   </w:t>
      </w:r>
      <w:r w:rsidR="004E6D9D" w:rsidRPr="002B38A7">
        <w:t xml:space="preserve">While this may sound very attractive, it is important to realize that because the lawyer is taking a risk with such an arrangement, the client will pay a premium on the legal fees if the lawsuit is successful. </w:t>
      </w:r>
      <w:r w:rsidR="004E6D9D" w:rsidRPr="0004229A">
        <w:rPr>
          <w:b/>
        </w:rPr>
        <w:t xml:space="preserve"> </w:t>
      </w:r>
    </w:p>
    <w:p w:rsidR="00326B30" w:rsidRDefault="00326B30" w:rsidP="00A65DC5">
      <w:pPr>
        <w:spacing w:after="0" w:line="240" w:lineRule="auto"/>
        <w:rPr>
          <w:b/>
        </w:rPr>
      </w:pPr>
    </w:p>
    <w:p w:rsidR="00450356" w:rsidRDefault="002B5204" w:rsidP="00A65DC5">
      <w:pPr>
        <w:spacing w:after="0" w:line="240" w:lineRule="auto"/>
      </w:pPr>
      <w:r>
        <w:rPr>
          <w:b/>
        </w:rPr>
        <w:t>The Litigation Process: Appeals</w:t>
      </w:r>
    </w:p>
    <w:p w:rsidR="002B5204" w:rsidRDefault="002B5204" w:rsidP="00A65DC5">
      <w:pPr>
        <w:spacing w:after="0" w:line="240" w:lineRule="auto"/>
      </w:pPr>
      <w:r>
        <w:t xml:space="preserve">Trials are not necessarily the last stage of a lawsuit.  In some cases, the losing party may </w:t>
      </w:r>
      <w:r w:rsidRPr="002B5204">
        <w:rPr>
          <w:b/>
        </w:rPr>
        <w:t>appeal</w:t>
      </w:r>
      <w:r>
        <w:t xml:space="preserve"> to a higher court.  During an appeal, a higher court (the appellate court) will decide whether a mistake was made in the court below.  The party that appeals the lower court’s decision is called the </w:t>
      </w:r>
      <w:r>
        <w:rPr>
          <w:b/>
        </w:rPr>
        <w:t xml:space="preserve">appellant </w:t>
      </w:r>
      <w:r>
        <w:t xml:space="preserve">and the party that seeks to uphold the lower court’s decision is called the </w:t>
      </w:r>
      <w:r>
        <w:rPr>
          <w:b/>
        </w:rPr>
        <w:t>respondent</w:t>
      </w:r>
      <w:r>
        <w:t xml:space="preserve">.  </w:t>
      </w:r>
    </w:p>
    <w:p w:rsidR="00326B30" w:rsidRDefault="00326B30" w:rsidP="00A65DC5">
      <w:pPr>
        <w:spacing w:after="0" w:line="240" w:lineRule="auto"/>
      </w:pPr>
    </w:p>
    <w:p w:rsidR="002B5204" w:rsidRDefault="00A42086" w:rsidP="00A65DC5">
      <w:pPr>
        <w:spacing w:after="0" w:line="240" w:lineRule="auto"/>
      </w:pPr>
      <w:r>
        <w:t xml:space="preserve">In some cases, parties have a right to appeal the decision of the lower court to a higher court, but not always.  </w:t>
      </w:r>
      <w:r w:rsidR="002B38A7">
        <w:t>I</w:t>
      </w:r>
      <w:r>
        <w:t xml:space="preserve">n Ontario, certain trial decisions can be appealed to the Superior Court as a matter of right, but virtually all cases appealed to the Ontario Court of Appeal require the </w:t>
      </w:r>
      <w:r>
        <w:rPr>
          <w:b/>
        </w:rPr>
        <w:t xml:space="preserve">leave </w:t>
      </w:r>
      <w:r>
        <w:t xml:space="preserve">of the court to proceed and all cases heard by the Supreme Court of Canada require the </w:t>
      </w:r>
      <w:r>
        <w:rPr>
          <w:b/>
        </w:rPr>
        <w:t xml:space="preserve">leave </w:t>
      </w:r>
      <w:r>
        <w:t xml:space="preserve">of the court.  “Leave” means that the appellate court must give its permission for a party to bring its appeal before that court.  </w:t>
      </w:r>
      <w:r w:rsidR="00914FD7">
        <w:t xml:space="preserve">  </w:t>
      </w:r>
    </w:p>
    <w:p w:rsidR="00326B30" w:rsidRDefault="00326B30" w:rsidP="00A65DC5">
      <w:pPr>
        <w:spacing w:after="0" w:line="240" w:lineRule="auto"/>
      </w:pPr>
    </w:p>
    <w:p w:rsidR="00DC20A2" w:rsidRDefault="006A3D6D" w:rsidP="00A65DC5">
      <w:pPr>
        <w:spacing w:after="0" w:line="240" w:lineRule="auto"/>
      </w:pPr>
      <w:r>
        <w:t>A</w:t>
      </w:r>
      <w:r w:rsidR="00B84FDA">
        <w:t>ppellate courts focus on the law, not on the facts.</w:t>
      </w:r>
      <w:r w:rsidR="00445DAE">
        <w:t xml:space="preserve">  The issue before appellate courts is whether the lower court made a legal error.  As a general rule, appellate courts accept the factual findings established at trial.  </w:t>
      </w:r>
      <w:r w:rsidR="0008498C">
        <w:t>As a related matter, parties generally cannot introduce new evidence on appeal.</w:t>
      </w:r>
      <w:r w:rsidR="0068551A">
        <w:t xml:space="preserve">  Appellate courts hear and read legal arguments from the parties or their lawyers; there are no witnesses and no evidence is submitted.  </w:t>
      </w:r>
    </w:p>
    <w:p w:rsidR="00326B30" w:rsidRDefault="00326B30" w:rsidP="00A65DC5">
      <w:pPr>
        <w:spacing w:after="0" w:line="240" w:lineRule="auto"/>
      </w:pPr>
    </w:p>
    <w:p w:rsidR="00DC20A2" w:rsidRPr="00445DAE" w:rsidRDefault="00B057C8" w:rsidP="00A65DC5">
      <w:pPr>
        <w:spacing w:after="0" w:line="240" w:lineRule="auto"/>
      </w:pPr>
      <w:r>
        <w:t>There are a variety of outcomes possible on a</w:t>
      </w:r>
      <w:r w:rsidR="0087139F">
        <w:t xml:space="preserve">ppeal.  The appellate court may affirm (i.e., uphold) the decision of the lower court; reverse the decision of the lower court; vary the decision of the lower court; or order a re-trial. </w:t>
      </w:r>
    </w:p>
    <w:p w:rsidR="00326B30" w:rsidRDefault="00326B30" w:rsidP="00A65DC5">
      <w:pPr>
        <w:spacing w:after="0" w:line="240" w:lineRule="auto"/>
        <w:rPr>
          <w:b/>
        </w:rPr>
      </w:pPr>
    </w:p>
    <w:p w:rsidR="00B84FDA" w:rsidRPr="00DC20A2" w:rsidRDefault="00DC20A2" w:rsidP="00A65DC5">
      <w:pPr>
        <w:spacing w:after="0" w:line="240" w:lineRule="auto"/>
        <w:rPr>
          <w:b/>
        </w:rPr>
      </w:pPr>
      <w:r w:rsidRPr="00DC20A2">
        <w:rPr>
          <w:b/>
        </w:rPr>
        <w:t>The Court System: The Courts in Canada</w:t>
      </w:r>
    </w:p>
    <w:p w:rsidR="002B5204" w:rsidRDefault="00F13030" w:rsidP="00A65DC5">
      <w:pPr>
        <w:spacing w:after="0" w:line="240" w:lineRule="auto"/>
      </w:pPr>
      <w:r>
        <w:t>Each province has its own court system that is separate from the courts in other provinces.  In addition, the federal government has its own court system to address matters that come within federal jurisdiction under s. 91 of the Constitution (e.g., copyright, interprovincial trade and commerce, railways, telecommunications and broadcasting).  However, the Supreme Court of Canada is the highest court throughout Canada; it sits at the top of the court hierarchy in every province and in the federal court system.</w:t>
      </w:r>
    </w:p>
    <w:p w:rsidR="00FF6C27" w:rsidRDefault="00F13030" w:rsidP="00A65DC5">
      <w:pPr>
        <w:spacing w:after="0" w:line="240" w:lineRule="auto"/>
      </w:pPr>
      <w:r>
        <w:lastRenderedPageBreak/>
        <w:t>Canadian courts are arranged in a specific hierarchy</w:t>
      </w:r>
      <w:r w:rsidR="00F640B7">
        <w:t xml:space="preserve"> according to their importance.  This hierarchy determines, for example, where you begin your lawsuit, to which courts you can appeal decisions, and the judicial decisions that judges themselves must follow.  Each court within the hierarchy has its own set of procedures and rules.</w:t>
      </w:r>
      <w:r w:rsidR="00767970">
        <w:t xml:space="preserve">  Set out below are the hierarchies of the Ontario court system and the federal court system.</w:t>
      </w:r>
    </w:p>
    <w:p w:rsidR="00FF6C27" w:rsidRPr="002112ED" w:rsidRDefault="00FF6C27" w:rsidP="00A65DC5">
      <w:pPr>
        <w:spacing w:after="0" w:line="240" w:lineRule="auto"/>
        <w:rPr>
          <w:b/>
        </w:rPr>
      </w:pPr>
      <w:r w:rsidRPr="002112ED">
        <w:rPr>
          <w:b/>
        </w:rPr>
        <w:t>The Federal Court System Hierarchy</w:t>
      </w:r>
    </w:p>
    <w:p w:rsidR="00326B30" w:rsidRDefault="002112ED" w:rsidP="00A65DC5">
      <w:pPr>
        <w:spacing w:after="0" w:line="240" w:lineRule="auto"/>
      </w:pPr>
      <w:r>
        <w:rPr>
          <w:noProof/>
          <w:lang w:eastAsia="en-CA"/>
        </w:rPr>
        <w:drawing>
          <wp:anchor distT="0" distB="0" distL="114300" distR="114300" simplePos="0" relativeHeight="251659264" behindDoc="0" locked="0" layoutInCell="1" allowOverlap="1">
            <wp:simplePos x="0" y="0"/>
            <wp:positionH relativeFrom="column">
              <wp:posOffset>0</wp:posOffset>
            </wp:positionH>
            <wp:positionV relativeFrom="paragraph">
              <wp:posOffset>-1905</wp:posOffset>
            </wp:positionV>
            <wp:extent cx="3146425" cy="2612390"/>
            <wp:effectExtent l="0" t="0" r="15875" b="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p>
    <w:p w:rsidR="00652EF2" w:rsidRDefault="00EE3DC2" w:rsidP="00A65DC5">
      <w:pPr>
        <w:spacing w:after="0" w:line="240" w:lineRule="auto"/>
      </w:pPr>
      <w:r>
        <w:t>Small Claims Court</w:t>
      </w:r>
      <w:r w:rsidR="00652EF2">
        <w:t xml:space="preserve"> serves a special function in Ontario and other Canadian provinces.</w:t>
      </w:r>
      <w:r w:rsidR="008D73DD">
        <w:rPr>
          <w:rStyle w:val="FootnoteReference"/>
        </w:rPr>
        <w:footnoteReference w:id="2"/>
      </w:r>
      <w:r w:rsidR="00652EF2">
        <w:t xml:space="preserve">  These types of courts deal with claims that involve a limited amount of money.  In Ontario, the current limit for a small claims case is $25,000.  This means that the maximum amount of damages that the Court can award is $25,000.  A plaintiff who has suffered a loss of $30,000 may still bring an action in Small Claims Court; however, the plaintiff will only receive a maximum of $25,000 and will have to abandon his claim for the remaining $5000.</w:t>
      </w:r>
    </w:p>
    <w:p w:rsidR="00672D06" w:rsidRDefault="00672D06" w:rsidP="00A65DC5">
      <w:pPr>
        <w:spacing w:after="0" w:line="240" w:lineRule="auto"/>
      </w:pPr>
    </w:p>
    <w:p w:rsidR="008D73DD" w:rsidRDefault="00652EF2" w:rsidP="00A65DC5">
      <w:pPr>
        <w:spacing w:after="0" w:line="240" w:lineRule="auto"/>
      </w:pPr>
      <w:r>
        <w:t xml:space="preserve">There are important advantages to bringing </w:t>
      </w:r>
      <w:r w:rsidR="000B0135">
        <w:t xml:space="preserve">an action in Small Claims Court.  </w:t>
      </w:r>
      <w:r w:rsidR="008D73DD">
        <w:t xml:space="preserve">Small Claims Court is generally faster, simpler, and less expensive than trials brought in the Superior Court of Justice.  The rules of evidence are relaxed and the filing fees for things like a Statement of Claim are less than in other courts.  Small Claims Court is essentially designed for people who are self-represented and </w:t>
      </w:r>
      <w:r w:rsidR="00EE4D9C">
        <w:t>is</w:t>
      </w:r>
      <w:r w:rsidR="008D73DD">
        <w:t xml:space="preserve"> a means of improving efficiency in the court system and facilitating access to justice.</w:t>
      </w:r>
    </w:p>
    <w:p w:rsidR="008D73DD" w:rsidRDefault="008D73DD" w:rsidP="00A65DC5">
      <w:pPr>
        <w:spacing w:after="0" w:line="240" w:lineRule="auto"/>
      </w:pPr>
      <w:r>
        <w:t>Notwithstanding the advantages of Small Claims Courts, there are also some drawbacks.</w:t>
      </w:r>
    </w:p>
    <w:p w:rsidR="008D73DD" w:rsidRDefault="00672D06" w:rsidP="00A65DC5">
      <w:pPr>
        <w:pStyle w:val="ListParagraph"/>
        <w:numPr>
          <w:ilvl w:val="0"/>
          <w:numId w:val="15"/>
        </w:numPr>
        <w:spacing w:after="0" w:line="240" w:lineRule="auto"/>
      </w:pPr>
      <w:r>
        <w:rPr>
          <w:noProof/>
          <w:lang w:eastAsia="en-CA"/>
        </w:rPr>
        <w:drawing>
          <wp:anchor distT="0" distB="0" distL="114300" distR="114300" simplePos="0" relativeHeight="251661312" behindDoc="1" locked="0" layoutInCell="1" allowOverlap="1" wp14:anchorId="6439D2F6" wp14:editId="195F0EB2">
            <wp:simplePos x="0" y="0"/>
            <wp:positionH relativeFrom="column">
              <wp:posOffset>-433705</wp:posOffset>
            </wp:positionH>
            <wp:positionV relativeFrom="paragraph">
              <wp:posOffset>595630</wp:posOffset>
            </wp:positionV>
            <wp:extent cx="7077075" cy="3585845"/>
            <wp:effectExtent l="0" t="0" r="0" b="0"/>
            <wp:wrapSquare wrapText="bothSides"/>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r w:rsidR="008D73DD">
        <w:rPr>
          <w:b/>
        </w:rPr>
        <w:t xml:space="preserve">Types of Remedies: </w:t>
      </w:r>
      <w:r w:rsidR="008D73DD">
        <w:t xml:space="preserve">Small claims courts in Ontario do not have </w:t>
      </w:r>
      <w:r w:rsidR="008D73DD">
        <w:rPr>
          <w:i/>
        </w:rPr>
        <w:t>equitable jurisdiction</w:t>
      </w:r>
      <w:r w:rsidR="008D73DD">
        <w:t xml:space="preserve"> and thus they cannot award </w:t>
      </w:r>
      <w:r w:rsidR="006363B0">
        <w:t>equitable remedies such as injunctions or specific performance.</w:t>
      </w:r>
    </w:p>
    <w:p w:rsidR="006363B0" w:rsidRPr="008D73DD" w:rsidRDefault="006363B0" w:rsidP="00A65DC5">
      <w:pPr>
        <w:pStyle w:val="ListParagraph"/>
        <w:numPr>
          <w:ilvl w:val="0"/>
          <w:numId w:val="15"/>
        </w:numPr>
        <w:spacing w:after="0" w:line="240" w:lineRule="auto"/>
      </w:pPr>
      <w:r w:rsidRPr="006363B0">
        <w:rPr>
          <w:b/>
        </w:rPr>
        <w:t>Monetary Limits:</w:t>
      </w:r>
      <w:r>
        <w:t xml:space="preserve">  Small claims courts can only hear </w:t>
      </w:r>
      <w:r w:rsidRPr="006363B0">
        <w:rPr>
          <w:i/>
        </w:rPr>
        <w:t xml:space="preserve">small </w:t>
      </w:r>
      <w:r>
        <w:t xml:space="preserve">claims, and what counts as a “small </w:t>
      </w:r>
      <w:r>
        <w:lastRenderedPageBreak/>
        <w:t>claim” is defined in terms of the amount of money at stake.  These courts have no jurisdiction to award damages in excess of the small claim limit.  As noted above, in Ontario, the current limit is $25,000.  A large claim (e.g., $45,000) cannot be broken into two smaller claims (e.g., $20,000 and $25,000) that are brought separately to get around the monetary limit in Small Claims Court.  A plaintiff can, however, abandon part of her claim or limit her claim for damages to $25,000 even if the claim is really worth more in order to avail herself of Small Claims Court.</w:t>
      </w:r>
    </w:p>
    <w:p w:rsidR="008D73DD" w:rsidRDefault="008D73DD" w:rsidP="00A65DC5">
      <w:pPr>
        <w:pStyle w:val="ListParagraph"/>
        <w:numPr>
          <w:ilvl w:val="0"/>
          <w:numId w:val="15"/>
        </w:numPr>
        <w:spacing w:after="0" w:line="240" w:lineRule="auto"/>
      </w:pPr>
      <w:r>
        <w:rPr>
          <w:b/>
        </w:rPr>
        <w:t>Types of Claims</w:t>
      </w:r>
      <w:r>
        <w:t xml:space="preserve">: </w:t>
      </w:r>
      <w:r w:rsidR="006363B0">
        <w:t>As a general rule, small claims courts mostly deal with cases in which the plaintiff is suing for either a limited amount of money or the return of a piece of property that the plaintiff already owns.  Certain types of claims cannot be brought in small claims court.  Notably, small claims courts cannot hear cases that fall within federal jurisdiction, such as actions that involve copyright.</w:t>
      </w:r>
    </w:p>
    <w:p w:rsidR="006363B0" w:rsidRDefault="006363B0" w:rsidP="00A65DC5">
      <w:pPr>
        <w:pStyle w:val="ListParagraph"/>
        <w:numPr>
          <w:ilvl w:val="0"/>
          <w:numId w:val="15"/>
        </w:numPr>
        <w:spacing w:after="0" w:line="240" w:lineRule="auto"/>
      </w:pPr>
      <w:r>
        <w:rPr>
          <w:b/>
        </w:rPr>
        <w:t>Geographical limits</w:t>
      </w:r>
      <w:r w:rsidRPr="006363B0">
        <w:t>:</w:t>
      </w:r>
      <w:r>
        <w:t xml:space="preserve"> Certain geographical limits apply, including procedural rules about where a small claims court action must be started.</w:t>
      </w:r>
    </w:p>
    <w:p w:rsidR="009206CD" w:rsidRDefault="009206CD" w:rsidP="00A65DC5">
      <w:pPr>
        <w:spacing w:after="0" w:line="240" w:lineRule="auto"/>
        <w:rPr>
          <w:b/>
        </w:rPr>
      </w:pPr>
    </w:p>
    <w:p w:rsidR="008D73DD" w:rsidRDefault="001E28B5" w:rsidP="00A65DC5">
      <w:pPr>
        <w:spacing w:after="0" w:line="240" w:lineRule="auto"/>
        <w:rPr>
          <w:b/>
        </w:rPr>
      </w:pPr>
      <w:r w:rsidRPr="00DC20A2">
        <w:rPr>
          <w:b/>
        </w:rPr>
        <w:t>The Court System:</w:t>
      </w:r>
      <w:r>
        <w:rPr>
          <w:b/>
        </w:rPr>
        <w:t xml:space="preserve"> Court Hierarchy and the Doctrine of Precedent</w:t>
      </w:r>
    </w:p>
    <w:p w:rsidR="0021060D" w:rsidRDefault="0021060D" w:rsidP="00A65DC5">
      <w:pPr>
        <w:spacing w:after="0" w:line="240" w:lineRule="auto"/>
      </w:pPr>
      <w:r>
        <w:t xml:space="preserve">In a common law system, judicial decisions become part of the law.  Judges are bound by the </w:t>
      </w:r>
      <w:r>
        <w:rPr>
          <w:b/>
        </w:rPr>
        <w:t>doctrine of precedent</w:t>
      </w:r>
      <w:r>
        <w:t>, which means that the court must follow the decisions of any court that is above it in its hierarchy.  In Ontario, for example, the Ontario Court of Appeal must follow the decisions of the Supreme Court of Canada, but not the Ontario Superior Court, the Federal Court of Appeal, or the court of appeal from any other province.  The Ontario Superior Court is below the Ontario Court of Appeal in the Ontario court hierarchy.  The Federal Court of Appeal and other provincial courts of appeal are not in the Ontario Court of Appeal’s hierarchy.</w:t>
      </w:r>
    </w:p>
    <w:p w:rsidR="009206CD" w:rsidRDefault="009206CD" w:rsidP="00A65DC5">
      <w:pPr>
        <w:spacing w:after="0" w:line="240" w:lineRule="auto"/>
      </w:pPr>
    </w:p>
    <w:p w:rsidR="008D73DD" w:rsidRPr="00D126A5" w:rsidRDefault="0021060D" w:rsidP="00A65DC5">
      <w:pPr>
        <w:spacing w:after="0" w:line="240" w:lineRule="auto"/>
      </w:pPr>
      <w:r>
        <w:t xml:space="preserve">The Ontario Superior Court </w:t>
      </w:r>
      <w:r w:rsidR="00EE4D9C">
        <w:t xml:space="preserve">of Justice </w:t>
      </w:r>
      <w:r>
        <w:t>is bound by the decisions of the Supreme Court of Canada and the Ontario Court of Appeal since both of these courts are above the Superior Court in the Ontario hierarchy.  But what happens if a judge in the Ontario Superior Court is faced with a novel legal issue</w:t>
      </w:r>
      <w:r w:rsidR="00EE4D9C">
        <w:t>,</w:t>
      </w:r>
      <w:r>
        <w:t xml:space="preserve"> and neither the Supreme Court of Canada nor the Ontario Court of Appeal have made a decision about this legal issue?  In this case, the judge must decide the issue </w:t>
      </w:r>
      <w:proofErr w:type="gramStart"/>
      <w:r>
        <w:t>on her own</w:t>
      </w:r>
      <w:proofErr w:type="gramEnd"/>
      <w:r>
        <w:t>; she is not bound by any judicial decision, but she can take the decisions of other courts into account.  Decisions from courts in other jurisdictions</w:t>
      </w:r>
      <w:r w:rsidR="00D126A5">
        <w:t xml:space="preserve"> (provincial, federal, or even from other countries) are considered </w:t>
      </w:r>
      <w:r w:rsidR="00D126A5">
        <w:rPr>
          <w:b/>
        </w:rPr>
        <w:t>persuasive but not binding</w:t>
      </w:r>
      <w:r w:rsidR="00D126A5">
        <w:t>.  In other words, a judge can consider the decisions from courts outside of her court’s hierarchy and she can choose to apply those decisions, but she is not bound to do so.  The decisions of courts outside of a court’s own hierarchy are informative, but do not have to be applied.</w:t>
      </w:r>
    </w:p>
    <w:p w:rsidR="009206CD" w:rsidRDefault="009206CD" w:rsidP="00A65DC5">
      <w:pPr>
        <w:spacing w:after="0" w:line="240" w:lineRule="auto"/>
      </w:pPr>
    </w:p>
    <w:p w:rsidR="00D412D7" w:rsidRDefault="001B12BF" w:rsidP="00A65DC5">
      <w:pPr>
        <w:spacing w:after="0" w:line="240" w:lineRule="auto"/>
      </w:pPr>
      <w:r>
        <w:t>It bears mentioning that decisions of the federal courts are only binding within the federal court hierarchy.  The provincial court hierarchies are not part of the federal court hierarchy, and vice versa.  For the purposes of the doctrine of precedent and court hierarchies, a decision of the Federal Court of Appeal carries the same weight as the decision of another province’s court of appeal in Ontario: the decision is persuasive but not binding.</w:t>
      </w:r>
    </w:p>
    <w:p w:rsidR="000919DC" w:rsidRDefault="000919DC" w:rsidP="00A65DC5">
      <w:pPr>
        <w:spacing w:after="0" w:line="240" w:lineRule="auto"/>
      </w:pPr>
      <w:r>
        <w:rPr>
          <w:b/>
        </w:rPr>
        <w:t>Administrative Tribunals</w:t>
      </w:r>
    </w:p>
    <w:p w:rsidR="000F4487" w:rsidRDefault="000F4487" w:rsidP="00A65DC5">
      <w:pPr>
        <w:spacing w:after="0" w:line="240" w:lineRule="auto"/>
      </w:pPr>
      <w:r>
        <w:t>Administrative tribunals are bodies that exercise power delegated to them by the government for specific purposes.  These tribunals administer various statutes, that is, they enforce the statutory and regulatory requirements and resolve disputes related to the application of the statute.  In terms of their character, tribunals fall somewhere between the government and a court.</w:t>
      </w:r>
      <w:r w:rsidR="005D0044">
        <w:t xml:space="preserve">  Examples of tribunals include the Ontario Human Rights Tribunal, the Competition Tribunal, the Labour Board of Ontario, and the National Parole Board.</w:t>
      </w:r>
    </w:p>
    <w:p w:rsidR="009206CD" w:rsidRDefault="009206CD" w:rsidP="00A65DC5">
      <w:pPr>
        <w:spacing w:after="0" w:line="240" w:lineRule="auto"/>
        <w:rPr>
          <w:b/>
        </w:rPr>
      </w:pPr>
    </w:p>
    <w:p w:rsidR="00672D06" w:rsidRDefault="00672D06" w:rsidP="00A65DC5">
      <w:pPr>
        <w:spacing w:after="0" w:line="240" w:lineRule="auto"/>
        <w:rPr>
          <w:b/>
        </w:rPr>
      </w:pPr>
    </w:p>
    <w:p w:rsidR="00EE4D9C" w:rsidRDefault="00EE4D9C" w:rsidP="00A65DC5">
      <w:pPr>
        <w:spacing w:after="0" w:line="240" w:lineRule="auto"/>
      </w:pPr>
      <w:bookmarkStart w:id="0" w:name="_GoBack"/>
      <w:bookmarkEnd w:id="0"/>
      <w:r>
        <w:rPr>
          <w:b/>
        </w:rPr>
        <w:lastRenderedPageBreak/>
        <w:t>Alternative Dispute Resolution</w:t>
      </w:r>
    </w:p>
    <w:p w:rsidR="00EE4D9C" w:rsidRDefault="00EE4D9C" w:rsidP="00A65DC5">
      <w:pPr>
        <w:spacing w:after="0" w:line="240" w:lineRule="auto"/>
      </w:pPr>
      <w:r>
        <w:rPr>
          <w:b/>
        </w:rPr>
        <w:t xml:space="preserve">Alternative Dispute Resolution (ADR) </w:t>
      </w:r>
      <w:r>
        <w:t xml:space="preserve">is any process that allows parties to resolve their dispute without going to court.  </w:t>
      </w:r>
      <w:r w:rsidR="001D1DD1">
        <w:t>ADR offers alternatives that can preserve business relationships and expedite the settlement of a dispute, often at a much lower cost to the parties than litigating the dispute in court.</w:t>
      </w:r>
    </w:p>
    <w:p w:rsidR="001D1DD1" w:rsidRDefault="001D1DD1" w:rsidP="00A65DC5">
      <w:pPr>
        <w:spacing w:after="0" w:line="240" w:lineRule="auto"/>
      </w:pPr>
      <w:r>
        <w:t>There are three major types of ADR: negotiation, mediation, and arbitration.</w:t>
      </w:r>
    </w:p>
    <w:p w:rsidR="009206CD" w:rsidRDefault="009206CD" w:rsidP="00A65DC5">
      <w:pPr>
        <w:spacing w:after="0" w:line="240" w:lineRule="auto"/>
      </w:pPr>
    </w:p>
    <w:p w:rsidR="001D1DD1" w:rsidRDefault="001D1DD1" w:rsidP="00A65DC5">
      <w:pPr>
        <w:spacing w:after="0" w:line="240" w:lineRule="auto"/>
      </w:pPr>
      <w:r>
        <w:t xml:space="preserve">In a </w:t>
      </w:r>
      <w:r>
        <w:rPr>
          <w:b/>
        </w:rPr>
        <w:t xml:space="preserve">negotiation, </w:t>
      </w:r>
      <w:r>
        <w:t>the parties to the dispute attempt to resolve their differences through discussion and direct bargaining.  This is the most common form of ADR.  Its advantages include:</w:t>
      </w:r>
    </w:p>
    <w:p w:rsidR="001D1DD1" w:rsidRDefault="001D1DD1" w:rsidP="00A65DC5">
      <w:pPr>
        <w:pStyle w:val="ListParagraph"/>
        <w:numPr>
          <w:ilvl w:val="0"/>
          <w:numId w:val="17"/>
        </w:numPr>
        <w:spacing w:after="0" w:line="240" w:lineRule="auto"/>
      </w:pPr>
      <w:r>
        <w:t>It is usually quicker, less complicated, and less expensive than litigation and other forms of ADR.</w:t>
      </w:r>
    </w:p>
    <w:p w:rsidR="001D1DD1" w:rsidRDefault="001D1DD1" w:rsidP="00A65DC5">
      <w:pPr>
        <w:pStyle w:val="ListParagraph"/>
        <w:numPr>
          <w:ilvl w:val="0"/>
          <w:numId w:val="17"/>
        </w:numPr>
        <w:spacing w:after="0" w:line="240" w:lineRule="auto"/>
      </w:pPr>
      <w:r>
        <w:t>The parties are in control of the process and decide the outcome themselves.</w:t>
      </w:r>
    </w:p>
    <w:p w:rsidR="001D1DD1" w:rsidRDefault="001D1DD1" w:rsidP="00A65DC5">
      <w:pPr>
        <w:pStyle w:val="ListParagraph"/>
        <w:numPr>
          <w:ilvl w:val="0"/>
          <w:numId w:val="17"/>
        </w:numPr>
        <w:spacing w:after="0" w:line="240" w:lineRule="auto"/>
      </w:pPr>
      <w:r>
        <w:t>It can preserve relationships and allows the parties to stay on good terms with each other.</w:t>
      </w:r>
    </w:p>
    <w:p w:rsidR="001D1DD1" w:rsidRDefault="001D1DD1" w:rsidP="00A65DC5">
      <w:pPr>
        <w:pStyle w:val="ListParagraph"/>
        <w:numPr>
          <w:ilvl w:val="0"/>
          <w:numId w:val="17"/>
        </w:numPr>
        <w:spacing w:after="0" w:line="240" w:lineRule="auto"/>
      </w:pPr>
      <w:r>
        <w:t xml:space="preserve">It is a private procedure and therefore can be used to avoid bad publicity. </w:t>
      </w:r>
    </w:p>
    <w:p w:rsidR="009206CD" w:rsidRDefault="009206CD" w:rsidP="00A65DC5">
      <w:pPr>
        <w:spacing w:after="0" w:line="240" w:lineRule="auto"/>
      </w:pPr>
    </w:p>
    <w:p w:rsidR="001D1DD1" w:rsidRDefault="001D1DD1" w:rsidP="00A65DC5">
      <w:pPr>
        <w:spacing w:after="0" w:line="240" w:lineRule="auto"/>
      </w:pPr>
      <w:r>
        <w:t>Negotiation also has some disadvantages.  They include:</w:t>
      </w:r>
    </w:p>
    <w:p w:rsidR="001D1DD1" w:rsidRDefault="001D1DD1" w:rsidP="00A65DC5">
      <w:pPr>
        <w:pStyle w:val="ListParagraph"/>
        <w:numPr>
          <w:ilvl w:val="0"/>
          <w:numId w:val="18"/>
        </w:numPr>
        <w:spacing w:after="0" w:line="240" w:lineRule="auto"/>
      </w:pPr>
      <w:r>
        <w:t>If a dispute has already become acrimonious, negotiation likely won’t be successful since it requires the parties to cooperate.</w:t>
      </w:r>
    </w:p>
    <w:p w:rsidR="00A02809" w:rsidRDefault="001D1DD1" w:rsidP="00A65DC5">
      <w:pPr>
        <w:pStyle w:val="ListParagraph"/>
        <w:numPr>
          <w:ilvl w:val="0"/>
          <w:numId w:val="18"/>
        </w:numPr>
        <w:spacing w:after="0" w:line="240" w:lineRule="auto"/>
      </w:pPr>
      <w:r>
        <w:t xml:space="preserve">There are no set time limits for resolving a matter by negotiation.  Parties can therefore drag a matter out </w:t>
      </w:r>
      <w:r w:rsidR="00A06B23">
        <w:t>in the hopes that the other party will give up, lose inte</w:t>
      </w:r>
      <w:r w:rsidR="00A02809">
        <w:t>rest, or run out of resources.</w:t>
      </w:r>
    </w:p>
    <w:p w:rsidR="00A06B23" w:rsidRDefault="00A06B23" w:rsidP="00A65DC5">
      <w:pPr>
        <w:pStyle w:val="ListParagraph"/>
        <w:numPr>
          <w:ilvl w:val="0"/>
          <w:numId w:val="18"/>
        </w:numPr>
        <w:spacing w:after="0" w:line="240" w:lineRule="auto"/>
      </w:pPr>
      <w:r>
        <w:t>Inequalities of bargaining power can result in unfair settlements.</w:t>
      </w:r>
    </w:p>
    <w:p w:rsidR="00A06B23" w:rsidRDefault="00A06B23" w:rsidP="00A65DC5">
      <w:pPr>
        <w:pStyle w:val="ListParagraph"/>
        <w:numPr>
          <w:ilvl w:val="0"/>
          <w:numId w:val="18"/>
        </w:numPr>
        <w:spacing w:after="0" w:line="240" w:lineRule="auto"/>
      </w:pPr>
      <w:r>
        <w:t>Confidentiality may not be the desired outcome.  A person may want others to know about the defects in a particular product.</w:t>
      </w:r>
    </w:p>
    <w:p w:rsidR="009206CD" w:rsidRDefault="009206CD" w:rsidP="009206CD">
      <w:pPr>
        <w:pStyle w:val="ListParagraph"/>
        <w:spacing w:after="0" w:line="240" w:lineRule="auto"/>
      </w:pPr>
    </w:p>
    <w:tbl>
      <w:tblPr>
        <w:tblStyle w:val="TableGrid"/>
        <w:tblW w:w="0" w:type="auto"/>
        <w:tblLook w:val="04A0" w:firstRow="1" w:lastRow="0" w:firstColumn="1" w:lastColumn="0" w:noHBand="0" w:noVBand="1"/>
      </w:tblPr>
      <w:tblGrid>
        <w:gridCol w:w="9576"/>
      </w:tblGrid>
      <w:tr w:rsidR="00A06B23" w:rsidTr="00A06B23">
        <w:tc>
          <w:tcPr>
            <w:tcW w:w="9576" w:type="dxa"/>
          </w:tcPr>
          <w:p w:rsidR="00A06B23" w:rsidRDefault="00A06B23" w:rsidP="00A65DC5">
            <w:r>
              <w:rPr>
                <w:b/>
              </w:rPr>
              <w:t>What would you do?</w:t>
            </w:r>
          </w:p>
          <w:p w:rsidR="00A06B23" w:rsidRDefault="00A06B23" w:rsidP="00A65DC5">
            <w:r>
              <w:t>Suppose that at the end of the school term, when money is a bit tight, you treat yourself to a loaf of delicious bread made by a very popular local bakery.  When you cut a slice of bread off that loaf, you discover a dead mouse buried in the middle of the loaf.  You immediately contact the bakery and the manager asks you to come in and to bring the loaf with you.  When you arrive, the manager tells you that he is willing to give you $500 cash right now, but you must agree to give him the loaf of bread and to promise not to tell anyone about what happened.  The manager is clear: you cannot speak about the matter; you cannot tweet about it; you cannot blog about it; you cannot talk about it on Facebook.  You cannot post any photos anywhere.</w:t>
            </w:r>
          </w:p>
          <w:p w:rsidR="00A06B23" w:rsidRDefault="00A06B23" w:rsidP="00A65DC5"/>
          <w:p w:rsidR="00A06B23" w:rsidRDefault="00A06B23" w:rsidP="00A65DC5">
            <w:r>
              <w:t xml:space="preserve">On the one hand, you feel outraged.  This is a popular Toronto bakery.  Other people eat this bread.  People should know that there is a problem with mice at the bakery.  But on the other hand, it is the end of the </w:t>
            </w:r>
            <w:r w:rsidR="001547E8">
              <w:t>term and $500 would really help to pay some bills.</w:t>
            </w:r>
          </w:p>
          <w:p w:rsidR="001547E8" w:rsidRDefault="001547E8" w:rsidP="00A65DC5"/>
          <w:p w:rsidR="00A06B23" w:rsidRPr="00A06B23" w:rsidRDefault="001547E8" w:rsidP="00A65DC5">
            <w:r>
              <w:t>What are your options?  What would you do?</w:t>
            </w:r>
          </w:p>
        </w:tc>
      </w:tr>
    </w:tbl>
    <w:p w:rsidR="00A06B23" w:rsidRPr="001D1DD1" w:rsidRDefault="00A06B23" w:rsidP="00A65DC5">
      <w:pPr>
        <w:spacing w:after="0" w:line="240" w:lineRule="auto"/>
      </w:pPr>
    </w:p>
    <w:p w:rsidR="00652EF2" w:rsidRDefault="00FB6717" w:rsidP="00A65DC5">
      <w:pPr>
        <w:spacing w:after="0" w:line="240" w:lineRule="auto"/>
      </w:pPr>
      <w:r>
        <w:rPr>
          <w:b/>
        </w:rPr>
        <w:t xml:space="preserve">Mediation </w:t>
      </w:r>
      <w:r w:rsidR="00DD47A1">
        <w:t>is similar to negotiation, except in mediation, the parties are assisted by a neutral third party, called a mediator, to settle their dispute.  The mediator effectively acts as a bridge between the parties and helps the parties to find common ground.  This may involve meeting with the parties together or separately, clarifying information, outlining the issues for the parties, listening to the parties, discussing the relative strengths and weaknesses of each parties’ position, and suggesting possible solutions.</w:t>
      </w:r>
    </w:p>
    <w:p w:rsidR="00DD47A1" w:rsidRDefault="00DD47A1" w:rsidP="00A65DC5">
      <w:pPr>
        <w:spacing w:after="0" w:line="240" w:lineRule="auto"/>
      </w:pPr>
      <w:r>
        <w:t xml:space="preserve">A key characteristic of mediation is that it is not binding.  The parties remain in control of the process.  While the mediator can facilitate communication between the parties and can recommend solutions, the parties are free to accept or to reject the mediators’ suggestions.  Consequently, like negotiation, </w:t>
      </w:r>
      <w:r>
        <w:lastRenderedPageBreak/>
        <w:t>mediation does not offer a conclusive end to a dispute since a decision cannot be imposed on the parties.</w:t>
      </w:r>
    </w:p>
    <w:p w:rsidR="009206CD" w:rsidRDefault="009206CD" w:rsidP="00A65DC5">
      <w:pPr>
        <w:spacing w:after="0" w:line="240" w:lineRule="auto"/>
        <w:rPr>
          <w:b/>
        </w:rPr>
      </w:pPr>
    </w:p>
    <w:p w:rsidR="00CD326F" w:rsidRDefault="009C353B" w:rsidP="00A65DC5">
      <w:pPr>
        <w:spacing w:after="0" w:line="240" w:lineRule="auto"/>
      </w:pPr>
      <w:r>
        <w:rPr>
          <w:b/>
        </w:rPr>
        <w:t xml:space="preserve">Arbitration </w:t>
      </w:r>
      <w:r w:rsidR="00CD326F">
        <w:t xml:space="preserve">is a process in which a neutral third party, called an arbitrator, imposes a decision on the parties to a dispute.  With very few exceptions, arbitration is binding and thus offers a conclusive end to a dispute.  In this regard, arbitration parallels litigation.  However, the arbitration process is typically much less formal than court proceedings, which makes the process faster and cheaper than litigation.  </w:t>
      </w:r>
    </w:p>
    <w:p w:rsidR="009C353B" w:rsidRDefault="00CD326F" w:rsidP="00A65DC5">
      <w:pPr>
        <w:spacing w:after="0" w:line="240" w:lineRule="auto"/>
      </w:pPr>
      <w:r>
        <w:t>Parties retain some degree of control in arbitration since they typically select the person who will arbitrate their dispute.  Moreover, with the exception of some statutory frameworks, parties cannot be forced to enter into arbitration.  Often, commercial agreements will provide that disputes between the parties will be settled through arbitration.  Because arbitration is more flexible and often less contentious than litigation, it allows parties to preserve their relationship.  It is also confidential.</w:t>
      </w:r>
    </w:p>
    <w:p w:rsidR="00CD326F" w:rsidRDefault="00CD326F" w:rsidP="00A65DC5">
      <w:pPr>
        <w:spacing w:after="0" w:line="240" w:lineRule="auto"/>
      </w:pPr>
      <w:r>
        <w:t>On the other hand, arbitration does take some control out of the parties’ hands.  As a general rule, the decision of the arbitrator will be binding upon the parties and the parties will have to obey this decision.  Moreover, the parties will have to comply with the process and procedures established for the arbitration.  While arbitrations are flexible, there are still rules and protocols that must be followed, although the parties themselves agreed to be bound by those rules and protocols when they agreed to the arbitration.</w:t>
      </w:r>
    </w:p>
    <w:p w:rsidR="009206CD" w:rsidRDefault="009206CD" w:rsidP="00A65DC5">
      <w:pPr>
        <w:spacing w:after="0" w:line="240" w:lineRule="auto"/>
      </w:pPr>
    </w:p>
    <w:p w:rsidR="00B878C0" w:rsidRDefault="003962A4" w:rsidP="00A65DC5">
      <w:pPr>
        <w:spacing w:after="0" w:line="240" w:lineRule="auto"/>
      </w:pPr>
      <w:r>
        <w:t xml:space="preserve">One advantage to arbitration is that it can be used to resolve high complex disputes by someone who has expertise in the subject matter of the dispute.  Sometimes the resolution of a dispute requires a decision-maker who understands the complexities of the issues in disputes.  In such cases, arbitrations can be effective since the parties can select an arbitrator with the specialized expertise necessary to hear their </w:t>
      </w:r>
      <w:r w:rsidR="00A02809">
        <w:t>case.</w:t>
      </w:r>
    </w:p>
    <w:p w:rsidR="00B878C0" w:rsidRDefault="00B878C0" w:rsidP="00A65DC5">
      <w:pPr>
        <w:spacing w:after="0" w:line="240" w:lineRule="auto"/>
      </w:pPr>
    </w:p>
    <w:sectPr w:rsidR="00B878C0" w:rsidSect="00F33CA1">
      <w:headerReference w:type="default" r:id="rId19"/>
      <w:foot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A4F" w:rsidRDefault="00916A4F" w:rsidP="00765821">
      <w:pPr>
        <w:spacing w:after="0" w:line="240" w:lineRule="auto"/>
      </w:pPr>
      <w:r>
        <w:separator/>
      </w:r>
    </w:p>
  </w:endnote>
  <w:endnote w:type="continuationSeparator" w:id="0">
    <w:p w:rsidR="00916A4F" w:rsidRDefault="00916A4F" w:rsidP="00765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2623330"/>
      <w:docPartObj>
        <w:docPartGallery w:val="Page Numbers (Bottom of Page)"/>
        <w:docPartUnique/>
      </w:docPartObj>
    </w:sdtPr>
    <w:sdtEndPr>
      <w:rPr>
        <w:noProof/>
      </w:rPr>
    </w:sdtEndPr>
    <w:sdtContent>
      <w:p w:rsidR="00A65DC5" w:rsidRDefault="00A65DC5">
        <w:pPr>
          <w:pStyle w:val="Footer"/>
          <w:jc w:val="right"/>
        </w:pPr>
        <w:r>
          <w:fldChar w:fldCharType="begin"/>
        </w:r>
        <w:r>
          <w:instrText xml:space="preserve"> PAGE   \* MERGEFORMAT </w:instrText>
        </w:r>
        <w:r>
          <w:fldChar w:fldCharType="separate"/>
        </w:r>
        <w:r w:rsidR="00672D06">
          <w:rPr>
            <w:noProof/>
          </w:rPr>
          <w:t>11</w:t>
        </w:r>
        <w:r>
          <w:rPr>
            <w:noProof/>
          </w:rPr>
          <w:fldChar w:fldCharType="end"/>
        </w:r>
      </w:p>
    </w:sdtContent>
  </w:sdt>
  <w:p w:rsidR="00A65DC5" w:rsidRDefault="00A65D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A4F" w:rsidRDefault="00916A4F" w:rsidP="00765821">
      <w:pPr>
        <w:spacing w:after="0" w:line="240" w:lineRule="auto"/>
      </w:pPr>
      <w:r>
        <w:separator/>
      </w:r>
    </w:p>
  </w:footnote>
  <w:footnote w:type="continuationSeparator" w:id="0">
    <w:p w:rsidR="00916A4F" w:rsidRDefault="00916A4F" w:rsidP="00765821">
      <w:pPr>
        <w:spacing w:after="0" w:line="240" w:lineRule="auto"/>
      </w:pPr>
      <w:r>
        <w:continuationSeparator/>
      </w:r>
    </w:p>
  </w:footnote>
  <w:footnote w:id="1">
    <w:p w:rsidR="00765821" w:rsidRDefault="00765821">
      <w:pPr>
        <w:pStyle w:val="FootnoteText"/>
      </w:pPr>
      <w:r>
        <w:rPr>
          <w:rStyle w:val="FootnoteReference"/>
        </w:rPr>
        <w:footnoteRef/>
      </w:r>
      <w:r>
        <w:t xml:space="preserve"> The Canadian Bar Association maintains a database of class actions initiated throughout Canada.  See: </w:t>
      </w:r>
      <w:hyperlink r:id="rId1" w:history="1">
        <w:r w:rsidRPr="007C418F">
          <w:rPr>
            <w:rStyle w:val="Hyperlink"/>
          </w:rPr>
          <w:t>http://www.cba.org/ClassActions/main/gate/index/</w:t>
        </w:r>
      </w:hyperlink>
      <w:r>
        <w:t xml:space="preserve"> to explore what types of class actions have been brought in Canada.</w:t>
      </w:r>
    </w:p>
  </w:footnote>
  <w:footnote w:id="2">
    <w:p w:rsidR="008D73DD" w:rsidRDefault="008D73DD">
      <w:pPr>
        <w:pStyle w:val="FootnoteText"/>
      </w:pPr>
      <w:r>
        <w:rPr>
          <w:rStyle w:val="FootnoteReference"/>
        </w:rPr>
        <w:footnoteRef/>
      </w:r>
      <w:r>
        <w:t xml:space="preserve"> </w:t>
      </w:r>
      <w:r w:rsidRPr="008D73DD">
        <w:rPr>
          <w:sz w:val="16"/>
        </w:rPr>
        <w:t>Note that in Ontario, Small Claims Court is a part of the Superior Court of Justice, not the Ontario Court of Justice.  Thus, in Ontario, Small Claims Court is not a provincial court.  This is the exception rather than the rule in Canadian provinces: most Small Claims Courts are a part of the provincial court system.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594" w:rsidRDefault="00A65DC5" w:rsidP="00A65DC5">
    <w:pPr>
      <w:pStyle w:val="Header"/>
    </w:pPr>
    <w:r>
      <w:t>LAW 122: Chapter 2- Litigation and Alternative Dispute Resolution</w:t>
    </w:r>
  </w:p>
  <w:p w:rsidR="008F4594" w:rsidRDefault="008F45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016E"/>
    <w:multiLevelType w:val="hybridMultilevel"/>
    <w:tmpl w:val="4D0417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05B4C64"/>
    <w:multiLevelType w:val="hybridMultilevel"/>
    <w:tmpl w:val="C80C222A"/>
    <w:lvl w:ilvl="0" w:tplc="0DBA1410">
      <w:start w:val="1"/>
      <w:numFmt w:val="bullet"/>
      <w:lvlText w:val="•"/>
      <w:lvlJc w:val="left"/>
      <w:pPr>
        <w:tabs>
          <w:tab w:val="num" w:pos="720"/>
        </w:tabs>
        <w:ind w:left="720" w:hanging="360"/>
      </w:pPr>
      <w:rPr>
        <w:rFonts w:ascii="Times New Roman" w:hAnsi="Times New Roman" w:hint="default"/>
      </w:rPr>
    </w:lvl>
    <w:lvl w:ilvl="1" w:tplc="1E0E7286" w:tentative="1">
      <w:start w:val="1"/>
      <w:numFmt w:val="bullet"/>
      <w:lvlText w:val="•"/>
      <w:lvlJc w:val="left"/>
      <w:pPr>
        <w:tabs>
          <w:tab w:val="num" w:pos="1440"/>
        </w:tabs>
        <w:ind w:left="1440" w:hanging="360"/>
      </w:pPr>
      <w:rPr>
        <w:rFonts w:ascii="Times New Roman" w:hAnsi="Times New Roman" w:hint="default"/>
      </w:rPr>
    </w:lvl>
    <w:lvl w:ilvl="2" w:tplc="E7E4AF90" w:tentative="1">
      <w:start w:val="1"/>
      <w:numFmt w:val="bullet"/>
      <w:lvlText w:val="•"/>
      <w:lvlJc w:val="left"/>
      <w:pPr>
        <w:tabs>
          <w:tab w:val="num" w:pos="2160"/>
        </w:tabs>
        <w:ind w:left="2160" w:hanging="360"/>
      </w:pPr>
      <w:rPr>
        <w:rFonts w:ascii="Times New Roman" w:hAnsi="Times New Roman" w:hint="default"/>
      </w:rPr>
    </w:lvl>
    <w:lvl w:ilvl="3" w:tplc="DCC4F4BC" w:tentative="1">
      <w:start w:val="1"/>
      <w:numFmt w:val="bullet"/>
      <w:lvlText w:val="•"/>
      <w:lvlJc w:val="left"/>
      <w:pPr>
        <w:tabs>
          <w:tab w:val="num" w:pos="2880"/>
        </w:tabs>
        <w:ind w:left="2880" w:hanging="360"/>
      </w:pPr>
      <w:rPr>
        <w:rFonts w:ascii="Times New Roman" w:hAnsi="Times New Roman" w:hint="default"/>
      </w:rPr>
    </w:lvl>
    <w:lvl w:ilvl="4" w:tplc="5836AAC4" w:tentative="1">
      <w:start w:val="1"/>
      <w:numFmt w:val="bullet"/>
      <w:lvlText w:val="•"/>
      <w:lvlJc w:val="left"/>
      <w:pPr>
        <w:tabs>
          <w:tab w:val="num" w:pos="3600"/>
        </w:tabs>
        <w:ind w:left="3600" w:hanging="360"/>
      </w:pPr>
      <w:rPr>
        <w:rFonts w:ascii="Times New Roman" w:hAnsi="Times New Roman" w:hint="default"/>
      </w:rPr>
    </w:lvl>
    <w:lvl w:ilvl="5" w:tplc="8E500A86" w:tentative="1">
      <w:start w:val="1"/>
      <w:numFmt w:val="bullet"/>
      <w:lvlText w:val="•"/>
      <w:lvlJc w:val="left"/>
      <w:pPr>
        <w:tabs>
          <w:tab w:val="num" w:pos="4320"/>
        </w:tabs>
        <w:ind w:left="4320" w:hanging="360"/>
      </w:pPr>
      <w:rPr>
        <w:rFonts w:ascii="Times New Roman" w:hAnsi="Times New Roman" w:hint="default"/>
      </w:rPr>
    </w:lvl>
    <w:lvl w:ilvl="6" w:tplc="15CA30B4" w:tentative="1">
      <w:start w:val="1"/>
      <w:numFmt w:val="bullet"/>
      <w:lvlText w:val="•"/>
      <w:lvlJc w:val="left"/>
      <w:pPr>
        <w:tabs>
          <w:tab w:val="num" w:pos="5040"/>
        </w:tabs>
        <w:ind w:left="5040" w:hanging="360"/>
      </w:pPr>
      <w:rPr>
        <w:rFonts w:ascii="Times New Roman" w:hAnsi="Times New Roman" w:hint="default"/>
      </w:rPr>
    </w:lvl>
    <w:lvl w:ilvl="7" w:tplc="B53EA156" w:tentative="1">
      <w:start w:val="1"/>
      <w:numFmt w:val="bullet"/>
      <w:lvlText w:val="•"/>
      <w:lvlJc w:val="left"/>
      <w:pPr>
        <w:tabs>
          <w:tab w:val="num" w:pos="5760"/>
        </w:tabs>
        <w:ind w:left="5760" w:hanging="360"/>
      </w:pPr>
      <w:rPr>
        <w:rFonts w:ascii="Times New Roman" w:hAnsi="Times New Roman" w:hint="default"/>
      </w:rPr>
    </w:lvl>
    <w:lvl w:ilvl="8" w:tplc="DC7066DE" w:tentative="1">
      <w:start w:val="1"/>
      <w:numFmt w:val="bullet"/>
      <w:lvlText w:val="•"/>
      <w:lvlJc w:val="left"/>
      <w:pPr>
        <w:tabs>
          <w:tab w:val="num" w:pos="6480"/>
        </w:tabs>
        <w:ind w:left="6480" w:hanging="360"/>
      </w:pPr>
      <w:rPr>
        <w:rFonts w:ascii="Times New Roman" w:hAnsi="Times New Roman" w:hint="default"/>
      </w:rPr>
    </w:lvl>
  </w:abstractNum>
  <w:abstractNum w:abstractNumId="2">
    <w:nsid w:val="00FD276F"/>
    <w:multiLevelType w:val="hybridMultilevel"/>
    <w:tmpl w:val="0AA810C2"/>
    <w:lvl w:ilvl="0" w:tplc="4DD0A34A">
      <w:start w:val="1"/>
      <w:numFmt w:val="bullet"/>
      <w:lvlText w:val="•"/>
      <w:lvlJc w:val="left"/>
      <w:pPr>
        <w:tabs>
          <w:tab w:val="num" w:pos="720"/>
        </w:tabs>
        <w:ind w:left="720" w:hanging="360"/>
      </w:pPr>
      <w:rPr>
        <w:rFonts w:ascii="Times New Roman" w:hAnsi="Times New Roman" w:hint="default"/>
      </w:rPr>
    </w:lvl>
    <w:lvl w:ilvl="1" w:tplc="E2AEE528" w:tentative="1">
      <w:start w:val="1"/>
      <w:numFmt w:val="bullet"/>
      <w:lvlText w:val="•"/>
      <w:lvlJc w:val="left"/>
      <w:pPr>
        <w:tabs>
          <w:tab w:val="num" w:pos="1440"/>
        </w:tabs>
        <w:ind w:left="1440" w:hanging="360"/>
      </w:pPr>
      <w:rPr>
        <w:rFonts w:ascii="Times New Roman" w:hAnsi="Times New Roman" w:hint="default"/>
      </w:rPr>
    </w:lvl>
    <w:lvl w:ilvl="2" w:tplc="CC6E24FE" w:tentative="1">
      <w:start w:val="1"/>
      <w:numFmt w:val="bullet"/>
      <w:lvlText w:val="•"/>
      <w:lvlJc w:val="left"/>
      <w:pPr>
        <w:tabs>
          <w:tab w:val="num" w:pos="2160"/>
        </w:tabs>
        <w:ind w:left="2160" w:hanging="360"/>
      </w:pPr>
      <w:rPr>
        <w:rFonts w:ascii="Times New Roman" w:hAnsi="Times New Roman" w:hint="default"/>
      </w:rPr>
    </w:lvl>
    <w:lvl w:ilvl="3" w:tplc="A7F28272" w:tentative="1">
      <w:start w:val="1"/>
      <w:numFmt w:val="bullet"/>
      <w:lvlText w:val="•"/>
      <w:lvlJc w:val="left"/>
      <w:pPr>
        <w:tabs>
          <w:tab w:val="num" w:pos="2880"/>
        </w:tabs>
        <w:ind w:left="2880" w:hanging="360"/>
      </w:pPr>
      <w:rPr>
        <w:rFonts w:ascii="Times New Roman" w:hAnsi="Times New Roman" w:hint="default"/>
      </w:rPr>
    </w:lvl>
    <w:lvl w:ilvl="4" w:tplc="E3C2379E" w:tentative="1">
      <w:start w:val="1"/>
      <w:numFmt w:val="bullet"/>
      <w:lvlText w:val="•"/>
      <w:lvlJc w:val="left"/>
      <w:pPr>
        <w:tabs>
          <w:tab w:val="num" w:pos="3600"/>
        </w:tabs>
        <w:ind w:left="3600" w:hanging="360"/>
      </w:pPr>
      <w:rPr>
        <w:rFonts w:ascii="Times New Roman" w:hAnsi="Times New Roman" w:hint="default"/>
      </w:rPr>
    </w:lvl>
    <w:lvl w:ilvl="5" w:tplc="33582968" w:tentative="1">
      <w:start w:val="1"/>
      <w:numFmt w:val="bullet"/>
      <w:lvlText w:val="•"/>
      <w:lvlJc w:val="left"/>
      <w:pPr>
        <w:tabs>
          <w:tab w:val="num" w:pos="4320"/>
        </w:tabs>
        <w:ind w:left="4320" w:hanging="360"/>
      </w:pPr>
      <w:rPr>
        <w:rFonts w:ascii="Times New Roman" w:hAnsi="Times New Roman" w:hint="default"/>
      </w:rPr>
    </w:lvl>
    <w:lvl w:ilvl="6" w:tplc="D320FD8A" w:tentative="1">
      <w:start w:val="1"/>
      <w:numFmt w:val="bullet"/>
      <w:lvlText w:val="•"/>
      <w:lvlJc w:val="left"/>
      <w:pPr>
        <w:tabs>
          <w:tab w:val="num" w:pos="5040"/>
        </w:tabs>
        <w:ind w:left="5040" w:hanging="360"/>
      </w:pPr>
      <w:rPr>
        <w:rFonts w:ascii="Times New Roman" w:hAnsi="Times New Roman" w:hint="default"/>
      </w:rPr>
    </w:lvl>
    <w:lvl w:ilvl="7" w:tplc="6054E7F8" w:tentative="1">
      <w:start w:val="1"/>
      <w:numFmt w:val="bullet"/>
      <w:lvlText w:val="•"/>
      <w:lvlJc w:val="left"/>
      <w:pPr>
        <w:tabs>
          <w:tab w:val="num" w:pos="5760"/>
        </w:tabs>
        <w:ind w:left="5760" w:hanging="360"/>
      </w:pPr>
      <w:rPr>
        <w:rFonts w:ascii="Times New Roman" w:hAnsi="Times New Roman" w:hint="default"/>
      </w:rPr>
    </w:lvl>
    <w:lvl w:ilvl="8" w:tplc="AA2C0A0E" w:tentative="1">
      <w:start w:val="1"/>
      <w:numFmt w:val="bullet"/>
      <w:lvlText w:val="•"/>
      <w:lvlJc w:val="left"/>
      <w:pPr>
        <w:tabs>
          <w:tab w:val="num" w:pos="6480"/>
        </w:tabs>
        <w:ind w:left="6480" w:hanging="360"/>
      </w:pPr>
      <w:rPr>
        <w:rFonts w:ascii="Times New Roman" w:hAnsi="Times New Roman" w:hint="default"/>
      </w:rPr>
    </w:lvl>
  </w:abstractNum>
  <w:abstractNum w:abstractNumId="3">
    <w:nsid w:val="030046EB"/>
    <w:multiLevelType w:val="hybridMultilevel"/>
    <w:tmpl w:val="B2D6591E"/>
    <w:lvl w:ilvl="0" w:tplc="559A4FE0">
      <w:start w:val="1"/>
      <w:numFmt w:val="bullet"/>
      <w:lvlText w:val="•"/>
      <w:lvlJc w:val="left"/>
      <w:pPr>
        <w:tabs>
          <w:tab w:val="num" w:pos="720"/>
        </w:tabs>
        <w:ind w:left="720" w:hanging="360"/>
      </w:pPr>
      <w:rPr>
        <w:rFonts w:ascii="Arial" w:hAnsi="Arial" w:hint="default"/>
      </w:rPr>
    </w:lvl>
    <w:lvl w:ilvl="1" w:tplc="9D3442BC" w:tentative="1">
      <w:start w:val="1"/>
      <w:numFmt w:val="bullet"/>
      <w:lvlText w:val="•"/>
      <w:lvlJc w:val="left"/>
      <w:pPr>
        <w:tabs>
          <w:tab w:val="num" w:pos="1440"/>
        </w:tabs>
        <w:ind w:left="1440" w:hanging="360"/>
      </w:pPr>
      <w:rPr>
        <w:rFonts w:ascii="Arial" w:hAnsi="Arial" w:hint="default"/>
      </w:rPr>
    </w:lvl>
    <w:lvl w:ilvl="2" w:tplc="B58C74A2" w:tentative="1">
      <w:start w:val="1"/>
      <w:numFmt w:val="bullet"/>
      <w:lvlText w:val="•"/>
      <w:lvlJc w:val="left"/>
      <w:pPr>
        <w:tabs>
          <w:tab w:val="num" w:pos="2160"/>
        </w:tabs>
        <w:ind w:left="2160" w:hanging="360"/>
      </w:pPr>
      <w:rPr>
        <w:rFonts w:ascii="Arial" w:hAnsi="Arial" w:hint="default"/>
      </w:rPr>
    </w:lvl>
    <w:lvl w:ilvl="3" w:tplc="EB084A52" w:tentative="1">
      <w:start w:val="1"/>
      <w:numFmt w:val="bullet"/>
      <w:lvlText w:val="•"/>
      <w:lvlJc w:val="left"/>
      <w:pPr>
        <w:tabs>
          <w:tab w:val="num" w:pos="2880"/>
        </w:tabs>
        <w:ind w:left="2880" w:hanging="360"/>
      </w:pPr>
      <w:rPr>
        <w:rFonts w:ascii="Arial" w:hAnsi="Arial" w:hint="default"/>
      </w:rPr>
    </w:lvl>
    <w:lvl w:ilvl="4" w:tplc="BB8C9298" w:tentative="1">
      <w:start w:val="1"/>
      <w:numFmt w:val="bullet"/>
      <w:lvlText w:val="•"/>
      <w:lvlJc w:val="left"/>
      <w:pPr>
        <w:tabs>
          <w:tab w:val="num" w:pos="3600"/>
        </w:tabs>
        <w:ind w:left="3600" w:hanging="360"/>
      </w:pPr>
      <w:rPr>
        <w:rFonts w:ascii="Arial" w:hAnsi="Arial" w:hint="default"/>
      </w:rPr>
    </w:lvl>
    <w:lvl w:ilvl="5" w:tplc="7B4C9D10" w:tentative="1">
      <w:start w:val="1"/>
      <w:numFmt w:val="bullet"/>
      <w:lvlText w:val="•"/>
      <w:lvlJc w:val="left"/>
      <w:pPr>
        <w:tabs>
          <w:tab w:val="num" w:pos="4320"/>
        </w:tabs>
        <w:ind w:left="4320" w:hanging="360"/>
      </w:pPr>
      <w:rPr>
        <w:rFonts w:ascii="Arial" w:hAnsi="Arial" w:hint="default"/>
      </w:rPr>
    </w:lvl>
    <w:lvl w:ilvl="6" w:tplc="F698D472" w:tentative="1">
      <w:start w:val="1"/>
      <w:numFmt w:val="bullet"/>
      <w:lvlText w:val="•"/>
      <w:lvlJc w:val="left"/>
      <w:pPr>
        <w:tabs>
          <w:tab w:val="num" w:pos="5040"/>
        </w:tabs>
        <w:ind w:left="5040" w:hanging="360"/>
      </w:pPr>
      <w:rPr>
        <w:rFonts w:ascii="Arial" w:hAnsi="Arial" w:hint="default"/>
      </w:rPr>
    </w:lvl>
    <w:lvl w:ilvl="7" w:tplc="A470DF3E" w:tentative="1">
      <w:start w:val="1"/>
      <w:numFmt w:val="bullet"/>
      <w:lvlText w:val="•"/>
      <w:lvlJc w:val="left"/>
      <w:pPr>
        <w:tabs>
          <w:tab w:val="num" w:pos="5760"/>
        </w:tabs>
        <w:ind w:left="5760" w:hanging="360"/>
      </w:pPr>
      <w:rPr>
        <w:rFonts w:ascii="Arial" w:hAnsi="Arial" w:hint="default"/>
      </w:rPr>
    </w:lvl>
    <w:lvl w:ilvl="8" w:tplc="E92E2862" w:tentative="1">
      <w:start w:val="1"/>
      <w:numFmt w:val="bullet"/>
      <w:lvlText w:val="•"/>
      <w:lvlJc w:val="left"/>
      <w:pPr>
        <w:tabs>
          <w:tab w:val="num" w:pos="6480"/>
        </w:tabs>
        <w:ind w:left="6480" w:hanging="360"/>
      </w:pPr>
      <w:rPr>
        <w:rFonts w:ascii="Arial" w:hAnsi="Arial" w:hint="default"/>
      </w:rPr>
    </w:lvl>
  </w:abstractNum>
  <w:abstractNum w:abstractNumId="4">
    <w:nsid w:val="0A784EC6"/>
    <w:multiLevelType w:val="hybridMultilevel"/>
    <w:tmpl w:val="8A08B5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170B41"/>
    <w:multiLevelType w:val="hybridMultilevel"/>
    <w:tmpl w:val="FF5866F4"/>
    <w:lvl w:ilvl="0" w:tplc="20107FA8">
      <w:start w:val="1"/>
      <w:numFmt w:val="bullet"/>
      <w:lvlText w:val="•"/>
      <w:lvlJc w:val="left"/>
      <w:pPr>
        <w:tabs>
          <w:tab w:val="num" w:pos="720"/>
        </w:tabs>
        <w:ind w:left="720" w:hanging="360"/>
      </w:pPr>
      <w:rPr>
        <w:rFonts w:ascii="Times New Roman" w:hAnsi="Times New Roman" w:hint="default"/>
      </w:rPr>
    </w:lvl>
    <w:lvl w:ilvl="1" w:tplc="ADE0EC4C" w:tentative="1">
      <w:start w:val="1"/>
      <w:numFmt w:val="bullet"/>
      <w:lvlText w:val="•"/>
      <w:lvlJc w:val="left"/>
      <w:pPr>
        <w:tabs>
          <w:tab w:val="num" w:pos="1440"/>
        </w:tabs>
        <w:ind w:left="1440" w:hanging="360"/>
      </w:pPr>
      <w:rPr>
        <w:rFonts w:ascii="Times New Roman" w:hAnsi="Times New Roman" w:hint="default"/>
      </w:rPr>
    </w:lvl>
    <w:lvl w:ilvl="2" w:tplc="B7105178" w:tentative="1">
      <w:start w:val="1"/>
      <w:numFmt w:val="bullet"/>
      <w:lvlText w:val="•"/>
      <w:lvlJc w:val="left"/>
      <w:pPr>
        <w:tabs>
          <w:tab w:val="num" w:pos="2160"/>
        </w:tabs>
        <w:ind w:left="2160" w:hanging="360"/>
      </w:pPr>
      <w:rPr>
        <w:rFonts w:ascii="Times New Roman" w:hAnsi="Times New Roman" w:hint="default"/>
      </w:rPr>
    </w:lvl>
    <w:lvl w:ilvl="3" w:tplc="E522EE2C" w:tentative="1">
      <w:start w:val="1"/>
      <w:numFmt w:val="bullet"/>
      <w:lvlText w:val="•"/>
      <w:lvlJc w:val="left"/>
      <w:pPr>
        <w:tabs>
          <w:tab w:val="num" w:pos="2880"/>
        </w:tabs>
        <w:ind w:left="2880" w:hanging="360"/>
      </w:pPr>
      <w:rPr>
        <w:rFonts w:ascii="Times New Roman" w:hAnsi="Times New Roman" w:hint="default"/>
      </w:rPr>
    </w:lvl>
    <w:lvl w:ilvl="4" w:tplc="D7A2E3C4" w:tentative="1">
      <w:start w:val="1"/>
      <w:numFmt w:val="bullet"/>
      <w:lvlText w:val="•"/>
      <w:lvlJc w:val="left"/>
      <w:pPr>
        <w:tabs>
          <w:tab w:val="num" w:pos="3600"/>
        </w:tabs>
        <w:ind w:left="3600" w:hanging="360"/>
      </w:pPr>
      <w:rPr>
        <w:rFonts w:ascii="Times New Roman" w:hAnsi="Times New Roman" w:hint="default"/>
      </w:rPr>
    </w:lvl>
    <w:lvl w:ilvl="5" w:tplc="935481A4" w:tentative="1">
      <w:start w:val="1"/>
      <w:numFmt w:val="bullet"/>
      <w:lvlText w:val="•"/>
      <w:lvlJc w:val="left"/>
      <w:pPr>
        <w:tabs>
          <w:tab w:val="num" w:pos="4320"/>
        </w:tabs>
        <w:ind w:left="4320" w:hanging="360"/>
      </w:pPr>
      <w:rPr>
        <w:rFonts w:ascii="Times New Roman" w:hAnsi="Times New Roman" w:hint="default"/>
      </w:rPr>
    </w:lvl>
    <w:lvl w:ilvl="6" w:tplc="18480834" w:tentative="1">
      <w:start w:val="1"/>
      <w:numFmt w:val="bullet"/>
      <w:lvlText w:val="•"/>
      <w:lvlJc w:val="left"/>
      <w:pPr>
        <w:tabs>
          <w:tab w:val="num" w:pos="5040"/>
        </w:tabs>
        <w:ind w:left="5040" w:hanging="360"/>
      </w:pPr>
      <w:rPr>
        <w:rFonts w:ascii="Times New Roman" w:hAnsi="Times New Roman" w:hint="default"/>
      </w:rPr>
    </w:lvl>
    <w:lvl w:ilvl="7" w:tplc="FB84938C" w:tentative="1">
      <w:start w:val="1"/>
      <w:numFmt w:val="bullet"/>
      <w:lvlText w:val="•"/>
      <w:lvlJc w:val="left"/>
      <w:pPr>
        <w:tabs>
          <w:tab w:val="num" w:pos="5760"/>
        </w:tabs>
        <w:ind w:left="5760" w:hanging="360"/>
      </w:pPr>
      <w:rPr>
        <w:rFonts w:ascii="Times New Roman" w:hAnsi="Times New Roman" w:hint="default"/>
      </w:rPr>
    </w:lvl>
    <w:lvl w:ilvl="8" w:tplc="D8F4CA3E" w:tentative="1">
      <w:start w:val="1"/>
      <w:numFmt w:val="bullet"/>
      <w:lvlText w:val="•"/>
      <w:lvlJc w:val="left"/>
      <w:pPr>
        <w:tabs>
          <w:tab w:val="num" w:pos="6480"/>
        </w:tabs>
        <w:ind w:left="6480" w:hanging="360"/>
      </w:pPr>
      <w:rPr>
        <w:rFonts w:ascii="Times New Roman" w:hAnsi="Times New Roman" w:hint="default"/>
      </w:rPr>
    </w:lvl>
  </w:abstractNum>
  <w:abstractNum w:abstractNumId="6">
    <w:nsid w:val="12FD3632"/>
    <w:multiLevelType w:val="hybridMultilevel"/>
    <w:tmpl w:val="AF468A34"/>
    <w:lvl w:ilvl="0" w:tplc="75CC73AE">
      <w:start w:val="1"/>
      <w:numFmt w:val="bullet"/>
      <w:lvlText w:val="•"/>
      <w:lvlJc w:val="left"/>
      <w:pPr>
        <w:tabs>
          <w:tab w:val="num" w:pos="360"/>
        </w:tabs>
        <w:ind w:left="360" w:hanging="360"/>
      </w:pPr>
      <w:rPr>
        <w:rFonts w:ascii="Times New Roman" w:hAnsi="Times New Roman" w:hint="default"/>
      </w:rPr>
    </w:lvl>
    <w:lvl w:ilvl="1" w:tplc="769488F6" w:tentative="1">
      <w:start w:val="1"/>
      <w:numFmt w:val="bullet"/>
      <w:lvlText w:val="•"/>
      <w:lvlJc w:val="left"/>
      <w:pPr>
        <w:tabs>
          <w:tab w:val="num" w:pos="1080"/>
        </w:tabs>
        <w:ind w:left="1080" w:hanging="360"/>
      </w:pPr>
      <w:rPr>
        <w:rFonts w:ascii="Times New Roman" w:hAnsi="Times New Roman" w:hint="default"/>
      </w:rPr>
    </w:lvl>
    <w:lvl w:ilvl="2" w:tplc="C70478FC" w:tentative="1">
      <w:start w:val="1"/>
      <w:numFmt w:val="bullet"/>
      <w:lvlText w:val="•"/>
      <w:lvlJc w:val="left"/>
      <w:pPr>
        <w:tabs>
          <w:tab w:val="num" w:pos="1800"/>
        </w:tabs>
        <w:ind w:left="1800" w:hanging="360"/>
      </w:pPr>
      <w:rPr>
        <w:rFonts w:ascii="Times New Roman" w:hAnsi="Times New Roman" w:hint="default"/>
      </w:rPr>
    </w:lvl>
    <w:lvl w:ilvl="3" w:tplc="E71816AA" w:tentative="1">
      <w:start w:val="1"/>
      <w:numFmt w:val="bullet"/>
      <w:lvlText w:val="•"/>
      <w:lvlJc w:val="left"/>
      <w:pPr>
        <w:tabs>
          <w:tab w:val="num" w:pos="2520"/>
        </w:tabs>
        <w:ind w:left="2520" w:hanging="360"/>
      </w:pPr>
      <w:rPr>
        <w:rFonts w:ascii="Times New Roman" w:hAnsi="Times New Roman" w:hint="default"/>
      </w:rPr>
    </w:lvl>
    <w:lvl w:ilvl="4" w:tplc="FF700F0E" w:tentative="1">
      <w:start w:val="1"/>
      <w:numFmt w:val="bullet"/>
      <w:lvlText w:val="•"/>
      <w:lvlJc w:val="left"/>
      <w:pPr>
        <w:tabs>
          <w:tab w:val="num" w:pos="3240"/>
        </w:tabs>
        <w:ind w:left="3240" w:hanging="360"/>
      </w:pPr>
      <w:rPr>
        <w:rFonts w:ascii="Times New Roman" w:hAnsi="Times New Roman" w:hint="default"/>
      </w:rPr>
    </w:lvl>
    <w:lvl w:ilvl="5" w:tplc="00761078" w:tentative="1">
      <w:start w:val="1"/>
      <w:numFmt w:val="bullet"/>
      <w:lvlText w:val="•"/>
      <w:lvlJc w:val="left"/>
      <w:pPr>
        <w:tabs>
          <w:tab w:val="num" w:pos="3960"/>
        </w:tabs>
        <w:ind w:left="3960" w:hanging="360"/>
      </w:pPr>
      <w:rPr>
        <w:rFonts w:ascii="Times New Roman" w:hAnsi="Times New Roman" w:hint="default"/>
      </w:rPr>
    </w:lvl>
    <w:lvl w:ilvl="6" w:tplc="395CE5E6" w:tentative="1">
      <w:start w:val="1"/>
      <w:numFmt w:val="bullet"/>
      <w:lvlText w:val="•"/>
      <w:lvlJc w:val="left"/>
      <w:pPr>
        <w:tabs>
          <w:tab w:val="num" w:pos="4680"/>
        </w:tabs>
        <w:ind w:left="4680" w:hanging="360"/>
      </w:pPr>
      <w:rPr>
        <w:rFonts w:ascii="Times New Roman" w:hAnsi="Times New Roman" w:hint="default"/>
      </w:rPr>
    </w:lvl>
    <w:lvl w:ilvl="7" w:tplc="58C26DF2" w:tentative="1">
      <w:start w:val="1"/>
      <w:numFmt w:val="bullet"/>
      <w:lvlText w:val="•"/>
      <w:lvlJc w:val="left"/>
      <w:pPr>
        <w:tabs>
          <w:tab w:val="num" w:pos="5400"/>
        </w:tabs>
        <w:ind w:left="5400" w:hanging="360"/>
      </w:pPr>
      <w:rPr>
        <w:rFonts w:ascii="Times New Roman" w:hAnsi="Times New Roman" w:hint="default"/>
      </w:rPr>
    </w:lvl>
    <w:lvl w:ilvl="8" w:tplc="3578AAEC" w:tentative="1">
      <w:start w:val="1"/>
      <w:numFmt w:val="bullet"/>
      <w:lvlText w:val="•"/>
      <w:lvlJc w:val="left"/>
      <w:pPr>
        <w:tabs>
          <w:tab w:val="num" w:pos="6120"/>
        </w:tabs>
        <w:ind w:left="6120" w:hanging="360"/>
      </w:pPr>
      <w:rPr>
        <w:rFonts w:ascii="Times New Roman" w:hAnsi="Times New Roman" w:hint="default"/>
      </w:rPr>
    </w:lvl>
  </w:abstractNum>
  <w:abstractNum w:abstractNumId="7">
    <w:nsid w:val="15C60AB0"/>
    <w:multiLevelType w:val="hybridMultilevel"/>
    <w:tmpl w:val="7C924B24"/>
    <w:lvl w:ilvl="0" w:tplc="F3688BA6">
      <w:start w:val="1"/>
      <w:numFmt w:val="bullet"/>
      <w:lvlText w:val="•"/>
      <w:lvlJc w:val="left"/>
      <w:pPr>
        <w:tabs>
          <w:tab w:val="num" w:pos="720"/>
        </w:tabs>
        <w:ind w:left="720" w:hanging="360"/>
      </w:pPr>
      <w:rPr>
        <w:rFonts w:ascii="Times New Roman" w:hAnsi="Times New Roman" w:hint="default"/>
      </w:rPr>
    </w:lvl>
    <w:lvl w:ilvl="1" w:tplc="015EB2BA" w:tentative="1">
      <w:start w:val="1"/>
      <w:numFmt w:val="bullet"/>
      <w:lvlText w:val="•"/>
      <w:lvlJc w:val="left"/>
      <w:pPr>
        <w:tabs>
          <w:tab w:val="num" w:pos="1440"/>
        </w:tabs>
        <w:ind w:left="1440" w:hanging="360"/>
      </w:pPr>
      <w:rPr>
        <w:rFonts w:ascii="Times New Roman" w:hAnsi="Times New Roman" w:hint="default"/>
      </w:rPr>
    </w:lvl>
    <w:lvl w:ilvl="2" w:tplc="28CC8908" w:tentative="1">
      <w:start w:val="1"/>
      <w:numFmt w:val="bullet"/>
      <w:lvlText w:val="•"/>
      <w:lvlJc w:val="left"/>
      <w:pPr>
        <w:tabs>
          <w:tab w:val="num" w:pos="2160"/>
        </w:tabs>
        <w:ind w:left="2160" w:hanging="360"/>
      </w:pPr>
      <w:rPr>
        <w:rFonts w:ascii="Times New Roman" w:hAnsi="Times New Roman" w:hint="default"/>
      </w:rPr>
    </w:lvl>
    <w:lvl w:ilvl="3" w:tplc="5ED4758C" w:tentative="1">
      <w:start w:val="1"/>
      <w:numFmt w:val="bullet"/>
      <w:lvlText w:val="•"/>
      <w:lvlJc w:val="left"/>
      <w:pPr>
        <w:tabs>
          <w:tab w:val="num" w:pos="2880"/>
        </w:tabs>
        <w:ind w:left="2880" w:hanging="360"/>
      </w:pPr>
      <w:rPr>
        <w:rFonts w:ascii="Times New Roman" w:hAnsi="Times New Roman" w:hint="default"/>
      </w:rPr>
    </w:lvl>
    <w:lvl w:ilvl="4" w:tplc="190C614C" w:tentative="1">
      <w:start w:val="1"/>
      <w:numFmt w:val="bullet"/>
      <w:lvlText w:val="•"/>
      <w:lvlJc w:val="left"/>
      <w:pPr>
        <w:tabs>
          <w:tab w:val="num" w:pos="3600"/>
        </w:tabs>
        <w:ind w:left="3600" w:hanging="360"/>
      </w:pPr>
      <w:rPr>
        <w:rFonts w:ascii="Times New Roman" w:hAnsi="Times New Roman" w:hint="default"/>
      </w:rPr>
    </w:lvl>
    <w:lvl w:ilvl="5" w:tplc="0256F9AC" w:tentative="1">
      <w:start w:val="1"/>
      <w:numFmt w:val="bullet"/>
      <w:lvlText w:val="•"/>
      <w:lvlJc w:val="left"/>
      <w:pPr>
        <w:tabs>
          <w:tab w:val="num" w:pos="4320"/>
        </w:tabs>
        <w:ind w:left="4320" w:hanging="360"/>
      </w:pPr>
      <w:rPr>
        <w:rFonts w:ascii="Times New Roman" w:hAnsi="Times New Roman" w:hint="default"/>
      </w:rPr>
    </w:lvl>
    <w:lvl w:ilvl="6" w:tplc="F18624A2" w:tentative="1">
      <w:start w:val="1"/>
      <w:numFmt w:val="bullet"/>
      <w:lvlText w:val="•"/>
      <w:lvlJc w:val="left"/>
      <w:pPr>
        <w:tabs>
          <w:tab w:val="num" w:pos="5040"/>
        </w:tabs>
        <w:ind w:left="5040" w:hanging="360"/>
      </w:pPr>
      <w:rPr>
        <w:rFonts w:ascii="Times New Roman" w:hAnsi="Times New Roman" w:hint="default"/>
      </w:rPr>
    </w:lvl>
    <w:lvl w:ilvl="7" w:tplc="C32E5AB4" w:tentative="1">
      <w:start w:val="1"/>
      <w:numFmt w:val="bullet"/>
      <w:lvlText w:val="•"/>
      <w:lvlJc w:val="left"/>
      <w:pPr>
        <w:tabs>
          <w:tab w:val="num" w:pos="5760"/>
        </w:tabs>
        <w:ind w:left="5760" w:hanging="360"/>
      </w:pPr>
      <w:rPr>
        <w:rFonts w:ascii="Times New Roman" w:hAnsi="Times New Roman" w:hint="default"/>
      </w:rPr>
    </w:lvl>
    <w:lvl w:ilvl="8" w:tplc="211EDF84" w:tentative="1">
      <w:start w:val="1"/>
      <w:numFmt w:val="bullet"/>
      <w:lvlText w:val="•"/>
      <w:lvlJc w:val="left"/>
      <w:pPr>
        <w:tabs>
          <w:tab w:val="num" w:pos="6480"/>
        </w:tabs>
        <w:ind w:left="6480" w:hanging="360"/>
      </w:pPr>
      <w:rPr>
        <w:rFonts w:ascii="Times New Roman" w:hAnsi="Times New Roman" w:hint="default"/>
      </w:rPr>
    </w:lvl>
  </w:abstractNum>
  <w:abstractNum w:abstractNumId="8">
    <w:nsid w:val="1C0C2E43"/>
    <w:multiLevelType w:val="hybridMultilevel"/>
    <w:tmpl w:val="1D0A90DE"/>
    <w:lvl w:ilvl="0" w:tplc="1E2E1B74">
      <w:start w:val="1"/>
      <w:numFmt w:val="bullet"/>
      <w:lvlText w:val="•"/>
      <w:lvlJc w:val="left"/>
      <w:pPr>
        <w:tabs>
          <w:tab w:val="num" w:pos="720"/>
        </w:tabs>
        <w:ind w:left="720" w:hanging="360"/>
      </w:pPr>
      <w:rPr>
        <w:rFonts w:ascii="Times New Roman" w:hAnsi="Times New Roman" w:hint="default"/>
      </w:rPr>
    </w:lvl>
    <w:lvl w:ilvl="1" w:tplc="9F96E2EC" w:tentative="1">
      <w:start w:val="1"/>
      <w:numFmt w:val="bullet"/>
      <w:lvlText w:val="•"/>
      <w:lvlJc w:val="left"/>
      <w:pPr>
        <w:tabs>
          <w:tab w:val="num" w:pos="1440"/>
        </w:tabs>
        <w:ind w:left="1440" w:hanging="360"/>
      </w:pPr>
      <w:rPr>
        <w:rFonts w:ascii="Times New Roman" w:hAnsi="Times New Roman" w:hint="default"/>
      </w:rPr>
    </w:lvl>
    <w:lvl w:ilvl="2" w:tplc="28FA7AB0" w:tentative="1">
      <w:start w:val="1"/>
      <w:numFmt w:val="bullet"/>
      <w:lvlText w:val="•"/>
      <w:lvlJc w:val="left"/>
      <w:pPr>
        <w:tabs>
          <w:tab w:val="num" w:pos="2160"/>
        </w:tabs>
        <w:ind w:left="2160" w:hanging="360"/>
      </w:pPr>
      <w:rPr>
        <w:rFonts w:ascii="Times New Roman" w:hAnsi="Times New Roman" w:hint="default"/>
      </w:rPr>
    </w:lvl>
    <w:lvl w:ilvl="3" w:tplc="371EE55E" w:tentative="1">
      <w:start w:val="1"/>
      <w:numFmt w:val="bullet"/>
      <w:lvlText w:val="•"/>
      <w:lvlJc w:val="left"/>
      <w:pPr>
        <w:tabs>
          <w:tab w:val="num" w:pos="2880"/>
        </w:tabs>
        <w:ind w:left="2880" w:hanging="360"/>
      </w:pPr>
      <w:rPr>
        <w:rFonts w:ascii="Times New Roman" w:hAnsi="Times New Roman" w:hint="default"/>
      </w:rPr>
    </w:lvl>
    <w:lvl w:ilvl="4" w:tplc="F14A4B66" w:tentative="1">
      <w:start w:val="1"/>
      <w:numFmt w:val="bullet"/>
      <w:lvlText w:val="•"/>
      <w:lvlJc w:val="left"/>
      <w:pPr>
        <w:tabs>
          <w:tab w:val="num" w:pos="3600"/>
        </w:tabs>
        <w:ind w:left="3600" w:hanging="360"/>
      </w:pPr>
      <w:rPr>
        <w:rFonts w:ascii="Times New Roman" w:hAnsi="Times New Roman" w:hint="default"/>
      </w:rPr>
    </w:lvl>
    <w:lvl w:ilvl="5" w:tplc="1C5EAF76" w:tentative="1">
      <w:start w:val="1"/>
      <w:numFmt w:val="bullet"/>
      <w:lvlText w:val="•"/>
      <w:lvlJc w:val="left"/>
      <w:pPr>
        <w:tabs>
          <w:tab w:val="num" w:pos="4320"/>
        </w:tabs>
        <w:ind w:left="4320" w:hanging="360"/>
      </w:pPr>
      <w:rPr>
        <w:rFonts w:ascii="Times New Roman" w:hAnsi="Times New Roman" w:hint="default"/>
      </w:rPr>
    </w:lvl>
    <w:lvl w:ilvl="6" w:tplc="F230E1B8" w:tentative="1">
      <w:start w:val="1"/>
      <w:numFmt w:val="bullet"/>
      <w:lvlText w:val="•"/>
      <w:lvlJc w:val="left"/>
      <w:pPr>
        <w:tabs>
          <w:tab w:val="num" w:pos="5040"/>
        </w:tabs>
        <w:ind w:left="5040" w:hanging="360"/>
      </w:pPr>
      <w:rPr>
        <w:rFonts w:ascii="Times New Roman" w:hAnsi="Times New Roman" w:hint="default"/>
      </w:rPr>
    </w:lvl>
    <w:lvl w:ilvl="7" w:tplc="046C1E50" w:tentative="1">
      <w:start w:val="1"/>
      <w:numFmt w:val="bullet"/>
      <w:lvlText w:val="•"/>
      <w:lvlJc w:val="left"/>
      <w:pPr>
        <w:tabs>
          <w:tab w:val="num" w:pos="5760"/>
        </w:tabs>
        <w:ind w:left="5760" w:hanging="360"/>
      </w:pPr>
      <w:rPr>
        <w:rFonts w:ascii="Times New Roman" w:hAnsi="Times New Roman" w:hint="default"/>
      </w:rPr>
    </w:lvl>
    <w:lvl w:ilvl="8" w:tplc="39A28404" w:tentative="1">
      <w:start w:val="1"/>
      <w:numFmt w:val="bullet"/>
      <w:lvlText w:val="•"/>
      <w:lvlJc w:val="left"/>
      <w:pPr>
        <w:tabs>
          <w:tab w:val="num" w:pos="6480"/>
        </w:tabs>
        <w:ind w:left="6480" w:hanging="360"/>
      </w:pPr>
      <w:rPr>
        <w:rFonts w:ascii="Times New Roman" w:hAnsi="Times New Roman" w:hint="default"/>
      </w:rPr>
    </w:lvl>
  </w:abstractNum>
  <w:abstractNum w:abstractNumId="9">
    <w:nsid w:val="1E0C6639"/>
    <w:multiLevelType w:val="hybridMultilevel"/>
    <w:tmpl w:val="CF268EB0"/>
    <w:lvl w:ilvl="0" w:tplc="7D00EEF4">
      <w:start w:val="1"/>
      <w:numFmt w:val="bullet"/>
      <w:lvlText w:val="•"/>
      <w:lvlJc w:val="left"/>
      <w:pPr>
        <w:tabs>
          <w:tab w:val="num" w:pos="360"/>
        </w:tabs>
        <w:ind w:left="360" w:hanging="360"/>
      </w:pPr>
      <w:rPr>
        <w:rFonts w:ascii="Times New Roman" w:hAnsi="Times New Roman" w:hint="default"/>
      </w:rPr>
    </w:lvl>
    <w:lvl w:ilvl="1" w:tplc="AC221404" w:tentative="1">
      <w:start w:val="1"/>
      <w:numFmt w:val="bullet"/>
      <w:lvlText w:val="•"/>
      <w:lvlJc w:val="left"/>
      <w:pPr>
        <w:tabs>
          <w:tab w:val="num" w:pos="1080"/>
        </w:tabs>
        <w:ind w:left="1080" w:hanging="360"/>
      </w:pPr>
      <w:rPr>
        <w:rFonts w:ascii="Times New Roman" w:hAnsi="Times New Roman" w:hint="default"/>
      </w:rPr>
    </w:lvl>
    <w:lvl w:ilvl="2" w:tplc="40F43648" w:tentative="1">
      <w:start w:val="1"/>
      <w:numFmt w:val="bullet"/>
      <w:lvlText w:val="•"/>
      <w:lvlJc w:val="left"/>
      <w:pPr>
        <w:tabs>
          <w:tab w:val="num" w:pos="1800"/>
        </w:tabs>
        <w:ind w:left="1800" w:hanging="360"/>
      </w:pPr>
      <w:rPr>
        <w:rFonts w:ascii="Times New Roman" w:hAnsi="Times New Roman" w:hint="default"/>
      </w:rPr>
    </w:lvl>
    <w:lvl w:ilvl="3" w:tplc="BDAE3D12" w:tentative="1">
      <w:start w:val="1"/>
      <w:numFmt w:val="bullet"/>
      <w:lvlText w:val="•"/>
      <w:lvlJc w:val="left"/>
      <w:pPr>
        <w:tabs>
          <w:tab w:val="num" w:pos="2520"/>
        </w:tabs>
        <w:ind w:left="2520" w:hanging="360"/>
      </w:pPr>
      <w:rPr>
        <w:rFonts w:ascii="Times New Roman" w:hAnsi="Times New Roman" w:hint="default"/>
      </w:rPr>
    </w:lvl>
    <w:lvl w:ilvl="4" w:tplc="2CB8E7CE" w:tentative="1">
      <w:start w:val="1"/>
      <w:numFmt w:val="bullet"/>
      <w:lvlText w:val="•"/>
      <w:lvlJc w:val="left"/>
      <w:pPr>
        <w:tabs>
          <w:tab w:val="num" w:pos="3240"/>
        </w:tabs>
        <w:ind w:left="3240" w:hanging="360"/>
      </w:pPr>
      <w:rPr>
        <w:rFonts w:ascii="Times New Roman" w:hAnsi="Times New Roman" w:hint="default"/>
      </w:rPr>
    </w:lvl>
    <w:lvl w:ilvl="5" w:tplc="7ED0570A" w:tentative="1">
      <w:start w:val="1"/>
      <w:numFmt w:val="bullet"/>
      <w:lvlText w:val="•"/>
      <w:lvlJc w:val="left"/>
      <w:pPr>
        <w:tabs>
          <w:tab w:val="num" w:pos="3960"/>
        </w:tabs>
        <w:ind w:left="3960" w:hanging="360"/>
      </w:pPr>
      <w:rPr>
        <w:rFonts w:ascii="Times New Roman" w:hAnsi="Times New Roman" w:hint="default"/>
      </w:rPr>
    </w:lvl>
    <w:lvl w:ilvl="6" w:tplc="B1406788" w:tentative="1">
      <w:start w:val="1"/>
      <w:numFmt w:val="bullet"/>
      <w:lvlText w:val="•"/>
      <w:lvlJc w:val="left"/>
      <w:pPr>
        <w:tabs>
          <w:tab w:val="num" w:pos="4680"/>
        </w:tabs>
        <w:ind w:left="4680" w:hanging="360"/>
      </w:pPr>
      <w:rPr>
        <w:rFonts w:ascii="Times New Roman" w:hAnsi="Times New Roman" w:hint="default"/>
      </w:rPr>
    </w:lvl>
    <w:lvl w:ilvl="7" w:tplc="2D207176" w:tentative="1">
      <w:start w:val="1"/>
      <w:numFmt w:val="bullet"/>
      <w:lvlText w:val="•"/>
      <w:lvlJc w:val="left"/>
      <w:pPr>
        <w:tabs>
          <w:tab w:val="num" w:pos="5400"/>
        </w:tabs>
        <w:ind w:left="5400" w:hanging="360"/>
      </w:pPr>
      <w:rPr>
        <w:rFonts w:ascii="Times New Roman" w:hAnsi="Times New Roman" w:hint="default"/>
      </w:rPr>
    </w:lvl>
    <w:lvl w:ilvl="8" w:tplc="4BE0288A" w:tentative="1">
      <w:start w:val="1"/>
      <w:numFmt w:val="bullet"/>
      <w:lvlText w:val="•"/>
      <w:lvlJc w:val="left"/>
      <w:pPr>
        <w:tabs>
          <w:tab w:val="num" w:pos="6120"/>
        </w:tabs>
        <w:ind w:left="6120" w:hanging="360"/>
      </w:pPr>
      <w:rPr>
        <w:rFonts w:ascii="Times New Roman" w:hAnsi="Times New Roman" w:hint="default"/>
      </w:rPr>
    </w:lvl>
  </w:abstractNum>
  <w:abstractNum w:abstractNumId="10">
    <w:nsid w:val="1FB52929"/>
    <w:multiLevelType w:val="hybridMultilevel"/>
    <w:tmpl w:val="A268F9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8406A70"/>
    <w:multiLevelType w:val="hybridMultilevel"/>
    <w:tmpl w:val="4B0A3256"/>
    <w:lvl w:ilvl="0" w:tplc="5A6673FC">
      <w:start w:val="1"/>
      <w:numFmt w:val="bullet"/>
      <w:lvlText w:val="•"/>
      <w:lvlJc w:val="left"/>
      <w:pPr>
        <w:tabs>
          <w:tab w:val="num" w:pos="720"/>
        </w:tabs>
        <w:ind w:left="720" w:hanging="360"/>
      </w:pPr>
      <w:rPr>
        <w:rFonts w:ascii="Times New Roman" w:hAnsi="Times New Roman" w:hint="default"/>
      </w:rPr>
    </w:lvl>
    <w:lvl w:ilvl="1" w:tplc="EC8C5D10" w:tentative="1">
      <w:start w:val="1"/>
      <w:numFmt w:val="bullet"/>
      <w:lvlText w:val="•"/>
      <w:lvlJc w:val="left"/>
      <w:pPr>
        <w:tabs>
          <w:tab w:val="num" w:pos="1440"/>
        </w:tabs>
        <w:ind w:left="1440" w:hanging="360"/>
      </w:pPr>
      <w:rPr>
        <w:rFonts w:ascii="Times New Roman" w:hAnsi="Times New Roman" w:hint="default"/>
      </w:rPr>
    </w:lvl>
    <w:lvl w:ilvl="2" w:tplc="CC5806C2" w:tentative="1">
      <w:start w:val="1"/>
      <w:numFmt w:val="bullet"/>
      <w:lvlText w:val="•"/>
      <w:lvlJc w:val="left"/>
      <w:pPr>
        <w:tabs>
          <w:tab w:val="num" w:pos="2160"/>
        </w:tabs>
        <w:ind w:left="2160" w:hanging="360"/>
      </w:pPr>
      <w:rPr>
        <w:rFonts w:ascii="Times New Roman" w:hAnsi="Times New Roman" w:hint="default"/>
      </w:rPr>
    </w:lvl>
    <w:lvl w:ilvl="3" w:tplc="97401776" w:tentative="1">
      <w:start w:val="1"/>
      <w:numFmt w:val="bullet"/>
      <w:lvlText w:val="•"/>
      <w:lvlJc w:val="left"/>
      <w:pPr>
        <w:tabs>
          <w:tab w:val="num" w:pos="2880"/>
        </w:tabs>
        <w:ind w:left="2880" w:hanging="360"/>
      </w:pPr>
      <w:rPr>
        <w:rFonts w:ascii="Times New Roman" w:hAnsi="Times New Roman" w:hint="default"/>
      </w:rPr>
    </w:lvl>
    <w:lvl w:ilvl="4" w:tplc="8CC043A6" w:tentative="1">
      <w:start w:val="1"/>
      <w:numFmt w:val="bullet"/>
      <w:lvlText w:val="•"/>
      <w:lvlJc w:val="left"/>
      <w:pPr>
        <w:tabs>
          <w:tab w:val="num" w:pos="3600"/>
        </w:tabs>
        <w:ind w:left="3600" w:hanging="360"/>
      </w:pPr>
      <w:rPr>
        <w:rFonts w:ascii="Times New Roman" w:hAnsi="Times New Roman" w:hint="default"/>
      </w:rPr>
    </w:lvl>
    <w:lvl w:ilvl="5" w:tplc="AF108D14" w:tentative="1">
      <w:start w:val="1"/>
      <w:numFmt w:val="bullet"/>
      <w:lvlText w:val="•"/>
      <w:lvlJc w:val="left"/>
      <w:pPr>
        <w:tabs>
          <w:tab w:val="num" w:pos="4320"/>
        </w:tabs>
        <w:ind w:left="4320" w:hanging="360"/>
      </w:pPr>
      <w:rPr>
        <w:rFonts w:ascii="Times New Roman" w:hAnsi="Times New Roman" w:hint="default"/>
      </w:rPr>
    </w:lvl>
    <w:lvl w:ilvl="6" w:tplc="A65C9E96" w:tentative="1">
      <w:start w:val="1"/>
      <w:numFmt w:val="bullet"/>
      <w:lvlText w:val="•"/>
      <w:lvlJc w:val="left"/>
      <w:pPr>
        <w:tabs>
          <w:tab w:val="num" w:pos="5040"/>
        </w:tabs>
        <w:ind w:left="5040" w:hanging="360"/>
      </w:pPr>
      <w:rPr>
        <w:rFonts w:ascii="Times New Roman" w:hAnsi="Times New Roman" w:hint="default"/>
      </w:rPr>
    </w:lvl>
    <w:lvl w:ilvl="7" w:tplc="5654610C" w:tentative="1">
      <w:start w:val="1"/>
      <w:numFmt w:val="bullet"/>
      <w:lvlText w:val="•"/>
      <w:lvlJc w:val="left"/>
      <w:pPr>
        <w:tabs>
          <w:tab w:val="num" w:pos="5760"/>
        </w:tabs>
        <w:ind w:left="5760" w:hanging="360"/>
      </w:pPr>
      <w:rPr>
        <w:rFonts w:ascii="Times New Roman" w:hAnsi="Times New Roman" w:hint="default"/>
      </w:rPr>
    </w:lvl>
    <w:lvl w:ilvl="8" w:tplc="8C1450E4"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FA9190C"/>
    <w:multiLevelType w:val="hybridMultilevel"/>
    <w:tmpl w:val="17186A80"/>
    <w:lvl w:ilvl="0" w:tplc="0748B0A6">
      <w:start w:val="1"/>
      <w:numFmt w:val="bullet"/>
      <w:lvlText w:val="•"/>
      <w:lvlJc w:val="left"/>
      <w:pPr>
        <w:tabs>
          <w:tab w:val="num" w:pos="720"/>
        </w:tabs>
        <w:ind w:left="720" w:hanging="360"/>
      </w:pPr>
      <w:rPr>
        <w:rFonts w:ascii="Times New Roman" w:hAnsi="Times New Roman" w:hint="default"/>
      </w:rPr>
    </w:lvl>
    <w:lvl w:ilvl="1" w:tplc="612E97A8" w:tentative="1">
      <w:start w:val="1"/>
      <w:numFmt w:val="bullet"/>
      <w:lvlText w:val="•"/>
      <w:lvlJc w:val="left"/>
      <w:pPr>
        <w:tabs>
          <w:tab w:val="num" w:pos="1440"/>
        </w:tabs>
        <w:ind w:left="1440" w:hanging="360"/>
      </w:pPr>
      <w:rPr>
        <w:rFonts w:ascii="Times New Roman" w:hAnsi="Times New Roman" w:hint="default"/>
      </w:rPr>
    </w:lvl>
    <w:lvl w:ilvl="2" w:tplc="7E5875B0" w:tentative="1">
      <w:start w:val="1"/>
      <w:numFmt w:val="bullet"/>
      <w:lvlText w:val="•"/>
      <w:lvlJc w:val="left"/>
      <w:pPr>
        <w:tabs>
          <w:tab w:val="num" w:pos="2160"/>
        </w:tabs>
        <w:ind w:left="2160" w:hanging="360"/>
      </w:pPr>
      <w:rPr>
        <w:rFonts w:ascii="Times New Roman" w:hAnsi="Times New Roman" w:hint="default"/>
      </w:rPr>
    </w:lvl>
    <w:lvl w:ilvl="3" w:tplc="50AC3D7E" w:tentative="1">
      <w:start w:val="1"/>
      <w:numFmt w:val="bullet"/>
      <w:lvlText w:val="•"/>
      <w:lvlJc w:val="left"/>
      <w:pPr>
        <w:tabs>
          <w:tab w:val="num" w:pos="2880"/>
        </w:tabs>
        <w:ind w:left="2880" w:hanging="360"/>
      </w:pPr>
      <w:rPr>
        <w:rFonts w:ascii="Times New Roman" w:hAnsi="Times New Roman" w:hint="default"/>
      </w:rPr>
    </w:lvl>
    <w:lvl w:ilvl="4" w:tplc="5B5C2E14" w:tentative="1">
      <w:start w:val="1"/>
      <w:numFmt w:val="bullet"/>
      <w:lvlText w:val="•"/>
      <w:lvlJc w:val="left"/>
      <w:pPr>
        <w:tabs>
          <w:tab w:val="num" w:pos="3600"/>
        </w:tabs>
        <w:ind w:left="3600" w:hanging="360"/>
      </w:pPr>
      <w:rPr>
        <w:rFonts w:ascii="Times New Roman" w:hAnsi="Times New Roman" w:hint="default"/>
      </w:rPr>
    </w:lvl>
    <w:lvl w:ilvl="5" w:tplc="3A4CCBB6" w:tentative="1">
      <w:start w:val="1"/>
      <w:numFmt w:val="bullet"/>
      <w:lvlText w:val="•"/>
      <w:lvlJc w:val="left"/>
      <w:pPr>
        <w:tabs>
          <w:tab w:val="num" w:pos="4320"/>
        </w:tabs>
        <w:ind w:left="4320" w:hanging="360"/>
      </w:pPr>
      <w:rPr>
        <w:rFonts w:ascii="Times New Roman" w:hAnsi="Times New Roman" w:hint="default"/>
      </w:rPr>
    </w:lvl>
    <w:lvl w:ilvl="6" w:tplc="9460D44A" w:tentative="1">
      <w:start w:val="1"/>
      <w:numFmt w:val="bullet"/>
      <w:lvlText w:val="•"/>
      <w:lvlJc w:val="left"/>
      <w:pPr>
        <w:tabs>
          <w:tab w:val="num" w:pos="5040"/>
        </w:tabs>
        <w:ind w:left="5040" w:hanging="360"/>
      </w:pPr>
      <w:rPr>
        <w:rFonts w:ascii="Times New Roman" w:hAnsi="Times New Roman" w:hint="default"/>
      </w:rPr>
    </w:lvl>
    <w:lvl w:ilvl="7" w:tplc="CD46B5F4" w:tentative="1">
      <w:start w:val="1"/>
      <w:numFmt w:val="bullet"/>
      <w:lvlText w:val="•"/>
      <w:lvlJc w:val="left"/>
      <w:pPr>
        <w:tabs>
          <w:tab w:val="num" w:pos="5760"/>
        </w:tabs>
        <w:ind w:left="5760" w:hanging="360"/>
      </w:pPr>
      <w:rPr>
        <w:rFonts w:ascii="Times New Roman" w:hAnsi="Times New Roman" w:hint="default"/>
      </w:rPr>
    </w:lvl>
    <w:lvl w:ilvl="8" w:tplc="E0E098A2"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15F5709"/>
    <w:multiLevelType w:val="hybridMultilevel"/>
    <w:tmpl w:val="6CDEDE7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3497513C"/>
    <w:multiLevelType w:val="hybridMultilevel"/>
    <w:tmpl w:val="68561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B8223FE"/>
    <w:multiLevelType w:val="hybridMultilevel"/>
    <w:tmpl w:val="E98AE1F8"/>
    <w:lvl w:ilvl="0" w:tplc="8DB84354">
      <w:start w:val="1"/>
      <w:numFmt w:val="bullet"/>
      <w:lvlText w:val="•"/>
      <w:lvlJc w:val="left"/>
      <w:pPr>
        <w:tabs>
          <w:tab w:val="num" w:pos="720"/>
        </w:tabs>
        <w:ind w:left="720" w:hanging="360"/>
      </w:pPr>
      <w:rPr>
        <w:rFonts w:ascii="Times New Roman" w:hAnsi="Times New Roman" w:hint="default"/>
      </w:rPr>
    </w:lvl>
    <w:lvl w:ilvl="1" w:tplc="7A708E8A" w:tentative="1">
      <w:start w:val="1"/>
      <w:numFmt w:val="bullet"/>
      <w:lvlText w:val="•"/>
      <w:lvlJc w:val="left"/>
      <w:pPr>
        <w:tabs>
          <w:tab w:val="num" w:pos="1440"/>
        </w:tabs>
        <w:ind w:left="1440" w:hanging="360"/>
      </w:pPr>
      <w:rPr>
        <w:rFonts w:ascii="Times New Roman" w:hAnsi="Times New Roman" w:hint="default"/>
      </w:rPr>
    </w:lvl>
    <w:lvl w:ilvl="2" w:tplc="BC6ADFE4" w:tentative="1">
      <w:start w:val="1"/>
      <w:numFmt w:val="bullet"/>
      <w:lvlText w:val="•"/>
      <w:lvlJc w:val="left"/>
      <w:pPr>
        <w:tabs>
          <w:tab w:val="num" w:pos="2160"/>
        </w:tabs>
        <w:ind w:left="2160" w:hanging="360"/>
      </w:pPr>
      <w:rPr>
        <w:rFonts w:ascii="Times New Roman" w:hAnsi="Times New Roman" w:hint="default"/>
      </w:rPr>
    </w:lvl>
    <w:lvl w:ilvl="3" w:tplc="C84826C8" w:tentative="1">
      <w:start w:val="1"/>
      <w:numFmt w:val="bullet"/>
      <w:lvlText w:val="•"/>
      <w:lvlJc w:val="left"/>
      <w:pPr>
        <w:tabs>
          <w:tab w:val="num" w:pos="2880"/>
        </w:tabs>
        <w:ind w:left="2880" w:hanging="360"/>
      </w:pPr>
      <w:rPr>
        <w:rFonts w:ascii="Times New Roman" w:hAnsi="Times New Roman" w:hint="default"/>
      </w:rPr>
    </w:lvl>
    <w:lvl w:ilvl="4" w:tplc="21C4A842" w:tentative="1">
      <w:start w:val="1"/>
      <w:numFmt w:val="bullet"/>
      <w:lvlText w:val="•"/>
      <w:lvlJc w:val="left"/>
      <w:pPr>
        <w:tabs>
          <w:tab w:val="num" w:pos="3600"/>
        </w:tabs>
        <w:ind w:left="3600" w:hanging="360"/>
      </w:pPr>
      <w:rPr>
        <w:rFonts w:ascii="Times New Roman" w:hAnsi="Times New Roman" w:hint="default"/>
      </w:rPr>
    </w:lvl>
    <w:lvl w:ilvl="5" w:tplc="58181B46" w:tentative="1">
      <w:start w:val="1"/>
      <w:numFmt w:val="bullet"/>
      <w:lvlText w:val="•"/>
      <w:lvlJc w:val="left"/>
      <w:pPr>
        <w:tabs>
          <w:tab w:val="num" w:pos="4320"/>
        </w:tabs>
        <w:ind w:left="4320" w:hanging="360"/>
      </w:pPr>
      <w:rPr>
        <w:rFonts w:ascii="Times New Roman" w:hAnsi="Times New Roman" w:hint="default"/>
      </w:rPr>
    </w:lvl>
    <w:lvl w:ilvl="6" w:tplc="AD367E6E" w:tentative="1">
      <w:start w:val="1"/>
      <w:numFmt w:val="bullet"/>
      <w:lvlText w:val="•"/>
      <w:lvlJc w:val="left"/>
      <w:pPr>
        <w:tabs>
          <w:tab w:val="num" w:pos="5040"/>
        </w:tabs>
        <w:ind w:left="5040" w:hanging="360"/>
      </w:pPr>
      <w:rPr>
        <w:rFonts w:ascii="Times New Roman" w:hAnsi="Times New Roman" w:hint="default"/>
      </w:rPr>
    </w:lvl>
    <w:lvl w:ilvl="7" w:tplc="AA1A2952" w:tentative="1">
      <w:start w:val="1"/>
      <w:numFmt w:val="bullet"/>
      <w:lvlText w:val="•"/>
      <w:lvlJc w:val="left"/>
      <w:pPr>
        <w:tabs>
          <w:tab w:val="num" w:pos="5760"/>
        </w:tabs>
        <w:ind w:left="5760" w:hanging="360"/>
      </w:pPr>
      <w:rPr>
        <w:rFonts w:ascii="Times New Roman" w:hAnsi="Times New Roman" w:hint="default"/>
      </w:rPr>
    </w:lvl>
    <w:lvl w:ilvl="8" w:tplc="A0FA0CCC"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2394519"/>
    <w:multiLevelType w:val="hybridMultilevel"/>
    <w:tmpl w:val="B24CBB5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44843138"/>
    <w:multiLevelType w:val="hybridMultilevel"/>
    <w:tmpl w:val="D830216C"/>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80813A4"/>
    <w:multiLevelType w:val="hybridMultilevel"/>
    <w:tmpl w:val="5C3283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6D97A03"/>
    <w:multiLevelType w:val="hybridMultilevel"/>
    <w:tmpl w:val="1C0C6A6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5721489E"/>
    <w:multiLevelType w:val="hybridMultilevel"/>
    <w:tmpl w:val="299A76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5C61A84"/>
    <w:multiLevelType w:val="hybridMultilevel"/>
    <w:tmpl w:val="D62026F8"/>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65F057A"/>
    <w:multiLevelType w:val="hybridMultilevel"/>
    <w:tmpl w:val="B024F4A6"/>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7520961"/>
    <w:multiLevelType w:val="hybridMultilevel"/>
    <w:tmpl w:val="EC12FB32"/>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7882974"/>
    <w:multiLevelType w:val="hybridMultilevel"/>
    <w:tmpl w:val="5942BA9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DA10A5D"/>
    <w:multiLevelType w:val="hybridMultilevel"/>
    <w:tmpl w:val="65CEF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DA1118A"/>
    <w:multiLevelType w:val="hybridMultilevel"/>
    <w:tmpl w:val="08B4561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726A1E6B"/>
    <w:multiLevelType w:val="hybridMultilevel"/>
    <w:tmpl w:val="33B65150"/>
    <w:lvl w:ilvl="0" w:tplc="10090001">
      <w:start w:val="1"/>
      <w:numFmt w:val="bullet"/>
      <w:lvlText w:val=""/>
      <w:lvlJc w:val="left"/>
      <w:pPr>
        <w:ind w:left="773" w:hanging="360"/>
      </w:pPr>
      <w:rPr>
        <w:rFonts w:ascii="Symbol" w:hAnsi="Symbol" w:hint="default"/>
      </w:rPr>
    </w:lvl>
    <w:lvl w:ilvl="1" w:tplc="10090003" w:tentative="1">
      <w:start w:val="1"/>
      <w:numFmt w:val="bullet"/>
      <w:lvlText w:val="o"/>
      <w:lvlJc w:val="left"/>
      <w:pPr>
        <w:ind w:left="1493" w:hanging="360"/>
      </w:pPr>
      <w:rPr>
        <w:rFonts w:ascii="Courier New" w:hAnsi="Courier New" w:cs="Courier New" w:hint="default"/>
      </w:rPr>
    </w:lvl>
    <w:lvl w:ilvl="2" w:tplc="10090005" w:tentative="1">
      <w:start w:val="1"/>
      <w:numFmt w:val="bullet"/>
      <w:lvlText w:val=""/>
      <w:lvlJc w:val="left"/>
      <w:pPr>
        <w:ind w:left="2213" w:hanging="360"/>
      </w:pPr>
      <w:rPr>
        <w:rFonts w:ascii="Wingdings" w:hAnsi="Wingdings" w:hint="default"/>
      </w:rPr>
    </w:lvl>
    <w:lvl w:ilvl="3" w:tplc="10090001" w:tentative="1">
      <w:start w:val="1"/>
      <w:numFmt w:val="bullet"/>
      <w:lvlText w:val=""/>
      <w:lvlJc w:val="left"/>
      <w:pPr>
        <w:ind w:left="2933" w:hanging="360"/>
      </w:pPr>
      <w:rPr>
        <w:rFonts w:ascii="Symbol" w:hAnsi="Symbol" w:hint="default"/>
      </w:rPr>
    </w:lvl>
    <w:lvl w:ilvl="4" w:tplc="10090003" w:tentative="1">
      <w:start w:val="1"/>
      <w:numFmt w:val="bullet"/>
      <w:lvlText w:val="o"/>
      <w:lvlJc w:val="left"/>
      <w:pPr>
        <w:ind w:left="3653" w:hanging="360"/>
      </w:pPr>
      <w:rPr>
        <w:rFonts w:ascii="Courier New" w:hAnsi="Courier New" w:cs="Courier New" w:hint="default"/>
      </w:rPr>
    </w:lvl>
    <w:lvl w:ilvl="5" w:tplc="10090005" w:tentative="1">
      <w:start w:val="1"/>
      <w:numFmt w:val="bullet"/>
      <w:lvlText w:val=""/>
      <w:lvlJc w:val="left"/>
      <w:pPr>
        <w:ind w:left="4373" w:hanging="360"/>
      </w:pPr>
      <w:rPr>
        <w:rFonts w:ascii="Wingdings" w:hAnsi="Wingdings" w:hint="default"/>
      </w:rPr>
    </w:lvl>
    <w:lvl w:ilvl="6" w:tplc="10090001" w:tentative="1">
      <w:start w:val="1"/>
      <w:numFmt w:val="bullet"/>
      <w:lvlText w:val=""/>
      <w:lvlJc w:val="left"/>
      <w:pPr>
        <w:ind w:left="5093" w:hanging="360"/>
      </w:pPr>
      <w:rPr>
        <w:rFonts w:ascii="Symbol" w:hAnsi="Symbol" w:hint="default"/>
      </w:rPr>
    </w:lvl>
    <w:lvl w:ilvl="7" w:tplc="10090003" w:tentative="1">
      <w:start w:val="1"/>
      <w:numFmt w:val="bullet"/>
      <w:lvlText w:val="o"/>
      <w:lvlJc w:val="left"/>
      <w:pPr>
        <w:ind w:left="5813" w:hanging="360"/>
      </w:pPr>
      <w:rPr>
        <w:rFonts w:ascii="Courier New" w:hAnsi="Courier New" w:cs="Courier New" w:hint="default"/>
      </w:rPr>
    </w:lvl>
    <w:lvl w:ilvl="8" w:tplc="10090005" w:tentative="1">
      <w:start w:val="1"/>
      <w:numFmt w:val="bullet"/>
      <w:lvlText w:val=""/>
      <w:lvlJc w:val="left"/>
      <w:pPr>
        <w:ind w:left="6533" w:hanging="360"/>
      </w:pPr>
      <w:rPr>
        <w:rFonts w:ascii="Wingdings" w:hAnsi="Wingdings" w:hint="default"/>
      </w:rPr>
    </w:lvl>
  </w:abstractNum>
  <w:abstractNum w:abstractNumId="28">
    <w:nsid w:val="787E494D"/>
    <w:multiLevelType w:val="hybridMultilevel"/>
    <w:tmpl w:val="87A2F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BF664FD"/>
    <w:multiLevelType w:val="hybridMultilevel"/>
    <w:tmpl w:val="0C44C7F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nsid w:val="7FDA3160"/>
    <w:multiLevelType w:val="hybridMultilevel"/>
    <w:tmpl w:val="B3F688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0"/>
  </w:num>
  <w:num w:numId="2">
    <w:abstractNumId w:val="10"/>
  </w:num>
  <w:num w:numId="3">
    <w:abstractNumId w:val="5"/>
  </w:num>
  <w:num w:numId="4">
    <w:abstractNumId w:val="12"/>
  </w:num>
  <w:num w:numId="5">
    <w:abstractNumId w:val="11"/>
  </w:num>
  <w:num w:numId="6">
    <w:abstractNumId w:val="1"/>
  </w:num>
  <w:num w:numId="7">
    <w:abstractNumId w:val="8"/>
  </w:num>
  <w:num w:numId="8">
    <w:abstractNumId w:val="15"/>
  </w:num>
  <w:num w:numId="9">
    <w:abstractNumId w:val="2"/>
  </w:num>
  <w:num w:numId="10">
    <w:abstractNumId w:val="7"/>
  </w:num>
  <w:num w:numId="11">
    <w:abstractNumId w:val="6"/>
  </w:num>
  <w:num w:numId="12">
    <w:abstractNumId w:val="9"/>
  </w:num>
  <w:num w:numId="13">
    <w:abstractNumId w:val="28"/>
  </w:num>
  <w:num w:numId="14">
    <w:abstractNumId w:val="4"/>
  </w:num>
  <w:num w:numId="15">
    <w:abstractNumId w:val="14"/>
  </w:num>
  <w:num w:numId="16">
    <w:abstractNumId w:val="30"/>
  </w:num>
  <w:num w:numId="17">
    <w:abstractNumId w:val="27"/>
  </w:num>
  <w:num w:numId="18">
    <w:abstractNumId w:val="25"/>
  </w:num>
  <w:num w:numId="19">
    <w:abstractNumId w:val="0"/>
  </w:num>
  <w:num w:numId="20">
    <w:abstractNumId w:val="16"/>
  </w:num>
  <w:num w:numId="21">
    <w:abstractNumId w:val="26"/>
  </w:num>
  <w:num w:numId="22">
    <w:abstractNumId w:val="29"/>
  </w:num>
  <w:num w:numId="23">
    <w:abstractNumId w:val="13"/>
  </w:num>
  <w:num w:numId="24">
    <w:abstractNumId w:val="3"/>
  </w:num>
  <w:num w:numId="25">
    <w:abstractNumId w:val="24"/>
  </w:num>
  <w:num w:numId="26">
    <w:abstractNumId w:val="21"/>
  </w:num>
  <w:num w:numId="27">
    <w:abstractNumId w:val="17"/>
  </w:num>
  <w:num w:numId="28">
    <w:abstractNumId w:val="19"/>
  </w:num>
  <w:num w:numId="29">
    <w:abstractNumId w:val="22"/>
  </w:num>
  <w:num w:numId="30">
    <w:abstractNumId w:val="23"/>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9AF"/>
    <w:rsid w:val="00033F0F"/>
    <w:rsid w:val="0004229A"/>
    <w:rsid w:val="0008498C"/>
    <w:rsid w:val="000919DC"/>
    <w:rsid w:val="000A0B65"/>
    <w:rsid w:val="000B0135"/>
    <w:rsid w:val="000B161B"/>
    <w:rsid w:val="000C75C2"/>
    <w:rsid w:val="000E64FB"/>
    <w:rsid w:val="000F4487"/>
    <w:rsid w:val="00103E9A"/>
    <w:rsid w:val="00106DC5"/>
    <w:rsid w:val="00107540"/>
    <w:rsid w:val="00111878"/>
    <w:rsid w:val="001205D8"/>
    <w:rsid w:val="0013359B"/>
    <w:rsid w:val="00133A28"/>
    <w:rsid w:val="001547E8"/>
    <w:rsid w:val="001754ED"/>
    <w:rsid w:val="00185065"/>
    <w:rsid w:val="00191E4F"/>
    <w:rsid w:val="001B12BF"/>
    <w:rsid w:val="001D1DD1"/>
    <w:rsid w:val="001E0B2A"/>
    <w:rsid w:val="001E28B5"/>
    <w:rsid w:val="001E5E75"/>
    <w:rsid w:val="001F5F21"/>
    <w:rsid w:val="0021060D"/>
    <w:rsid w:val="002112ED"/>
    <w:rsid w:val="00215759"/>
    <w:rsid w:val="0025013E"/>
    <w:rsid w:val="00290E1F"/>
    <w:rsid w:val="00293387"/>
    <w:rsid w:val="002A0B33"/>
    <w:rsid w:val="002B38A7"/>
    <w:rsid w:val="002B5204"/>
    <w:rsid w:val="002D6907"/>
    <w:rsid w:val="002D7DD2"/>
    <w:rsid w:val="00302689"/>
    <w:rsid w:val="00326B30"/>
    <w:rsid w:val="00354EF2"/>
    <w:rsid w:val="00367C55"/>
    <w:rsid w:val="003723A0"/>
    <w:rsid w:val="003962A4"/>
    <w:rsid w:val="003C1347"/>
    <w:rsid w:val="003C3F7A"/>
    <w:rsid w:val="003C610A"/>
    <w:rsid w:val="004121A6"/>
    <w:rsid w:val="004156D8"/>
    <w:rsid w:val="00445DAE"/>
    <w:rsid w:val="00450356"/>
    <w:rsid w:val="00454C3D"/>
    <w:rsid w:val="00480D65"/>
    <w:rsid w:val="00482575"/>
    <w:rsid w:val="00491415"/>
    <w:rsid w:val="00495796"/>
    <w:rsid w:val="00495DC0"/>
    <w:rsid w:val="0049605B"/>
    <w:rsid w:val="004A71F5"/>
    <w:rsid w:val="004C33A4"/>
    <w:rsid w:val="004C34F6"/>
    <w:rsid w:val="004E500D"/>
    <w:rsid w:val="004E6D9D"/>
    <w:rsid w:val="00500997"/>
    <w:rsid w:val="00514721"/>
    <w:rsid w:val="00527C61"/>
    <w:rsid w:val="00532899"/>
    <w:rsid w:val="00563EFC"/>
    <w:rsid w:val="005668BE"/>
    <w:rsid w:val="00570ED2"/>
    <w:rsid w:val="005D0044"/>
    <w:rsid w:val="005F356E"/>
    <w:rsid w:val="00633A89"/>
    <w:rsid w:val="006363B0"/>
    <w:rsid w:val="00652EF2"/>
    <w:rsid w:val="0066252C"/>
    <w:rsid w:val="00672D06"/>
    <w:rsid w:val="00685507"/>
    <w:rsid w:val="0068551A"/>
    <w:rsid w:val="00697130"/>
    <w:rsid w:val="006A3D6D"/>
    <w:rsid w:val="006A7AD1"/>
    <w:rsid w:val="006B6863"/>
    <w:rsid w:val="006C5F06"/>
    <w:rsid w:val="006E6369"/>
    <w:rsid w:val="00703309"/>
    <w:rsid w:val="007139AA"/>
    <w:rsid w:val="007301A5"/>
    <w:rsid w:val="00765821"/>
    <w:rsid w:val="00767970"/>
    <w:rsid w:val="00774A6E"/>
    <w:rsid w:val="007769AF"/>
    <w:rsid w:val="00797F87"/>
    <w:rsid w:val="007A1752"/>
    <w:rsid w:val="007B3F86"/>
    <w:rsid w:val="007F1FED"/>
    <w:rsid w:val="007F6C70"/>
    <w:rsid w:val="00814C36"/>
    <w:rsid w:val="0083600B"/>
    <w:rsid w:val="0087139F"/>
    <w:rsid w:val="008769EF"/>
    <w:rsid w:val="00877970"/>
    <w:rsid w:val="008C0D8A"/>
    <w:rsid w:val="008C552B"/>
    <w:rsid w:val="008D1515"/>
    <w:rsid w:val="008D2DB6"/>
    <w:rsid w:val="008D73DD"/>
    <w:rsid w:val="008E4533"/>
    <w:rsid w:val="008E6152"/>
    <w:rsid w:val="008F4594"/>
    <w:rsid w:val="00912BEB"/>
    <w:rsid w:val="00913E72"/>
    <w:rsid w:val="00914FD7"/>
    <w:rsid w:val="00916A4F"/>
    <w:rsid w:val="009206CD"/>
    <w:rsid w:val="00922BF2"/>
    <w:rsid w:val="00931749"/>
    <w:rsid w:val="00931CB8"/>
    <w:rsid w:val="00951983"/>
    <w:rsid w:val="00982FE8"/>
    <w:rsid w:val="009B0526"/>
    <w:rsid w:val="009C17B4"/>
    <w:rsid w:val="009C353B"/>
    <w:rsid w:val="00A02809"/>
    <w:rsid w:val="00A06B23"/>
    <w:rsid w:val="00A1279B"/>
    <w:rsid w:val="00A24ECA"/>
    <w:rsid w:val="00A2671A"/>
    <w:rsid w:val="00A27055"/>
    <w:rsid w:val="00A42086"/>
    <w:rsid w:val="00A46E97"/>
    <w:rsid w:val="00A47F7B"/>
    <w:rsid w:val="00A65DC5"/>
    <w:rsid w:val="00A90494"/>
    <w:rsid w:val="00A9580C"/>
    <w:rsid w:val="00A9592B"/>
    <w:rsid w:val="00AC68BF"/>
    <w:rsid w:val="00AE3F14"/>
    <w:rsid w:val="00B00C61"/>
    <w:rsid w:val="00B01583"/>
    <w:rsid w:val="00B03C4E"/>
    <w:rsid w:val="00B03FBF"/>
    <w:rsid w:val="00B057C8"/>
    <w:rsid w:val="00B269ED"/>
    <w:rsid w:val="00B320F8"/>
    <w:rsid w:val="00B37E56"/>
    <w:rsid w:val="00B46865"/>
    <w:rsid w:val="00B47BCC"/>
    <w:rsid w:val="00B50084"/>
    <w:rsid w:val="00B73585"/>
    <w:rsid w:val="00B84FDA"/>
    <w:rsid w:val="00B878C0"/>
    <w:rsid w:val="00BF2EC2"/>
    <w:rsid w:val="00C06AE9"/>
    <w:rsid w:val="00C247AB"/>
    <w:rsid w:val="00C5081B"/>
    <w:rsid w:val="00C55520"/>
    <w:rsid w:val="00C65296"/>
    <w:rsid w:val="00C72FCB"/>
    <w:rsid w:val="00C92337"/>
    <w:rsid w:val="00CA3A50"/>
    <w:rsid w:val="00CB510D"/>
    <w:rsid w:val="00CD326F"/>
    <w:rsid w:val="00D126A5"/>
    <w:rsid w:val="00D412D7"/>
    <w:rsid w:val="00D5062D"/>
    <w:rsid w:val="00D55CFB"/>
    <w:rsid w:val="00D66F7F"/>
    <w:rsid w:val="00D93396"/>
    <w:rsid w:val="00DA54E7"/>
    <w:rsid w:val="00DB68FB"/>
    <w:rsid w:val="00DC0701"/>
    <w:rsid w:val="00DC20A2"/>
    <w:rsid w:val="00DC283E"/>
    <w:rsid w:val="00DD47A1"/>
    <w:rsid w:val="00DF0CB3"/>
    <w:rsid w:val="00E02734"/>
    <w:rsid w:val="00E268CF"/>
    <w:rsid w:val="00E37A0C"/>
    <w:rsid w:val="00E55375"/>
    <w:rsid w:val="00E6278E"/>
    <w:rsid w:val="00E84A73"/>
    <w:rsid w:val="00EB6BF2"/>
    <w:rsid w:val="00EC13E0"/>
    <w:rsid w:val="00ED5836"/>
    <w:rsid w:val="00EE3DC2"/>
    <w:rsid w:val="00EE4D9C"/>
    <w:rsid w:val="00EF39CF"/>
    <w:rsid w:val="00EF4F33"/>
    <w:rsid w:val="00F011B5"/>
    <w:rsid w:val="00F13030"/>
    <w:rsid w:val="00F300A3"/>
    <w:rsid w:val="00F33CA1"/>
    <w:rsid w:val="00F51EA5"/>
    <w:rsid w:val="00F56DE4"/>
    <w:rsid w:val="00F61645"/>
    <w:rsid w:val="00F640B7"/>
    <w:rsid w:val="00F9663E"/>
    <w:rsid w:val="00FA334A"/>
    <w:rsid w:val="00FB2E6B"/>
    <w:rsid w:val="00FB6717"/>
    <w:rsid w:val="00FC669A"/>
    <w:rsid w:val="00FD1E10"/>
    <w:rsid w:val="00FE25CC"/>
    <w:rsid w:val="00FF1188"/>
    <w:rsid w:val="00FF3BE2"/>
    <w:rsid w:val="00FF6C2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6F7F"/>
    <w:pPr>
      <w:ind w:left="720"/>
      <w:contextualSpacing/>
    </w:pPr>
  </w:style>
  <w:style w:type="paragraph" w:styleId="BalloonText">
    <w:name w:val="Balloon Text"/>
    <w:basedOn w:val="Normal"/>
    <w:link w:val="BalloonTextChar"/>
    <w:uiPriority w:val="99"/>
    <w:semiHidden/>
    <w:unhideWhenUsed/>
    <w:rsid w:val="00B500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084"/>
    <w:rPr>
      <w:rFonts w:ascii="Tahoma" w:hAnsi="Tahoma" w:cs="Tahoma"/>
      <w:sz w:val="16"/>
      <w:szCs w:val="16"/>
    </w:rPr>
  </w:style>
  <w:style w:type="table" w:styleId="TableGrid">
    <w:name w:val="Table Grid"/>
    <w:basedOn w:val="TableNormal"/>
    <w:uiPriority w:val="59"/>
    <w:rsid w:val="007139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A7AD1"/>
    <w:rPr>
      <w:color w:val="0000FF" w:themeColor="hyperlink"/>
      <w:u w:val="single"/>
    </w:rPr>
  </w:style>
  <w:style w:type="paragraph" w:styleId="FootnoteText">
    <w:name w:val="footnote text"/>
    <w:basedOn w:val="Normal"/>
    <w:link w:val="FootnoteTextChar"/>
    <w:uiPriority w:val="99"/>
    <w:semiHidden/>
    <w:unhideWhenUsed/>
    <w:rsid w:val="007658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5821"/>
    <w:rPr>
      <w:sz w:val="20"/>
      <w:szCs w:val="20"/>
    </w:rPr>
  </w:style>
  <w:style w:type="character" w:styleId="FootnoteReference">
    <w:name w:val="footnote reference"/>
    <w:basedOn w:val="DefaultParagraphFont"/>
    <w:uiPriority w:val="99"/>
    <w:semiHidden/>
    <w:unhideWhenUsed/>
    <w:rsid w:val="00765821"/>
    <w:rPr>
      <w:vertAlign w:val="superscript"/>
    </w:rPr>
  </w:style>
  <w:style w:type="paragraph" w:customStyle="1" w:styleId="clause-e1">
    <w:name w:val="clause-e1"/>
    <w:basedOn w:val="Normal"/>
    <w:rsid w:val="00B320F8"/>
    <w:pPr>
      <w:snapToGrid w:val="0"/>
      <w:spacing w:after="120" w:line="240" w:lineRule="auto"/>
      <w:ind w:left="1111" w:hanging="400"/>
    </w:pPr>
    <w:rPr>
      <w:rFonts w:ascii="Times New Roman" w:eastAsia="Times New Roman" w:hAnsi="Times New Roman" w:cs="Times New Roman"/>
      <w:sz w:val="26"/>
      <w:szCs w:val="26"/>
      <w:lang w:eastAsia="en-CA"/>
    </w:rPr>
  </w:style>
  <w:style w:type="paragraph" w:customStyle="1" w:styleId="section-e1">
    <w:name w:val="section-e1"/>
    <w:basedOn w:val="Normal"/>
    <w:rsid w:val="00B320F8"/>
    <w:pPr>
      <w:snapToGrid w:val="0"/>
      <w:spacing w:after="120" w:line="240" w:lineRule="auto"/>
      <w:ind w:firstLine="600"/>
    </w:pPr>
    <w:rPr>
      <w:rFonts w:ascii="Times New Roman" w:eastAsia="Times New Roman" w:hAnsi="Times New Roman" w:cs="Times New Roman"/>
      <w:sz w:val="26"/>
      <w:szCs w:val="26"/>
      <w:lang w:eastAsia="en-CA"/>
    </w:rPr>
  </w:style>
  <w:style w:type="paragraph" w:customStyle="1" w:styleId="subsection-e1">
    <w:name w:val="subsection-e1"/>
    <w:basedOn w:val="Normal"/>
    <w:rsid w:val="00B320F8"/>
    <w:pPr>
      <w:snapToGrid w:val="0"/>
      <w:spacing w:after="120" w:line="240" w:lineRule="auto"/>
      <w:ind w:firstLine="600"/>
    </w:pPr>
    <w:rPr>
      <w:rFonts w:ascii="Times New Roman" w:eastAsia="Times New Roman" w:hAnsi="Times New Roman" w:cs="Times New Roman"/>
      <w:sz w:val="26"/>
      <w:szCs w:val="26"/>
      <w:lang w:eastAsia="en-CA"/>
    </w:rPr>
  </w:style>
  <w:style w:type="paragraph" w:customStyle="1" w:styleId="headnote-e1">
    <w:name w:val="headnote-e1"/>
    <w:basedOn w:val="Normal"/>
    <w:rsid w:val="00B320F8"/>
    <w:pPr>
      <w:keepNext/>
      <w:snapToGrid w:val="0"/>
      <w:spacing w:after="0" w:line="240" w:lineRule="auto"/>
    </w:pPr>
    <w:rPr>
      <w:rFonts w:ascii="Times New Roman" w:eastAsia="Times New Roman" w:hAnsi="Times New Roman" w:cs="Times New Roman"/>
      <w:b/>
      <w:bCs/>
      <w:sz w:val="26"/>
      <w:szCs w:val="26"/>
      <w:lang w:eastAsia="en-CA"/>
    </w:rPr>
  </w:style>
  <w:style w:type="character" w:customStyle="1" w:styleId="canliisectionwithsubsection">
    <w:name w:val="canlii_section_with_subsection"/>
    <w:basedOn w:val="DefaultParagraphFont"/>
    <w:rsid w:val="00B320F8"/>
  </w:style>
  <w:style w:type="character" w:customStyle="1" w:styleId="canliisubsection">
    <w:name w:val="canlii_subsection"/>
    <w:basedOn w:val="DefaultParagraphFont"/>
    <w:rsid w:val="00B320F8"/>
  </w:style>
  <w:style w:type="paragraph" w:styleId="Header">
    <w:name w:val="header"/>
    <w:basedOn w:val="Normal"/>
    <w:link w:val="HeaderChar"/>
    <w:uiPriority w:val="99"/>
    <w:unhideWhenUsed/>
    <w:rsid w:val="00103E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3E9A"/>
  </w:style>
  <w:style w:type="paragraph" w:styleId="Footer">
    <w:name w:val="footer"/>
    <w:basedOn w:val="Normal"/>
    <w:link w:val="FooterChar"/>
    <w:uiPriority w:val="99"/>
    <w:unhideWhenUsed/>
    <w:rsid w:val="00103E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3E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6F7F"/>
    <w:pPr>
      <w:ind w:left="720"/>
      <w:contextualSpacing/>
    </w:pPr>
  </w:style>
  <w:style w:type="paragraph" w:styleId="BalloonText">
    <w:name w:val="Balloon Text"/>
    <w:basedOn w:val="Normal"/>
    <w:link w:val="BalloonTextChar"/>
    <w:uiPriority w:val="99"/>
    <w:semiHidden/>
    <w:unhideWhenUsed/>
    <w:rsid w:val="00B500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084"/>
    <w:rPr>
      <w:rFonts w:ascii="Tahoma" w:hAnsi="Tahoma" w:cs="Tahoma"/>
      <w:sz w:val="16"/>
      <w:szCs w:val="16"/>
    </w:rPr>
  </w:style>
  <w:style w:type="table" w:styleId="TableGrid">
    <w:name w:val="Table Grid"/>
    <w:basedOn w:val="TableNormal"/>
    <w:uiPriority w:val="59"/>
    <w:rsid w:val="007139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A7AD1"/>
    <w:rPr>
      <w:color w:val="0000FF" w:themeColor="hyperlink"/>
      <w:u w:val="single"/>
    </w:rPr>
  </w:style>
  <w:style w:type="paragraph" w:styleId="FootnoteText">
    <w:name w:val="footnote text"/>
    <w:basedOn w:val="Normal"/>
    <w:link w:val="FootnoteTextChar"/>
    <w:uiPriority w:val="99"/>
    <w:semiHidden/>
    <w:unhideWhenUsed/>
    <w:rsid w:val="007658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5821"/>
    <w:rPr>
      <w:sz w:val="20"/>
      <w:szCs w:val="20"/>
    </w:rPr>
  </w:style>
  <w:style w:type="character" w:styleId="FootnoteReference">
    <w:name w:val="footnote reference"/>
    <w:basedOn w:val="DefaultParagraphFont"/>
    <w:uiPriority w:val="99"/>
    <w:semiHidden/>
    <w:unhideWhenUsed/>
    <w:rsid w:val="00765821"/>
    <w:rPr>
      <w:vertAlign w:val="superscript"/>
    </w:rPr>
  </w:style>
  <w:style w:type="paragraph" w:customStyle="1" w:styleId="clause-e1">
    <w:name w:val="clause-e1"/>
    <w:basedOn w:val="Normal"/>
    <w:rsid w:val="00B320F8"/>
    <w:pPr>
      <w:snapToGrid w:val="0"/>
      <w:spacing w:after="120" w:line="240" w:lineRule="auto"/>
      <w:ind w:left="1111" w:hanging="400"/>
    </w:pPr>
    <w:rPr>
      <w:rFonts w:ascii="Times New Roman" w:eastAsia="Times New Roman" w:hAnsi="Times New Roman" w:cs="Times New Roman"/>
      <w:sz w:val="26"/>
      <w:szCs w:val="26"/>
      <w:lang w:eastAsia="en-CA"/>
    </w:rPr>
  </w:style>
  <w:style w:type="paragraph" w:customStyle="1" w:styleId="section-e1">
    <w:name w:val="section-e1"/>
    <w:basedOn w:val="Normal"/>
    <w:rsid w:val="00B320F8"/>
    <w:pPr>
      <w:snapToGrid w:val="0"/>
      <w:spacing w:after="120" w:line="240" w:lineRule="auto"/>
      <w:ind w:firstLine="600"/>
    </w:pPr>
    <w:rPr>
      <w:rFonts w:ascii="Times New Roman" w:eastAsia="Times New Roman" w:hAnsi="Times New Roman" w:cs="Times New Roman"/>
      <w:sz w:val="26"/>
      <w:szCs w:val="26"/>
      <w:lang w:eastAsia="en-CA"/>
    </w:rPr>
  </w:style>
  <w:style w:type="paragraph" w:customStyle="1" w:styleId="subsection-e1">
    <w:name w:val="subsection-e1"/>
    <w:basedOn w:val="Normal"/>
    <w:rsid w:val="00B320F8"/>
    <w:pPr>
      <w:snapToGrid w:val="0"/>
      <w:spacing w:after="120" w:line="240" w:lineRule="auto"/>
      <w:ind w:firstLine="600"/>
    </w:pPr>
    <w:rPr>
      <w:rFonts w:ascii="Times New Roman" w:eastAsia="Times New Roman" w:hAnsi="Times New Roman" w:cs="Times New Roman"/>
      <w:sz w:val="26"/>
      <w:szCs w:val="26"/>
      <w:lang w:eastAsia="en-CA"/>
    </w:rPr>
  </w:style>
  <w:style w:type="paragraph" w:customStyle="1" w:styleId="headnote-e1">
    <w:name w:val="headnote-e1"/>
    <w:basedOn w:val="Normal"/>
    <w:rsid w:val="00B320F8"/>
    <w:pPr>
      <w:keepNext/>
      <w:snapToGrid w:val="0"/>
      <w:spacing w:after="0" w:line="240" w:lineRule="auto"/>
    </w:pPr>
    <w:rPr>
      <w:rFonts w:ascii="Times New Roman" w:eastAsia="Times New Roman" w:hAnsi="Times New Roman" w:cs="Times New Roman"/>
      <w:b/>
      <w:bCs/>
      <w:sz w:val="26"/>
      <w:szCs w:val="26"/>
      <w:lang w:eastAsia="en-CA"/>
    </w:rPr>
  </w:style>
  <w:style w:type="character" w:customStyle="1" w:styleId="canliisectionwithsubsection">
    <w:name w:val="canlii_section_with_subsection"/>
    <w:basedOn w:val="DefaultParagraphFont"/>
    <w:rsid w:val="00B320F8"/>
  </w:style>
  <w:style w:type="character" w:customStyle="1" w:styleId="canliisubsection">
    <w:name w:val="canlii_subsection"/>
    <w:basedOn w:val="DefaultParagraphFont"/>
    <w:rsid w:val="00B320F8"/>
  </w:style>
  <w:style w:type="paragraph" w:styleId="Header">
    <w:name w:val="header"/>
    <w:basedOn w:val="Normal"/>
    <w:link w:val="HeaderChar"/>
    <w:uiPriority w:val="99"/>
    <w:unhideWhenUsed/>
    <w:rsid w:val="00103E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3E9A"/>
  </w:style>
  <w:style w:type="paragraph" w:styleId="Footer">
    <w:name w:val="footer"/>
    <w:basedOn w:val="Normal"/>
    <w:link w:val="FooterChar"/>
    <w:uiPriority w:val="99"/>
    <w:unhideWhenUsed/>
    <w:rsid w:val="00103E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3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3843">
      <w:bodyDiv w:val="1"/>
      <w:marLeft w:val="0"/>
      <w:marRight w:val="0"/>
      <w:marTop w:val="0"/>
      <w:marBottom w:val="0"/>
      <w:divBdr>
        <w:top w:val="none" w:sz="0" w:space="0" w:color="auto"/>
        <w:left w:val="none" w:sz="0" w:space="0" w:color="auto"/>
        <w:bottom w:val="none" w:sz="0" w:space="0" w:color="auto"/>
        <w:right w:val="none" w:sz="0" w:space="0" w:color="auto"/>
      </w:divBdr>
      <w:divsChild>
        <w:div w:id="714306221">
          <w:marLeft w:val="547"/>
          <w:marRight w:val="0"/>
          <w:marTop w:val="0"/>
          <w:marBottom w:val="0"/>
          <w:divBdr>
            <w:top w:val="none" w:sz="0" w:space="0" w:color="auto"/>
            <w:left w:val="none" w:sz="0" w:space="0" w:color="auto"/>
            <w:bottom w:val="none" w:sz="0" w:space="0" w:color="auto"/>
            <w:right w:val="none" w:sz="0" w:space="0" w:color="auto"/>
          </w:divBdr>
        </w:div>
      </w:divsChild>
    </w:div>
    <w:div w:id="189421386">
      <w:bodyDiv w:val="1"/>
      <w:marLeft w:val="0"/>
      <w:marRight w:val="0"/>
      <w:marTop w:val="0"/>
      <w:marBottom w:val="0"/>
      <w:divBdr>
        <w:top w:val="none" w:sz="0" w:space="0" w:color="auto"/>
        <w:left w:val="none" w:sz="0" w:space="0" w:color="auto"/>
        <w:bottom w:val="none" w:sz="0" w:space="0" w:color="auto"/>
        <w:right w:val="none" w:sz="0" w:space="0" w:color="auto"/>
      </w:divBdr>
      <w:divsChild>
        <w:div w:id="626938749">
          <w:marLeft w:val="547"/>
          <w:marRight w:val="0"/>
          <w:marTop w:val="154"/>
          <w:marBottom w:val="0"/>
          <w:divBdr>
            <w:top w:val="none" w:sz="0" w:space="0" w:color="auto"/>
            <w:left w:val="none" w:sz="0" w:space="0" w:color="auto"/>
            <w:bottom w:val="none" w:sz="0" w:space="0" w:color="auto"/>
            <w:right w:val="none" w:sz="0" w:space="0" w:color="auto"/>
          </w:divBdr>
        </w:div>
        <w:div w:id="2009401445">
          <w:marLeft w:val="547"/>
          <w:marRight w:val="0"/>
          <w:marTop w:val="154"/>
          <w:marBottom w:val="0"/>
          <w:divBdr>
            <w:top w:val="none" w:sz="0" w:space="0" w:color="auto"/>
            <w:left w:val="none" w:sz="0" w:space="0" w:color="auto"/>
            <w:bottom w:val="none" w:sz="0" w:space="0" w:color="auto"/>
            <w:right w:val="none" w:sz="0" w:space="0" w:color="auto"/>
          </w:divBdr>
        </w:div>
        <w:div w:id="540944000">
          <w:marLeft w:val="547"/>
          <w:marRight w:val="0"/>
          <w:marTop w:val="154"/>
          <w:marBottom w:val="0"/>
          <w:divBdr>
            <w:top w:val="none" w:sz="0" w:space="0" w:color="auto"/>
            <w:left w:val="none" w:sz="0" w:space="0" w:color="auto"/>
            <w:bottom w:val="none" w:sz="0" w:space="0" w:color="auto"/>
            <w:right w:val="none" w:sz="0" w:space="0" w:color="auto"/>
          </w:divBdr>
        </w:div>
      </w:divsChild>
    </w:div>
    <w:div w:id="237442633">
      <w:bodyDiv w:val="1"/>
      <w:marLeft w:val="0"/>
      <w:marRight w:val="0"/>
      <w:marTop w:val="0"/>
      <w:marBottom w:val="0"/>
      <w:divBdr>
        <w:top w:val="none" w:sz="0" w:space="0" w:color="auto"/>
        <w:left w:val="none" w:sz="0" w:space="0" w:color="auto"/>
        <w:bottom w:val="none" w:sz="0" w:space="0" w:color="auto"/>
        <w:right w:val="none" w:sz="0" w:space="0" w:color="auto"/>
      </w:divBdr>
      <w:divsChild>
        <w:div w:id="1295871751">
          <w:marLeft w:val="547"/>
          <w:marRight w:val="0"/>
          <w:marTop w:val="0"/>
          <w:marBottom w:val="0"/>
          <w:divBdr>
            <w:top w:val="none" w:sz="0" w:space="0" w:color="auto"/>
            <w:left w:val="none" w:sz="0" w:space="0" w:color="auto"/>
            <w:bottom w:val="none" w:sz="0" w:space="0" w:color="auto"/>
            <w:right w:val="none" w:sz="0" w:space="0" w:color="auto"/>
          </w:divBdr>
        </w:div>
      </w:divsChild>
    </w:div>
    <w:div w:id="347292230">
      <w:bodyDiv w:val="1"/>
      <w:marLeft w:val="0"/>
      <w:marRight w:val="0"/>
      <w:marTop w:val="0"/>
      <w:marBottom w:val="0"/>
      <w:divBdr>
        <w:top w:val="none" w:sz="0" w:space="0" w:color="auto"/>
        <w:left w:val="none" w:sz="0" w:space="0" w:color="auto"/>
        <w:bottom w:val="none" w:sz="0" w:space="0" w:color="auto"/>
        <w:right w:val="none" w:sz="0" w:space="0" w:color="auto"/>
      </w:divBdr>
      <w:divsChild>
        <w:div w:id="96829009">
          <w:marLeft w:val="547"/>
          <w:marRight w:val="0"/>
          <w:marTop w:val="0"/>
          <w:marBottom w:val="0"/>
          <w:divBdr>
            <w:top w:val="none" w:sz="0" w:space="0" w:color="auto"/>
            <w:left w:val="none" w:sz="0" w:space="0" w:color="auto"/>
            <w:bottom w:val="none" w:sz="0" w:space="0" w:color="auto"/>
            <w:right w:val="none" w:sz="0" w:space="0" w:color="auto"/>
          </w:divBdr>
        </w:div>
      </w:divsChild>
    </w:div>
    <w:div w:id="414474797">
      <w:bodyDiv w:val="1"/>
      <w:marLeft w:val="0"/>
      <w:marRight w:val="0"/>
      <w:marTop w:val="0"/>
      <w:marBottom w:val="0"/>
      <w:divBdr>
        <w:top w:val="none" w:sz="0" w:space="0" w:color="auto"/>
        <w:left w:val="none" w:sz="0" w:space="0" w:color="auto"/>
        <w:bottom w:val="none" w:sz="0" w:space="0" w:color="auto"/>
        <w:right w:val="none" w:sz="0" w:space="0" w:color="auto"/>
      </w:divBdr>
      <w:divsChild>
        <w:div w:id="1894345656">
          <w:marLeft w:val="0"/>
          <w:marRight w:val="0"/>
          <w:marTop w:val="0"/>
          <w:marBottom w:val="0"/>
          <w:divBdr>
            <w:top w:val="none" w:sz="0" w:space="0" w:color="auto"/>
            <w:left w:val="none" w:sz="0" w:space="0" w:color="auto"/>
            <w:bottom w:val="none" w:sz="0" w:space="0" w:color="auto"/>
            <w:right w:val="none" w:sz="0" w:space="0" w:color="auto"/>
          </w:divBdr>
          <w:divsChild>
            <w:div w:id="918516770">
              <w:marLeft w:val="0"/>
              <w:marRight w:val="0"/>
              <w:marTop w:val="0"/>
              <w:marBottom w:val="0"/>
              <w:divBdr>
                <w:top w:val="single" w:sz="12" w:space="0" w:color="000000"/>
                <w:left w:val="none" w:sz="0" w:space="0" w:color="auto"/>
                <w:bottom w:val="none" w:sz="0" w:space="0" w:color="auto"/>
                <w:right w:val="none" w:sz="0" w:space="0" w:color="auto"/>
              </w:divBdr>
              <w:divsChild>
                <w:div w:id="156861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076718">
      <w:bodyDiv w:val="1"/>
      <w:marLeft w:val="0"/>
      <w:marRight w:val="0"/>
      <w:marTop w:val="0"/>
      <w:marBottom w:val="0"/>
      <w:divBdr>
        <w:top w:val="none" w:sz="0" w:space="0" w:color="auto"/>
        <w:left w:val="none" w:sz="0" w:space="0" w:color="auto"/>
        <w:bottom w:val="none" w:sz="0" w:space="0" w:color="auto"/>
        <w:right w:val="none" w:sz="0" w:space="0" w:color="auto"/>
      </w:divBdr>
    </w:div>
    <w:div w:id="508568194">
      <w:bodyDiv w:val="1"/>
      <w:marLeft w:val="0"/>
      <w:marRight w:val="0"/>
      <w:marTop w:val="0"/>
      <w:marBottom w:val="0"/>
      <w:divBdr>
        <w:top w:val="none" w:sz="0" w:space="0" w:color="auto"/>
        <w:left w:val="none" w:sz="0" w:space="0" w:color="auto"/>
        <w:bottom w:val="none" w:sz="0" w:space="0" w:color="auto"/>
        <w:right w:val="none" w:sz="0" w:space="0" w:color="auto"/>
      </w:divBdr>
      <w:divsChild>
        <w:div w:id="728378218">
          <w:marLeft w:val="547"/>
          <w:marRight w:val="0"/>
          <w:marTop w:val="0"/>
          <w:marBottom w:val="0"/>
          <w:divBdr>
            <w:top w:val="none" w:sz="0" w:space="0" w:color="auto"/>
            <w:left w:val="none" w:sz="0" w:space="0" w:color="auto"/>
            <w:bottom w:val="none" w:sz="0" w:space="0" w:color="auto"/>
            <w:right w:val="none" w:sz="0" w:space="0" w:color="auto"/>
          </w:divBdr>
        </w:div>
      </w:divsChild>
    </w:div>
    <w:div w:id="874468056">
      <w:bodyDiv w:val="1"/>
      <w:marLeft w:val="0"/>
      <w:marRight w:val="0"/>
      <w:marTop w:val="0"/>
      <w:marBottom w:val="0"/>
      <w:divBdr>
        <w:top w:val="none" w:sz="0" w:space="0" w:color="auto"/>
        <w:left w:val="none" w:sz="0" w:space="0" w:color="auto"/>
        <w:bottom w:val="none" w:sz="0" w:space="0" w:color="auto"/>
        <w:right w:val="none" w:sz="0" w:space="0" w:color="auto"/>
      </w:divBdr>
    </w:div>
    <w:div w:id="1130975313">
      <w:bodyDiv w:val="1"/>
      <w:marLeft w:val="0"/>
      <w:marRight w:val="0"/>
      <w:marTop w:val="0"/>
      <w:marBottom w:val="0"/>
      <w:divBdr>
        <w:top w:val="none" w:sz="0" w:space="0" w:color="auto"/>
        <w:left w:val="none" w:sz="0" w:space="0" w:color="auto"/>
        <w:bottom w:val="none" w:sz="0" w:space="0" w:color="auto"/>
        <w:right w:val="none" w:sz="0" w:space="0" w:color="auto"/>
      </w:divBdr>
      <w:divsChild>
        <w:div w:id="59982082">
          <w:marLeft w:val="547"/>
          <w:marRight w:val="0"/>
          <w:marTop w:val="0"/>
          <w:marBottom w:val="0"/>
          <w:divBdr>
            <w:top w:val="none" w:sz="0" w:space="0" w:color="auto"/>
            <w:left w:val="none" w:sz="0" w:space="0" w:color="auto"/>
            <w:bottom w:val="none" w:sz="0" w:space="0" w:color="auto"/>
            <w:right w:val="none" w:sz="0" w:space="0" w:color="auto"/>
          </w:divBdr>
        </w:div>
        <w:div w:id="1189562574">
          <w:marLeft w:val="547"/>
          <w:marRight w:val="0"/>
          <w:marTop w:val="0"/>
          <w:marBottom w:val="0"/>
          <w:divBdr>
            <w:top w:val="none" w:sz="0" w:space="0" w:color="auto"/>
            <w:left w:val="none" w:sz="0" w:space="0" w:color="auto"/>
            <w:bottom w:val="none" w:sz="0" w:space="0" w:color="auto"/>
            <w:right w:val="none" w:sz="0" w:space="0" w:color="auto"/>
          </w:divBdr>
        </w:div>
        <w:div w:id="919288704">
          <w:marLeft w:val="547"/>
          <w:marRight w:val="0"/>
          <w:marTop w:val="0"/>
          <w:marBottom w:val="0"/>
          <w:divBdr>
            <w:top w:val="none" w:sz="0" w:space="0" w:color="auto"/>
            <w:left w:val="none" w:sz="0" w:space="0" w:color="auto"/>
            <w:bottom w:val="none" w:sz="0" w:space="0" w:color="auto"/>
            <w:right w:val="none" w:sz="0" w:space="0" w:color="auto"/>
          </w:divBdr>
        </w:div>
      </w:divsChild>
    </w:div>
    <w:div w:id="1157571948">
      <w:bodyDiv w:val="1"/>
      <w:marLeft w:val="0"/>
      <w:marRight w:val="0"/>
      <w:marTop w:val="0"/>
      <w:marBottom w:val="0"/>
      <w:divBdr>
        <w:top w:val="none" w:sz="0" w:space="0" w:color="auto"/>
        <w:left w:val="none" w:sz="0" w:space="0" w:color="auto"/>
        <w:bottom w:val="none" w:sz="0" w:space="0" w:color="auto"/>
        <w:right w:val="none" w:sz="0" w:space="0" w:color="auto"/>
      </w:divBdr>
      <w:divsChild>
        <w:div w:id="440421893">
          <w:marLeft w:val="547"/>
          <w:marRight w:val="0"/>
          <w:marTop w:val="0"/>
          <w:marBottom w:val="0"/>
          <w:divBdr>
            <w:top w:val="none" w:sz="0" w:space="0" w:color="auto"/>
            <w:left w:val="none" w:sz="0" w:space="0" w:color="auto"/>
            <w:bottom w:val="none" w:sz="0" w:space="0" w:color="auto"/>
            <w:right w:val="none" w:sz="0" w:space="0" w:color="auto"/>
          </w:divBdr>
        </w:div>
      </w:divsChild>
    </w:div>
    <w:div w:id="1218322809">
      <w:bodyDiv w:val="1"/>
      <w:marLeft w:val="0"/>
      <w:marRight w:val="0"/>
      <w:marTop w:val="0"/>
      <w:marBottom w:val="0"/>
      <w:divBdr>
        <w:top w:val="none" w:sz="0" w:space="0" w:color="auto"/>
        <w:left w:val="none" w:sz="0" w:space="0" w:color="auto"/>
        <w:bottom w:val="none" w:sz="0" w:space="0" w:color="auto"/>
        <w:right w:val="none" w:sz="0" w:space="0" w:color="auto"/>
      </w:divBdr>
      <w:divsChild>
        <w:div w:id="252400971">
          <w:marLeft w:val="547"/>
          <w:marRight w:val="0"/>
          <w:marTop w:val="0"/>
          <w:marBottom w:val="0"/>
          <w:divBdr>
            <w:top w:val="none" w:sz="0" w:space="0" w:color="auto"/>
            <w:left w:val="none" w:sz="0" w:space="0" w:color="auto"/>
            <w:bottom w:val="none" w:sz="0" w:space="0" w:color="auto"/>
            <w:right w:val="none" w:sz="0" w:space="0" w:color="auto"/>
          </w:divBdr>
        </w:div>
        <w:div w:id="174199930">
          <w:marLeft w:val="547"/>
          <w:marRight w:val="0"/>
          <w:marTop w:val="0"/>
          <w:marBottom w:val="0"/>
          <w:divBdr>
            <w:top w:val="none" w:sz="0" w:space="0" w:color="auto"/>
            <w:left w:val="none" w:sz="0" w:space="0" w:color="auto"/>
            <w:bottom w:val="none" w:sz="0" w:space="0" w:color="auto"/>
            <w:right w:val="none" w:sz="0" w:space="0" w:color="auto"/>
          </w:divBdr>
        </w:div>
        <w:div w:id="148447206">
          <w:marLeft w:val="547"/>
          <w:marRight w:val="0"/>
          <w:marTop w:val="0"/>
          <w:marBottom w:val="0"/>
          <w:divBdr>
            <w:top w:val="none" w:sz="0" w:space="0" w:color="auto"/>
            <w:left w:val="none" w:sz="0" w:space="0" w:color="auto"/>
            <w:bottom w:val="none" w:sz="0" w:space="0" w:color="auto"/>
            <w:right w:val="none" w:sz="0" w:space="0" w:color="auto"/>
          </w:divBdr>
        </w:div>
      </w:divsChild>
    </w:div>
    <w:div w:id="1242177983">
      <w:bodyDiv w:val="1"/>
      <w:marLeft w:val="0"/>
      <w:marRight w:val="0"/>
      <w:marTop w:val="0"/>
      <w:marBottom w:val="0"/>
      <w:divBdr>
        <w:top w:val="none" w:sz="0" w:space="0" w:color="auto"/>
        <w:left w:val="none" w:sz="0" w:space="0" w:color="auto"/>
        <w:bottom w:val="none" w:sz="0" w:space="0" w:color="auto"/>
        <w:right w:val="none" w:sz="0" w:space="0" w:color="auto"/>
      </w:divBdr>
      <w:divsChild>
        <w:div w:id="1185562083">
          <w:marLeft w:val="547"/>
          <w:marRight w:val="0"/>
          <w:marTop w:val="0"/>
          <w:marBottom w:val="0"/>
          <w:divBdr>
            <w:top w:val="none" w:sz="0" w:space="0" w:color="auto"/>
            <w:left w:val="none" w:sz="0" w:space="0" w:color="auto"/>
            <w:bottom w:val="none" w:sz="0" w:space="0" w:color="auto"/>
            <w:right w:val="none" w:sz="0" w:space="0" w:color="auto"/>
          </w:divBdr>
        </w:div>
      </w:divsChild>
    </w:div>
    <w:div w:id="1329404309">
      <w:bodyDiv w:val="1"/>
      <w:marLeft w:val="0"/>
      <w:marRight w:val="0"/>
      <w:marTop w:val="0"/>
      <w:marBottom w:val="0"/>
      <w:divBdr>
        <w:top w:val="none" w:sz="0" w:space="0" w:color="auto"/>
        <w:left w:val="none" w:sz="0" w:space="0" w:color="auto"/>
        <w:bottom w:val="none" w:sz="0" w:space="0" w:color="auto"/>
        <w:right w:val="none" w:sz="0" w:space="0" w:color="auto"/>
      </w:divBdr>
      <w:divsChild>
        <w:div w:id="2105223520">
          <w:marLeft w:val="547"/>
          <w:marRight w:val="0"/>
          <w:marTop w:val="0"/>
          <w:marBottom w:val="0"/>
          <w:divBdr>
            <w:top w:val="none" w:sz="0" w:space="0" w:color="auto"/>
            <w:left w:val="none" w:sz="0" w:space="0" w:color="auto"/>
            <w:bottom w:val="none" w:sz="0" w:space="0" w:color="auto"/>
            <w:right w:val="none" w:sz="0" w:space="0" w:color="auto"/>
          </w:divBdr>
        </w:div>
      </w:divsChild>
    </w:div>
    <w:div w:id="1965962043">
      <w:bodyDiv w:val="1"/>
      <w:marLeft w:val="0"/>
      <w:marRight w:val="0"/>
      <w:marTop w:val="0"/>
      <w:marBottom w:val="0"/>
      <w:divBdr>
        <w:top w:val="none" w:sz="0" w:space="0" w:color="auto"/>
        <w:left w:val="none" w:sz="0" w:space="0" w:color="auto"/>
        <w:bottom w:val="none" w:sz="0" w:space="0" w:color="auto"/>
        <w:right w:val="none" w:sz="0" w:space="0" w:color="auto"/>
      </w:divBdr>
      <w:divsChild>
        <w:div w:id="544371990">
          <w:marLeft w:val="547"/>
          <w:marRight w:val="0"/>
          <w:marTop w:val="0"/>
          <w:marBottom w:val="0"/>
          <w:divBdr>
            <w:top w:val="none" w:sz="0" w:space="0" w:color="auto"/>
            <w:left w:val="none" w:sz="0" w:space="0" w:color="auto"/>
            <w:bottom w:val="none" w:sz="0" w:space="0" w:color="auto"/>
            <w:right w:val="none" w:sz="0" w:space="0" w:color="auto"/>
          </w:divBdr>
        </w:div>
      </w:divsChild>
    </w:div>
    <w:div w:id="2052339245">
      <w:bodyDiv w:val="1"/>
      <w:marLeft w:val="0"/>
      <w:marRight w:val="0"/>
      <w:marTop w:val="0"/>
      <w:marBottom w:val="0"/>
      <w:divBdr>
        <w:top w:val="none" w:sz="0" w:space="0" w:color="auto"/>
        <w:left w:val="none" w:sz="0" w:space="0" w:color="auto"/>
        <w:bottom w:val="none" w:sz="0" w:space="0" w:color="auto"/>
        <w:right w:val="none" w:sz="0" w:space="0" w:color="auto"/>
      </w:divBdr>
      <w:divsChild>
        <w:div w:id="57385801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cba.org/ClassActions/main/gate/index/"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41DB6A-C0B3-4676-BBB1-77CA59A28EAF}" type="doc">
      <dgm:prSet loTypeId="urn:microsoft.com/office/officeart/2005/8/layout/orgChart1" loCatId="hierarchy" qsTypeId="urn:microsoft.com/office/officeart/2005/8/quickstyle/simple1" qsCatId="simple" csTypeId="urn:microsoft.com/office/officeart/2005/8/colors/accent0_3" csCatId="mainScheme" phldr="1"/>
      <dgm:spPr/>
      <dgm:t>
        <a:bodyPr/>
        <a:lstStyle/>
        <a:p>
          <a:endParaRPr lang="en-CA"/>
        </a:p>
      </dgm:t>
    </dgm:pt>
    <dgm:pt modelId="{04C546BB-D8CD-418E-B6A9-9449060DE403}">
      <dgm:prSet phldrT="[Text]"/>
      <dgm:spPr/>
      <dgm:t>
        <a:bodyPr/>
        <a:lstStyle/>
        <a:p>
          <a:r>
            <a:rPr lang="en-CA"/>
            <a:t>Supreme Court of Canada</a:t>
          </a:r>
        </a:p>
      </dgm:t>
    </dgm:pt>
    <dgm:pt modelId="{80B41DA6-5E8B-4A51-BE50-CDEA88EC38AB}" type="parTrans" cxnId="{E4CAE903-64B3-461B-8E9E-19EFF570100C}">
      <dgm:prSet/>
      <dgm:spPr/>
      <dgm:t>
        <a:bodyPr/>
        <a:lstStyle/>
        <a:p>
          <a:endParaRPr lang="en-CA"/>
        </a:p>
      </dgm:t>
    </dgm:pt>
    <dgm:pt modelId="{529485F3-E312-44B6-9C72-20ED03431533}" type="sibTrans" cxnId="{E4CAE903-64B3-461B-8E9E-19EFF570100C}">
      <dgm:prSet/>
      <dgm:spPr/>
      <dgm:t>
        <a:bodyPr/>
        <a:lstStyle/>
        <a:p>
          <a:endParaRPr lang="en-CA"/>
        </a:p>
      </dgm:t>
    </dgm:pt>
    <dgm:pt modelId="{F85C73FB-0472-4CCE-BFE8-9A3F7881CECE}" type="asst">
      <dgm:prSet phldrT="[Text]"/>
      <dgm:spPr/>
      <dgm:t>
        <a:bodyPr/>
        <a:lstStyle/>
        <a:p>
          <a:r>
            <a:rPr lang="en-CA"/>
            <a:t>Federal Court of Appeal</a:t>
          </a:r>
        </a:p>
        <a:p>
          <a:r>
            <a:rPr lang="en-CA"/>
            <a:t>*leave to appeal is required*</a:t>
          </a:r>
        </a:p>
      </dgm:t>
    </dgm:pt>
    <dgm:pt modelId="{8CDC01F6-E464-4B2E-98C7-ED9784527166}" type="parTrans" cxnId="{9E549F52-D20F-4CF7-B453-18A90B0DCBB3}">
      <dgm:prSet/>
      <dgm:spPr/>
      <dgm:t>
        <a:bodyPr/>
        <a:lstStyle/>
        <a:p>
          <a:endParaRPr lang="en-CA"/>
        </a:p>
      </dgm:t>
    </dgm:pt>
    <dgm:pt modelId="{23EB5F35-01D2-4007-BDDE-B2C1D76F4184}" type="sibTrans" cxnId="{9E549F52-D20F-4CF7-B453-18A90B0DCBB3}">
      <dgm:prSet/>
      <dgm:spPr/>
      <dgm:t>
        <a:bodyPr/>
        <a:lstStyle/>
        <a:p>
          <a:endParaRPr lang="en-CA"/>
        </a:p>
      </dgm:t>
    </dgm:pt>
    <dgm:pt modelId="{2BE0E008-139A-4DB8-B2CE-32A75F7E7344}">
      <dgm:prSet phldrT="[Text]"/>
      <dgm:spPr/>
      <dgm:t>
        <a:bodyPr/>
        <a:lstStyle/>
        <a:p>
          <a:r>
            <a:rPr lang="en-CA"/>
            <a:t>Federal Court </a:t>
          </a:r>
        </a:p>
        <a:p>
          <a:r>
            <a:rPr lang="en-CA"/>
            <a:t>(Trial Division)</a:t>
          </a:r>
        </a:p>
      </dgm:t>
    </dgm:pt>
    <dgm:pt modelId="{30513FC3-8679-42B4-A88A-F8712255C68E}" type="parTrans" cxnId="{3557D6B1-3C78-43B7-B19D-E5E87B6A49BE}">
      <dgm:prSet/>
      <dgm:spPr/>
      <dgm:t>
        <a:bodyPr/>
        <a:lstStyle/>
        <a:p>
          <a:endParaRPr lang="en-CA"/>
        </a:p>
      </dgm:t>
    </dgm:pt>
    <dgm:pt modelId="{BA9F924C-44C3-4E97-9EFD-A5123B721F73}" type="sibTrans" cxnId="{3557D6B1-3C78-43B7-B19D-E5E87B6A49BE}">
      <dgm:prSet/>
      <dgm:spPr/>
      <dgm:t>
        <a:bodyPr/>
        <a:lstStyle/>
        <a:p>
          <a:endParaRPr lang="en-CA"/>
        </a:p>
      </dgm:t>
    </dgm:pt>
    <dgm:pt modelId="{E50DE840-7BAD-4453-AB04-A5B37153A48E}">
      <dgm:prSet phldrT="[Text]"/>
      <dgm:spPr/>
      <dgm:t>
        <a:bodyPr/>
        <a:lstStyle/>
        <a:p>
          <a:r>
            <a:rPr lang="en-CA"/>
            <a:t>Federal Tax Court</a:t>
          </a:r>
        </a:p>
      </dgm:t>
    </dgm:pt>
    <dgm:pt modelId="{D5BA79E2-188C-4272-BAE3-69E2C925BD25}" type="parTrans" cxnId="{ACCC3A71-A07D-473F-B54E-13DA23392AD5}">
      <dgm:prSet/>
      <dgm:spPr/>
      <dgm:t>
        <a:bodyPr/>
        <a:lstStyle/>
        <a:p>
          <a:endParaRPr lang="en-CA"/>
        </a:p>
      </dgm:t>
    </dgm:pt>
    <dgm:pt modelId="{3D0FCEBD-0159-4C85-993E-E767B5298DD5}" type="sibTrans" cxnId="{ACCC3A71-A07D-473F-B54E-13DA23392AD5}">
      <dgm:prSet/>
      <dgm:spPr/>
      <dgm:t>
        <a:bodyPr/>
        <a:lstStyle/>
        <a:p>
          <a:endParaRPr lang="en-CA"/>
        </a:p>
      </dgm:t>
    </dgm:pt>
    <dgm:pt modelId="{47FBCF20-B6D3-4426-B755-CF387B245B35}" type="pres">
      <dgm:prSet presAssocID="{CA41DB6A-C0B3-4676-BBB1-77CA59A28EAF}" presName="hierChild1" presStyleCnt="0">
        <dgm:presLayoutVars>
          <dgm:orgChart val="1"/>
          <dgm:chPref val="1"/>
          <dgm:dir/>
          <dgm:animOne val="branch"/>
          <dgm:animLvl val="lvl"/>
          <dgm:resizeHandles/>
        </dgm:presLayoutVars>
      </dgm:prSet>
      <dgm:spPr/>
      <dgm:t>
        <a:bodyPr/>
        <a:lstStyle/>
        <a:p>
          <a:endParaRPr lang="en-CA"/>
        </a:p>
      </dgm:t>
    </dgm:pt>
    <dgm:pt modelId="{A0FE94AD-36A9-4FC6-917B-1AAE170443D2}" type="pres">
      <dgm:prSet presAssocID="{04C546BB-D8CD-418E-B6A9-9449060DE403}" presName="hierRoot1" presStyleCnt="0">
        <dgm:presLayoutVars>
          <dgm:hierBranch val="init"/>
        </dgm:presLayoutVars>
      </dgm:prSet>
      <dgm:spPr/>
    </dgm:pt>
    <dgm:pt modelId="{51894CFA-8361-4F25-9464-4B92913CFB5E}" type="pres">
      <dgm:prSet presAssocID="{04C546BB-D8CD-418E-B6A9-9449060DE403}" presName="rootComposite1" presStyleCnt="0"/>
      <dgm:spPr/>
    </dgm:pt>
    <dgm:pt modelId="{5526E19A-0F56-4AF1-BB9C-CCA32B61C8A5}" type="pres">
      <dgm:prSet presAssocID="{04C546BB-D8CD-418E-B6A9-9449060DE403}" presName="rootText1" presStyleLbl="node0" presStyleIdx="0" presStyleCnt="1" custScaleX="135392" custScaleY="35971">
        <dgm:presLayoutVars>
          <dgm:chPref val="3"/>
        </dgm:presLayoutVars>
      </dgm:prSet>
      <dgm:spPr/>
      <dgm:t>
        <a:bodyPr/>
        <a:lstStyle/>
        <a:p>
          <a:endParaRPr lang="en-CA"/>
        </a:p>
      </dgm:t>
    </dgm:pt>
    <dgm:pt modelId="{CB65E801-644B-4581-8FD9-EBF9CA568788}" type="pres">
      <dgm:prSet presAssocID="{04C546BB-D8CD-418E-B6A9-9449060DE403}" presName="rootConnector1" presStyleLbl="node1" presStyleIdx="0" presStyleCnt="0"/>
      <dgm:spPr/>
      <dgm:t>
        <a:bodyPr/>
        <a:lstStyle/>
        <a:p>
          <a:endParaRPr lang="en-CA"/>
        </a:p>
      </dgm:t>
    </dgm:pt>
    <dgm:pt modelId="{1AA38D72-EE90-43DF-B2F7-FEC2CFEB3E7F}" type="pres">
      <dgm:prSet presAssocID="{04C546BB-D8CD-418E-B6A9-9449060DE403}" presName="hierChild2" presStyleCnt="0"/>
      <dgm:spPr/>
    </dgm:pt>
    <dgm:pt modelId="{DCF0B6F0-4029-46DC-892B-DE410C086073}" type="pres">
      <dgm:prSet presAssocID="{30513FC3-8679-42B4-A88A-F8712255C68E}" presName="Name37" presStyleLbl="parChTrans1D2" presStyleIdx="0" presStyleCnt="3"/>
      <dgm:spPr/>
      <dgm:t>
        <a:bodyPr/>
        <a:lstStyle/>
        <a:p>
          <a:endParaRPr lang="en-CA"/>
        </a:p>
      </dgm:t>
    </dgm:pt>
    <dgm:pt modelId="{7AB15804-8A5D-4A33-8618-1119C0FBE755}" type="pres">
      <dgm:prSet presAssocID="{2BE0E008-139A-4DB8-B2CE-32A75F7E7344}" presName="hierRoot2" presStyleCnt="0">
        <dgm:presLayoutVars>
          <dgm:hierBranch val="init"/>
        </dgm:presLayoutVars>
      </dgm:prSet>
      <dgm:spPr/>
    </dgm:pt>
    <dgm:pt modelId="{D25A6EC8-EE66-442D-B650-553EBCC44A9C}" type="pres">
      <dgm:prSet presAssocID="{2BE0E008-139A-4DB8-B2CE-32A75F7E7344}" presName="rootComposite" presStyleCnt="0"/>
      <dgm:spPr/>
    </dgm:pt>
    <dgm:pt modelId="{0CC5E6F7-FF05-4E8D-B7BE-0381B0F4788A}" type="pres">
      <dgm:prSet presAssocID="{2BE0E008-139A-4DB8-B2CE-32A75F7E7344}" presName="rootText" presStyleLbl="node2" presStyleIdx="0" presStyleCnt="2" custScaleY="70417">
        <dgm:presLayoutVars>
          <dgm:chPref val="3"/>
        </dgm:presLayoutVars>
      </dgm:prSet>
      <dgm:spPr/>
      <dgm:t>
        <a:bodyPr/>
        <a:lstStyle/>
        <a:p>
          <a:endParaRPr lang="en-CA"/>
        </a:p>
      </dgm:t>
    </dgm:pt>
    <dgm:pt modelId="{56F4C67F-5DAA-4852-83EE-16912343691A}" type="pres">
      <dgm:prSet presAssocID="{2BE0E008-139A-4DB8-B2CE-32A75F7E7344}" presName="rootConnector" presStyleLbl="node2" presStyleIdx="0" presStyleCnt="2"/>
      <dgm:spPr/>
      <dgm:t>
        <a:bodyPr/>
        <a:lstStyle/>
        <a:p>
          <a:endParaRPr lang="en-CA"/>
        </a:p>
      </dgm:t>
    </dgm:pt>
    <dgm:pt modelId="{14D6237D-B5ED-4B80-A576-FA0D6A02F34D}" type="pres">
      <dgm:prSet presAssocID="{2BE0E008-139A-4DB8-B2CE-32A75F7E7344}" presName="hierChild4" presStyleCnt="0"/>
      <dgm:spPr/>
    </dgm:pt>
    <dgm:pt modelId="{A661B504-0318-43D3-BA5B-CBB86BFAD273}" type="pres">
      <dgm:prSet presAssocID="{2BE0E008-139A-4DB8-B2CE-32A75F7E7344}" presName="hierChild5" presStyleCnt="0"/>
      <dgm:spPr/>
    </dgm:pt>
    <dgm:pt modelId="{000C554D-4F61-436F-8DDD-4EEB8C6EE10C}" type="pres">
      <dgm:prSet presAssocID="{D5BA79E2-188C-4272-BAE3-69E2C925BD25}" presName="Name37" presStyleLbl="parChTrans1D2" presStyleIdx="1" presStyleCnt="3"/>
      <dgm:spPr/>
      <dgm:t>
        <a:bodyPr/>
        <a:lstStyle/>
        <a:p>
          <a:endParaRPr lang="en-CA"/>
        </a:p>
      </dgm:t>
    </dgm:pt>
    <dgm:pt modelId="{1D226CE4-109A-45EB-9052-A9A9D9ED6091}" type="pres">
      <dgm:prSet presAssocID="{E50DE840-7BAD-4453-AB04-A5B37153A48E}" presName="hierRoot2" presStyleCnt="0">
        <dgm:presLayoutVars>
          <dgm:hierBranch val="init"/>
        </dgm:presLayoutVars>
      </dgm:prSet>
      <dgm:spPr/>
    </dgm:pt>
    <dgm:pt modelId="{AFAC6AF4-1C50-492D-996E-44FD01C57D3C}" type="pres">
      <dgm:prSet presAssocID="{E50DE840-7BAD-4453-AB04-A5B37153A48E}" presName="rootComposite" presStyleCnt="0"/>
      <dgm:spPr/>
    </dgm:pt>
    <dgm:pt modelId="{6D8A4C4E-196C-4152-BB4D-561CB3B70BDD}" type="pres">
      <dgm:prSet presAssocID="{E50DE840-7BAD-4453-AB04-A5B37153A48E}" presName="rootText" presStyleLbl="node2" presStyleIdx="1" presStyleCnt="2" custScaleY="57066">
        <dgm:presLayoutVars>
          <dgm:chPref val="3"/>
        </dgm:presLayoutVars>
      </dgm:prSet>
      <dgm:spPr/>
      <dgm:t>
        <a:bodyPr/>
        <a:lstStyle/>
        <a:p>
          <a:endParaRPr lang="en-CA"/>
        </a:p>
      </dgm:t>
    </dgm:pt>
    <dgm:pt modelId="{09190968-1DF2-4FB5-B61C-5BC27717C4D6}" type="pres">
      <dgm:prSet presAssocID="{E50DE840-7BAD-4453-AB04-A5B37153A48E}" presName="rootConnector" presStyleLbl="node2" presStyleIdx="1" presStyleCnt="2"/>
      <dgm:spPr/>
      <dgm:t>
        <a:bodyPr/>
        <a:lstStyle/>
        <a:p>
          <a:endParaRPr lang="en-CA"/>
        </a:p>
      </dgm:t>
    </dgm:pt>
    <dgm:pt modelId="{7210A105-226E-42AD-9A1F-6BB70171950A}" type="pres">
      <dgm:prSet presAssocID="{E50DE840-7BAD-4453-AB04-A5B37153A48E}" presName="hierChild4" presStyleCnt="0"/>
      <dgm:spPr/>
    </dgm:pt>
    <dgm:pt modelId="{BCD28776-FFB3-47D6-9918-8E609E6184D2}" type="pres">
      <dgm:prSet presAssocID="{E50DE840-7BAD-4453-AB04-A5B37153A48E}" presName="hierChild5" presStyleCnt="0"/>
      <dgm:spPr/>
    </dgm:pt>
    <dgm:pt modelId="{26B4F6C5-2932-4202-9112-18DF22157B30}" type="pres">
      <dgm:prSet presAssocID="{04C546BB-D8CD-418E-B6A9-9449060DE403}" presName="hierChild3" presStyleCnt="0"/>
      <dgm:spPr/>
    </dgm:pt>
    <dgm:pt modelId="{97F69559-657E-43AD-AF3F-FF4701E3D2D8}" type="pres">
      <dgm:prSet presAssocID="{8CDC01F6-E464-4B2E-98C7-ED9784527166}" presName="Name111" presStyleLbl="parChTrans1D2" presStyleIdx="2" presStyleCnt="3"/>
      <dgm:spPr/>
      <dgm:t>
        <a:bodyPr/>
        <a:lstStyle/>
        <a:p>
          <a:endParaRPr lang="en-CA"/>
        </a:p>
      </dgm:t>
    </dgm:pt>
    <dgm:pt modelId="{B513F8A5-D71C-49B8-9E5F-D7DA7C07719F}" type="pres">
      <dgm:prSet presAssocID="{F85C73FB-0472-4CCE-BFE8-9A3F7881CECE}" presName="hierRoot3" presStyleCnt="0">
        <dgm:presLayoutVars>
          <dgm:hierBranch val="init"/>
        </dgm:presLayoutVars>
      </dgm:prSet>
      <dgm:spPr/>
    </dgm:pt>
    <dgm:pt modelId="{7330EB79-F386-4E7B-B4CA-561A9A036009}" type="pres">
      <dgm:prSet presAssocID="{F85C73FB-0472-4CCE-BFE8-9A3F7881CECE}" presName="rootComposite3" presStyleCnt="0"/>
      <dgm:spPr/>
    </dgm:pt>
    <dgm:pt modelId="{14407937-7F04-42FE-8C33-B42900A1C617}" type="pres">
      <dgm:prSet presAssocID="{F85C73FB-0472-4CCE-BFE8-9A3F7881CECE}" presName="rootText3" presStyleLbl="asst1" presStyleIdx="0" presStyleCnt="1" custLinFactNeighborX="60709" custLinFactNeighborY="-4442">
        <dgm:presLayoutVars>
          <dgm:chPref val="3"/>
        </dgm:presLayoutVars>
      </dgm:prSet>
      <dgm:spPr/>
      <dgm:t>
        <a:bodyPr/>
        <a:lstStyle/>
        <a:p>
          <a:endParaRPr lang="en-CA"/>
        </a:p>
      </dgm:t>
    </dgm:pt>
    <dgm:pt modelId="{3F4FF922-B435-4095-9229-39504D96AABD}" type="pres">
      <dgm:prSet presAssocID="{F85C73FB-0472-4CCE-BFE8-9A3F7881CECE}" presName="rootConnector3" presStyleLbl="asst1" presStyleIdx="0" presStyleCnt="1"/>
      <dgm:spPr/>
      <dgm:t>
        <a:bodyPr/>
        <a:lstStyle/>
        <a:p>
          <a:endParaRPr lang="en-CA"/>
        </a:p>
      </dgm:t>
    </dgm:pt>
    <dgm:pt modelId="{E400ADA1-471F-408A-AB89-CB4882F9DDE5}" type="pres">
      <dgm:prSet presAssocID="{F85C73FB-0472-4CCE-BFE8-9A3F7881CECE}" presName="hierChild6" presStyleCnt="0"/>
      <dgm:spPr/>
    </dgm:pt>
    <dgm:pt modelId="{57C2C31F-6274-4306-AC8B-14F617B35DAB}" type="pres">
      <dgm:prSet presAssocID="{F85C73FB-0472-4CCE-BFE8-9A3F7881CECE}" presName="hierChild7" presStyleCnt="0"/>
      <dgm:spPr/>
    </dgm:pt>
  </dgm:ptLst>
  <dgm:cxnLst>
    <dgm:cxn modelId="{0B6950DE-421C-4267-9BB5-77DAD7F3E1D1}" type="presOf" srcId="{F85C73FB-0472-4CCE-BFE8-9A3F7881CECE}" destId="{3F4FF922-B435-4095-9229-39504D96AABD}" srcOrd="1" destOrd="0" presId="urn:microsoft.com/office/officeart/2005/8/layout/orgChart1"/>
    <dgm:cxn modelId="{CF1BF0AC-CC58-41BD-B922-788BD70181B5}" type="presOf" srcId="{E50DE840-7BAD-4453-AB04-A5B37153A48E}" destId="{6D8A4C4E-196C-4152-BB4D-561CB3B70BDD}" srcOrd="0" destOrd="0" presId="urn:microsoft.com/office/officeart/2005/8/layout/orgChart1"/>
    <dgm:cxn modelId="{B740E8A6-A539-4A33-BB74-BA1F42826B10}" type="presOf" srcId="{E50DE840-7BAD-4453-AB04-A5B37153A48E}" destId="{09190968-1DF2-4FB5-B61C-5BC27717C4D6}" srcOrd="1" destOrd="0" presId="urn:microsoft.com/office/officeart/2005/8/layout/orgChart1"/>
    <dgm:cxn modelId="{9E549F52-D20F-4CF7-B453-18A90B0DCBB3}" srcId="{04C546BB-D8CD-418E-B6A9-9449060DE403}" destId="{F85C73FB-0472-4CCE-BFE8-9A3F7881CECE}" srcOrd="0" destOrd="0" parTransId="{8CDC01F6-E464-4B2E-98C7-ED9784527166}" sibTransId="{23EB5F35-01D2-4007-BDDE-B2C1D76F4184}"/>
    <dgm:cxn modelId="{3557D6B1-3C78-43B7-B19D-E5E87B6A49BE}" srcId="{04C546BB-D8CD-418E-B6A9-9449060DE403}" destId="{2BE0E008-139A-4DB8-B2CE-32A75F7E7344}" srcOrd="1" destOrd="0" parTransId="{30513FC3-8679-42B4-A88A-F8712255C68E}" sibTransId="{BA9F924C-44C3-4E97-9EFD-A5123B721F73}"/>
    <dgm:cxn modelId="{F697ED18-E014-4009-9052-6BD18AD210BE}" type="presOf" srcId="{F85C73FB-0472-4CCE-BFE8-9A3F7881CECE}" destId="{14407937-7F04-42FE-8C33-B42900A1C617}" srcOrd="0" destOrd="0" presId="urn:microsoft.com/office/officeart/2005/8/layout/orgChart1"/>
    <dgm:cxn modelId="{477F62B2-A1CE-4CF0-B0BD-E0A08C506FDB}" type="presOf" srcId="{D5BA79E2-188C-4272-BAE3-69E2C925BD25}" destId="{000C554D-4F61-436F-8DDD-4EEB8C6EE10C}" srcOrd="0" destOrd="0" presId="urn:microsoft.com/office/officeart/2005/8/layout/orgChart1"/>
    <dgm:cxn modelId="{4F82510C-A698-416E-9593-16A53EA066DF}" type="presOf" srcId="{8CDC01F6-E464-4B2E-98C7-ED9784527166}" destId="{97F69559-657E-43AD-AF3F-FF4701E3D2D8}" srcOrd="0" destOrd="0" presId="urn:microsoft.com/office/officeart/2005/8/layout/orgChart1"/>
    <dgm:cxn modelId="{FC6AEAAE-E5DA-46E0-9025-5E88BFDE6BCE}" type="presOf" srcId="{04C546BB-D8CD-418E-B6A9-9449060DE403}" destId="{CB65E801-644B-4581-8FD9-EBF9CA568788}" srcOrd="1" destOrd="0" presId="urn:microsoft.com/office/officeart/2005/8/layout/orgChart1"/>
    <dgm:cxn modelId="{AC78E321-0474-45B0-AC2F-DB05FAEEFF62}" type="presOf" srcId="{30513FC3-8679-42B4-A88A-F8712255C68E}" destId="{DCF0B6F0-4029-46DC-892B-DE410C086073}" srcOrd="0" destOrd="0" presId="urn:microsoft.com/office/officeart/2005/8/layout/orgChart1"/>
    <dgm:cxn modelId="{F79754BC-286B-4A08-A1DB-676E7EAEB67A}" type="presOf" srcId="{04C546BB-D8CD-418E-B6A9-9449060DE403}" destId="{5526E19A-0F56-4AF1-BB9C-CCA32B61C8A5}" srcOrd="0" destOrd="0" presId="urn:microsoft.com/office/officeart/2005/8/layout/orgChart1"/>
    <dgm:cxn modelId="{66CC4E26-EB5E-474C-AD7C-AC4CCE443151}" type="presOf" srcId="{2BE0E008-139A-4DB8-B2CE-32A75F7E7344}" destId="{0CC5E6F7-FF05-4E8D-B7BE-0381B0F4788A}" srcOrd="0" destOrd="0" presId="urn:microsoft.com/office/officeart/2005/8/layout/orgChart1"/>
    <dgm:cxn modelId="{CAA7C7E6-8FB4-4743-91A6-5E2DE9EBA9BE}" type="presOf" srcId="{2BE0E008-139A-4DB8-B2CE-32A75F7E7344}" destId="{56F4C67F-5DAA-4852-83EE-16912343691A}" srcOrd="1" destOrd="0" presId="urn:microsoft.com/office/officeart/2005/8/layout/orgChart1"/>
    <dgm:cxn modelId="{ACCC3A71-A07D-473F-B54E-13DA23392AD5}" srcId="{04C546BB-D8CD-418E-B6A9-9449060DE403}" destId="{E50DE840-7BAD-4453-AB04-A5B37153A48E}" srcOrd="2" destOrd="0" parTransId="{D5BA79E2-188C-4272-BAE3-69E2C925BD25}" sibTransId="{3D0FCEBD-0159-4C85-993E-E767B5298DD5}"/>
    <dgm:cxn modelId="{188E4B85-D8E9-4C56-889C-9733AC863292}" type="presOf" srcId="{CA41DB6A-C0B3-4676-BBB1-77CA59A28EAF}" destId="{47FBCF20-B6D3-4426-B755-CF387B245B35}" srcOrd="0" destOrd="0" presId="urn:microsoft.com/office/officeart/2005/8/layout/orgChart1"/>
    <dgm:cxn modelId="{E4CAE903-64B3-461B-8E9E-19EFF570100C}" srcId="{CA41DB6A-C0B3-4676-BBB1-77CA59A28EAF}" destId="{04C546BB-D8CD-418E-B6A9-9449060DE403}" srcOrd="0" destOrd="0" parTransId="{80B41DA6-5E8B-4A51-BE50-CDEA88EC38AB}" sibTransId="{529485F3-E312-44B6-9C72-20ED03431533}"/>
    <dgm:cxn modelId="{8A488765-B7B0-472F-8630-6E2AFC3CB9DB}" type="presParOf" srcId="{47FBCF20-B6D3-4426-B755-CF387B245B35}" destId="{A0FE94AD-36A9-4FC6-917B-1AAE170443D2}" srcOrd="0" destOrd="0" presId="urn:microsoft.com/office/officeart/2005/8/layout/orgChart1"/>
    <dgm:cxn modelId="{D72EF2B0-EFF2-433E-956B-5E18D88F8D0D}" type="presParOf" srcId="{A0FE94AD-36A9-4FC6-917B-1AAE170443D2}" destId="{51894CFA-8361-4F25-9464-4B92913CFB5E}" srcOrd="0" destOrd="0" presId="urn:microsoft.com/office/officeart/2005/8/layout/orgChart1"/>
    <dgm:cxn modelId="{E318DD1E-E97F-4AB3-9ED6-C62EF1F599FC}" type="presParOf" srcId="{51894CFA-8361-4F25-9464-4B92913CFB5E}" destId="{5526E19A-0F56-4AF1-BB9C-CCA32B61C8A5}" srcOrd="0" destOrd="0" presId="urn:microsoft.com/office/officeart/2005/8/layout/orgChart1"/>
    <dgm:cxn modelId="{CC9349F4-045F-4B4E-8ADB-26F7E08F40F7}" type="presParOf" srcId="{51894CFA-8361-4F25-9464-4B92913CFB5E}" destId="{CB65E801-644B-4581-8FD9-EBF9CA568788}" srcOrd="1" destOrd="0" presId="urn:microsoft.com/office/officeart/2005/8/layout/orgChart1"/>
    <dgm:cxn modelId="{276264B2-34C2-4F1D-8D0D-37902D0CDBA2}" type="presParOf" srcId="{A0FE94AD-36A9-4FC6-917B-1AAE170443D2}" destId="{1AA38D72-EE90-43DF-B2F7-FEC2CFEB3E7F}" srcOrd="1" destOrd="0" presId="urn:microsoft.com/office/officeart/2005/8/layout/orgChart1"/>
    <dgm:cxn modelId="{38179D35-9B3C-40EF-BD25-BF28AFA8FF88}" type="presParOf" srcId="{1AA38D72-EE90-43DF-B2F7-FEC2CFEB3E7F}" destId="{DCF0B6F0-4029-46DC-892B-DE410C086073}" srcOrd="0" destOrd="0" presId="urn:microsoft.com/office/officeart/2005/8/layout/orgChart1"/>
    <dgm:cxn modelId="{92910C6B-F102-4F49-B12A-6FBC4AB557C8}" type="presParOf" srcId="{1AA38D72-EE90-43DF-B2F7-FEC2CFEB3E7F}" destId="{7AB15804-8A5D-4A33-8618-1119C0FBE755}" srcOrd="1" destOrd="0" presId="urn:microsoft.com/office/officeart/2005/8/layout/orgChart1"/>
    <dgm:cxn modelId="{66DF92B9-7F94-4666-A104-D7C91B409274}" type="presParOf" srcId="{7AB15804-8A5D-4A33-8618-1119C0FBE755}" destId="{D25A6EC8-EE66-442D-B650-553EBCC44A9C}" srcOrd="0" destOrd="0" presId="urn:microsoft.com/office/officeart/2005/8/layout/orgChart1"/>
    <dgm:cxn modelId="{DB589D9A-3217-4587-AD13-F9AC747AA2C1}" type="presParOf" srcId="{D25A6EC8-EE66-442D-B650-553EBCC44A9C}" destId="{0CC5E6F7-FF05-4E8D-B7BE-0381B0F4788A}" srcOrd="0" destOrd="0" presId="urn:microsoft.com/office/officeart/2005/8/layout/orgChart1"/>
    <dgm:cxn modelId="{3B8BEF54-44CE-406B-B9FE-3C191EAEBA4C}" type="presParOf" srcId="{D25A6EC8-EE66-442D-B650-553EBCC44A9C}" destId="{56F4C67F-5DAA-4852-83EE-16912343691A}" srcOrd="1" destOrd="0" presId="urn:microsoft.com/office/officeart/2005/8/layout/orgChart1"/>
    <dgm:cxn modelId="{A63B050C-2EF0-4873-BA02-3525460E5D07}" type="presParOf" srcId="{7AB15804-8A5D-4A33-8618-1119C0FBE755}" destId="{14D6237D-B5ED-4B80-A576-FA0D6A02F34D}" srcOrd="1" destOrd="0" presId="urn:microsoft.com/office/officeart/2005/8/layout/orgChart1"/>
    <dgm:cxn modelId="{9E7E6084-7BCB-4B44-8150-AAB0161E4F50}" type="presParOf" srcId="{7AB15804-8A5D-4A33-8618-1119C0FBE755}" destId="{A661B504-0318-43D3-BA5B-CBB86BFAD273}" srcOrd="2" destOrd="0" presId="urn:microsoft.com/office/officeart/2005/8/layout/orgChart1"/>
    <dgm:cxn modelId="{AD0483B4-04CE-42FF-88A5-63A80439AF16}" type="presParOf" srcId="{1AA38D72-EE90-43DF-B2F7-FEC2CFEB3E7F}" destId="{000C554D-4F61-436F-8DDD-4EEB8C6EE10C}" srcOrd="2" destOrd="0" presId="urn:microsoft.com/office/officeart/2005/8/layout/orgChart1"/>
    <dgm:cxn modelId="{BD1F16C6-E014-4C80-AC97-55D2067C0B29}" type="presParOf" srcId="{1AA38D72-EE90-43DF-B2F7-FEC2CFEB3E7F}" destId="{1D226CE4-109A-45EB-9052-A9A9D9ED6091}" srcOrd="3" destOrd="0" presId="urn:microsoft.com/office/officeart/2005/8/layout/orgChart1"/>
    <dgm:cxn modelId="{8135AAE3-C046-4676-AC1E-FB301D53CE35}" type="presParOf" srcId="{1D226CE4-109A-45EB-9052-A9A9D9ED6091}" destId="{AFAC6AF4-1C50-492D-996E-44FD01C57D3C}" srcOrd="0" destOrd="0" presId="urn:microsoft.com/office/officeart/2005/8/layout/orgChart1"/>
    <dgm:cxn modelId="{4AD36EF3-8B98-42CD-BE68-199D2A31B541}" type="presParOf" srcId="{AFAC6AF4-1C50-492D-996E-44FD01C57D3C}" destId="{6D8A4C4E-196C-4152-BB4D-561CB3B70BDD}" srcOrd="0" destOrd="0" presId="urn:microsoft.com/office/officeart/2005/8/layout/orgChart1"/>
    <dgm:cxn modelId="{44D919AA-87FD-4A90-8188-396DD12B80FE}" type="presParOf" srcId="{AFAC6AF4-1C50-492D-996E-44FD01C57D3C}" destId="{09190968-1DF2-4FB5-B61C-5BC27717C4D6}" srcOrd="1" destOrd="0" presId="urn:microsoft.com/office/officeart/2005/8/layout/orgChart1"/>
    <dgm:cxn modelId="{E042B71F-6232-45FA-8697-461708B9232F}" type="presParOf" srcId="{1D226CE4-109A-45EB-9052-A9A9D9ED6091}" destId="{7210A105-226E-42AD-9A1F-6BB70171950A}" srcOrd="1" destOrd="0" presId="urn:microsoft.com/office/officeart/2005/8/layout/orgChart1"/>
    <dgm:cxn modelId="{A530AD94-C768-45ED-99A8-0B57014C7D8E}" type="presParOf" srcId="{1D226CE4-109A-45EB-9052-A9A9D9ED6091}" destId="{BCD28776-FFB3-47D6-9918-8E609E6184D2}" srcOrd="2" destOrd="0" presId="urn:microsoft.com/office/officeart/2005/8/layout/orgChart1"/>
    <dgm:cxn modelId="{DFE9C044-D6B5-4D72-A65D-FF67B8C5BD66}" type="presParOf" srcId="{A0FE94AD-36A9-4FC6-917B-1AAE170443D2}" destId="{26B4F6C5-2932-4202-9112-18DF22157B30}" srcOrd="2" destOrd="0" presId="urn:microsoft.com/office/officeart/2005/8/layout/orgChart1"/>
    <dgm:cxn modelId="{3D3AA292-EB8D-40D3-8D0D-9929CD1E7798}" type="presParOf" srcId="{26B4F6C5-2932-4202-9112-18DF22157B30}" destId="{97F69559-657E-43AD-AF3F-FF4701E3D2D8}" srcOrd="0" destOrd="0" presId="urn:microsoft.com/office/officeart/2005/8/layout/orgChart1"/>
    <dgm:cxn modelId="{C3C84AC7-5BB4-4646-97EE-8159ABCDBCAA}" type="presParOf" srcId="{26B4F6C5-2932-4202-9112-18DF22157B30}" destId="{B513F8A5-D71C-49B8-9E5F-D7DA7C07719F}" srcOrd="1" destOrd="0" presId="urn:microsoft.com/office/officeart/2005/8/layout/orgChart1"/>
    <dgm:cxn modelId="{885EBF9A-B1EC-46E3-9B3E-AE5C3896BF99}" type="presParOf" srcId="{B513F8A5-D71C-49B8-9E5F-D7DA7C07719F}" destId="{7330EB79-F386-4E7B-B4CA-561A9A036009}" srcOrd="0" destOrd="0" presId="urn:microsoft.com/office/officeart/2005/8/layout/orgChart1"/>
    <dgm:cxn modelId="{0ADD46A6-D7B7-434C-9D04-999CDB26B46A}" type="presParOf" srcId="{7330EB79-F386-4E7B-B4CA-561A9A036009}" destId="{14407937-7F04-42FE-8C33-B42900A1C617}" srcOrd="0" destOrd="0" presId="urn:microsoft.com/office/officeart/2005/8/layout/orgChart1"/>
    <dgm:cxn modelId="{1E02E424-5B56-41E8-8144-EE10574F0FBA}" type="presParOf" srcId="{7330EB79-F386-4E7B-B4CA-561A9A036009}" destId="{3F4FF922-B435-4095-9229-39504D96AABD}" srcOrd="1" destOrd="0" presId="urn:microsoft.com/office/officeart/2005/8/layout/orgChart1"/>
    <dgm:cxn modelId="{567E897A-5CF1-45B0-9E79-CC3924173D0B}" type="presParOf" srcId="{B513F8A5-D71C-49B8-9E5F-D7DA7C07719F}" destId="{E400ADA1-471F-408A-AB89-CB4882F9DDE5}" srcOrd="1" destOrd="0" presId="urn:microsoft.com/office/officeart/2005/8/layout/orgChart1"/>
    <dgm:cxn modelId="{1C2A0A5E-DFE0-4B89-AAEB-792E93CFB4B5}" type="presParOf" srcId="{B513F8A5-D71C-49B8-9E5F-D7DA7C07719F}" destId="{57C2C31F-6274-4306-AC8B-14F617B35DAB}"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1173124-B967-45EC-8F67-61997FE0F4B8}"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CA"/>
        </a:p>
      </dgm:t>
    </dgm:pt>
    <dgm:pt modelId="{05712591-8EC3-4BD6-B7B5-D9351635BE0E}">
      <dgm:prSet phldrT="[Text]" custT="1"/>
      <dgm:spPr/>
      <dgm:t>
        <a:bodyPr/>
        <a:lstStyle/>
        <a:p>
          <a:r>
            <a:rPr lang="en-CA" sz="900"/>
            <a:t>Supreme Court of Canada</a:t>
          </a:r>
        </a:p>
        <a:p>
          <a:r>
            <a:rPr lang="en-CA" sz="900"/>
            <a:t>*Requires Leave*</a:t>
          </a:r>
        </a:p>
      </dgm:t>
    </dgm:pt>
    <dgm:pt modelId="{C82C0556-D37C-428C-A147-64A71473F8BF}" type="parTrans" cxnId="{72428BAE-83D4-4DAA-9161-7BF320F53901}">
      <dgm:prSet/>
      <dgm:spPr/>
      <dgm:t>
        <a:bodyPr/>
        <a:lstStyle/>
        <a:p>
          <a:endParaRPr lang="en-CA" sz="2800"/>
        </a:p>
      </dgm:t>
    </dgm:pt>
    <dgm:pt modelId="{295F0AEB-DDB7-4E5E-9857-4EC0B4BFF324}" type="sibTrans" cxnId="{72428BAE-83D4-4DAA-9161-7BF320F53901}">
      <dgm:prSet/>
      <dgm:spPr/>
      <dgm:t>
        <a:bodyPr/>
        <a:lstStyle/>
        <a:p>
          <a:endParaRPr lang="en-CA" sz="2800"/>
        </a:p>
      </dgm:t>
    </dgm:pt>
    <dgm:pt modelId="{DF6468E2-5F5B-436D-BFF9-406920CA936F}">
      <dgm:prSet phldrT="[Text]" custT="1"/>
      <dgm:spPr/>
      <dgm:t>
        <a:bodyPr/>
        <a:lstStyle/>
        <a:p>
          <a:r>
            <a:rPr lang="en-CA" sz="900"/>
            <a:t>Court of Appeal for Ontario</a:t>
          </a:r>
        </a:p>
        <a:p>
          <a:r>
            <a:rPr lang="en-CA" sz="900"/>
            <a:t>*Generally Requires Leave*</a:t>
          </a:r>
        </a:p>
      </dgm:t>
    </dgm:pt>
    <dgm:pt modelId="{4B03AA80-6D2D-4C04-B659-376599C5B00D}" type="sibTrans" cxnId="{4242C300-B4D3-4C2C-AEB3-4ADCD719AB40}">
      <dgm:prSet/>
      <dgm:spPr/>
      <dgm:t>
        <a:bodyPr/>
        <a:lstStyle/>
        <a:p>
          <a:endParaRPr lang="en-CA" sz="2800"/>
        </a:p>
      </dgm:t>
    </dgm:pt>
    <dgm:pt modelId="{5CC4C8CA-81DD-4258-9CD3-E137CF2B8244}" type="parTrans" cxnId="{4242C300-B4D3-4C2C-AEB3-4ADCD719AB40}">
      <dgm:prSet/>
      <dgm:spPr/>
      <dgm:t>
        <a:bodyPr/>
        <a:lstStyle/>
        <a:p>
          <a:endParaRPr lang="en-CA" sz="2800"/>
        </a:p>
      </dgm:t>
    </dgm:pt>
    <dgm:pt modelId="{D8221FB6-7D2A-4B70-9E22-AC048CD9EC43}" type="asst">
      <dgm:prSet custT="1"/>
      <dgm:spPr/>
      <dgm:t>
        <a:bodyPr/>
        <a:lstStyle/>
        <a:p>
          <a:r>
            <a:rPr lang="en-CA" sz="900"/>
            <a:t>Court of Ontario</a:t>
          </a:r>
        </a:p>
      </dgm:t>
    </dgm:pt>
    <dgm:pt modelId="{7ED50733-49C5-4C5F-8C47-3DDAA2EA99BF}" type="parTrans" cxnId="{850ABAAC-8F07-4589-96B9-94DB311730D8}">
      <dgm:prSet/>
      <dgm:spPr/>
      <dgm:t>
        <a:bodyPr/>
        <a:lstStyle/>
        <a:p>
          <a:endParaRPr lang="en-CA" sz="2800"/>
        </a:p>
      </dgm:t>
    </dgm:pt>
    <dgm:pt modelId="{7866FB16-01DC-4AEB-BE1D-E8E309C03965}" type="sibTrans" cxnId="{850ABAAC-8F07-4589-96B9-94DB311730D8}">
      <dgm:prSet/>
      <dgm:spPr/>
      <dgm:t>
        <a:bodyPr/>
        <a:lstStyle/>
        <a:p>
          <a:endParaRPr lang="en-CA" sz="2800"/>
        </a:p>
      </dgm:t>
    </dgm:pt>
    <dgm:pt modelId="{AB25E91C-7171-4B5C-AB9A-0DC4E4481CB0}" type="asst">
      <dgm:prSet custT="1"/>
      <dgm:spPr/>
      <dgm:t>
        <a:bodyPr/>
        <a:lstStyle/>
        <a:p>
          <a:r>
            <a:rPr lang="en-CA" sz="900"/>
            <a:t>Superior Court of Justice</a:t>
          </a:r>
        </a:p>
      </dgm:t>
    </dgm:pt>
    <dgm:pt modelId="{91DEB202-D737-4F05-A6D4-BB7A9C4731EA}" type="parTrans" cxnId="{F5E3B7B1-830D-40BD-98D1-A44AC117C163}">
      <dgm:prSet/>
      <dgm:spPr/>
      <dgm:t>
        <a:bodyPr/>
        <a:lstStyle/>
        <a:p>
          <a:endParaRPr lang="en-CA" sz="2800"/>
        </a:p>
      </dgm:t>
    </dgm:pt>
    <dgm:pt modelId="{49AFDF70-1BCC-465B-ABF9-DA0A4C430C8E}" type="sibTrans" cxnId="{F5E3B7B1-830D-40BD-98D1-A44AC117C163}">
      <dgm:prSet/>
      <dgm:spPr/>
      <dgm:t>
        <a:bodyPr/>
        <a:lstStyle/>
        <a:p>
          <a:endParaRPr lang="en-CA" sz="2800"/>
        </a:p>
      </dgm:t>
    </dgm:pt>
    <dgm:pt modelId="{A2929E51-0D66-4B79-B7F2-7E205530AF0B}" type="asst">
      <dgm:prSet custT="1"/>
      <dgm:spPr/>
      <dgm:t>
        <a:bodyPr/>
        <a:lstStyle/>
        <a:p>
          <a:r>
            <a:rPr lang="en-CA" sz="900"/>
            <a:t>Ontario Court of Justice</a:t>
          </a:r>
        </a:p>
      </dgm:t>
    </dgm:pt>
    <dgm:pt modelId="{455A883B-C7A9-44D1-B9EB-3FE4BAE2B641}" type="parTrans" cxnId="{466DF6C5-71F3-4515-A56E-6612A0F8A6A7}">
      <dgm:prSet/>
      <dgm:spPr/>
      <dgm:t>
        <a:bodyPr/>
        <a:lstStyle/>
        <a:p>
          <a:endParaRPr lang="en-CA" sz="2800"/>
        </a:p>
      </dgm:t>
    </dgm:pt>
    <dgm:pt modelId="{75772215-9415-4316-B80E-9A49C2AA5415}" type="sibTrans" cxnId="{466DF6C5-71F3-4515-A56E-6612A0F8A6A7}">
      <dgm:prSet/>
      <dgm:spPr/>
      <dgm:t>
        <a:bodyPr/>
        <a:lstStyle/>
        <a:p>
          <a:endParaRPr lang="en-CA" sz="2800"/>
        </a:p>
      </dgm:t>
    </dgm:pt>
    <dgm:pt modelId="{6AC7AB3B-9041-45E0-832B-3A359E37032D}" type="asst">
      <dgm:prSet custT="1"/>
      <dgm:spPr/>
      <dgm:t>
        <a:bodyPr/>
        <a:lstStyle/>
        <a:p>
          <a:r>
            <a:rPr lang="en-CA" sz="900"/>
            <a:t>Divisional Court</a:t>
          </a:r>
        </a:p>
      </dgm:t>
    </dgm:pt>
    <dgm:pt modelId="{3A6DA700-54D6-4F39-BC28-9CAF4738AC34}" type="sibTrans" cxnId="{AE5F874E-B2C0-449B-A789-1F766A344334}">
      <dgm:prSet/>
      <dgm:spPr/>
      <dgm:t>
        <a:bodyPr/>
        <a:lstStyle/>
        <a:p>
          <a:endParaRPr lang="en-CA" sz="2800"/>
        </a:p>
      </dgm:t>
    </dgm:pt>
    <dgm:pt modelId="{64ACBD99-FDDE-4997-9ACE-1B98B6704A10}" type="parTrans" cxnId="{AE5F874E-B2C0-449B-A789-1F766A344334}">
      <dgm:prSet/>
      <dgm:spPr/>
      <dgm:t>
        <a:bodyPr/>
        <a:lstStyle/>
        <a:p>
          <a:endParaRPr lang="en-CA" sz="2800"/>
        </a:p>
      </dgm:t>
    </dgm:pt>
    <dgm:pt modelId="{A4572971-E288-4DBB-87F3-511A6B0FDC3B}" type="asst">
      <dgm:prSet custT="1"/>
      <dgm:spPr/>
      <dgm:t>
        <a:bodyPr/>
        <a:lstStyle/>
        <a:p>
          <a:r>
            <a:rPr lang="en-CA" sz="900"/>
            <a:t>Supiriour Court of Justice </a:t>
          </a:r>
        </a:p>
      </dgm:t>
    </dgm:pt>
    <dgm:pt modelId="{823E2627-4F9B-4F51-98BD-462D580A9A48}" type="parTrans" cxnId="{7DCC4FEC-C842-4B56-AF40-23492960A468}">
      <dgm:prSet/>
      <dgm:spPr/>
      <dgm:t>
        <a:bodyPr/>
        <a:lstStyle/>
        <a:p>
          <a:endParaRPr lang="en-CA" sz="2800"/>
        </a:p>
      </dgm:t>
    </dgm:pt>
    <dgm:pt modelId="{33237129-21A7-42C3-95AD-D4B59E6A4F59}" type="sibTrans" cxnId="{7DCC4FEC-C842-4B56-AF40-23492960A468}">
      <dgm:prSet/>
      <dgm:spPr/>
      <dgm:t>
        <a:bodyPr/>
        <a:lstStyle/>
        <a:p>
          <a:endParaRPr lang="en-CA" sz="2800"/>
        </a:p>
      </dgm:t>
    </dgm:pt>
    <dgm:pt modelId="{EC8E763E-552E-44D7-9A6E-86DF24AAC7D2}" type="asst">
      <dgm:prSet custT="1"/>
      <dgm:spPr/>
      <dgm:t>
        <a:bodyPr/>
        <a:lstStyle/>
        <a:p>
          <a:r>
            <a:rPr lang="en-CA" sz="900"/>
            <a:t>Small Claims Court</a:t>
          </a:r>
        </a:p>
      </dgm:t>
    </dgm:pt>
    <dgm:pt modelId="{11AF2098-1AEE-4C02-9AEB-3BBA25B4608D}" type="parTrans" cxnId="{C52B19F0-8518-4A87-A464-BFF828E00AF1}">
      <dgm:prSet/>
      <dgm:spPr/>
      <dgm:t>
        <a:bodyPr/>
        <a:lstStyle/>
        <a:p>
          <a:endParaRPr lang="en-CA" sz="2800"/>
        </a:p>
      </dgm:t>
    </dgm:pt>
    <dgm:pt modelId="{5288A9B8-058A-4F6D-9F09-548FAA3ED4EA}" type="sibTrans" cxnId="{C52B19F0-8518-4A87-A464-BFF828E00AF1}">
      <dgm:prSet/>
      <dgm:spPr/>
      <dgm:t>
        <a:bodyPr/>
        <a:lstStyle/>
        <a:p>
          <a:endParaRPr lang="en-CA" sz="2800"/>
        </a:p>
      </dgm:t>
    </dgm:pt>
    <dgm:pt modelId="{1CB22203-B762-477E-BC19-42DA19F5F07C}" type="asst">
      <dgm:prSet custT="1"/>
      <dgm:spPr/>
      <dgm:t>
        <a:bodyPr/>
        <a:lstStyle/>
        <a:p>
          <a:r>
            <a:rPr lang="en-CA" sz="900"/>
            <a:t>Family Court </a:t>
          </a:r>
        </a:p>
        <a:p>
          <a:r>
            <a:rPr lang="en-CA" sz="900"/>
            <a:t>(Only in some areas)</a:t>
          </a:r>
        </a:p>
      </dgm:t>
    </dgm:pt>
    <dgm:pt modelId="{B8390276-5DA5-4EDC-BA32-14A207DE10D1}" type="parTrans" cxnId="{18800232-D23A-4457-B497-FB25418F2E05}">
      <dgm:prSet/>
      <dgm:spPr/>
      <dgm:t>
        <a:bodyPr/>
        <a:lstStyle/>
        <a:p>
          <a:endParaRPr lang="en-CA" sz="2800"/>
        </a:p>
      </dgm:t>
    </dgm:pt>
    <dgm:pt modelId="{6B84BCE6-7739-4737-A002-8B64F6B50433}" type="sibTrans" cxnId="{18800232-D23A-4457-B497-FB25418F2E05}">
      <dgm:prSet/>
      <dgm:spPr/>
      <dgm:t>
        <a:bodyPr/>
        <a:lstStyle/>
        <a:p>
          <a:endParaRPr lang="en-CA" sz="2800"/>
        </a:p>
      </dgm:t>
    </dgm:pt>
    <dgm:pt modelId="{2C825EB7-4D10-4A0F-AA15-90F11FB95C2C}" type="pres">
      <dgm:prSet presAssocID="{31173124-B967-45EC-8F67-61997FE0F4B8}" presName="hierChild1" presStyleCnt="0">
        <dgm:presLayoutVars>
          <dgm:orgChart val="1"/>
          <dgm:chPref val="1"/>
          <dgm:dir/>
          <dgm:animOne val="branch"/>
          <dgm:animLvl val="lvl"/>
          <dgm:resizeHandles/>
        </dgm:presLayoutVars>
      </dgm:prSet>
      <dgm:spPr/>
      <dgm:t>
        <a:bodyPr/>
        <a:lstStyle/>
        <a:p>
          <a:endParaRPr lang="en-CA"/>
        </a:p>
      </dgm:t>
    </dgm:pt>
    <dgm:pt modelId="{AB31B6E3-5BB7-4ECD-9E67-E59EC324EF45}" type="pres">
      <dgm:prSet presAssocID="{05712591-8EC3-4BD6-B7B5-D9351635BE0E}" presName="hierRoot1" presStyleCnt="0">
        <dgm:presLayoutVars>
          <dgm:hierBranch val="init"/>
        </dgm:presLayoutVars>
      </dgm:prSet>
      <dgm:spPr/>
    </dgm:pt>
    <dgm:pt modelId="{EBAF0F39-5618-4249-94F6-A11A05B837F2}" type="pres">
      <dgm:prSet presAssocID="{05712591-8EC3-4BD6-B7B5-D9351635BE0E}" presName="rootComposite1" presStyleCnt="0"/>
      <dgm:spPr/>
    </dgm:pt>
    <dgm:pt modelId="{E4EA6134-7616-4712-AA30-C320AFFD551C}" type="pres">
      <dgm:prSet presAssocID="{05712591-8EC3-4BD6-B7B5-D9351635BE0E}" presName="rootText1" presStyleLbl="node0" presStyleIdx="0" presStyleCnt="1" custScaleX="249549" custScaleY="257708" custLinFactX="-400000" custLinFactNeighborX="-433155" custLinFactNeighborY="53766">
        <dgm:presLayoutVars>
          <dgm:chPref val="3"/>
        </dgm:presLayoutVars>
      </dgm:prSet>
      <dgm:spPr/>
      <dgm:t>
        <a:bodyPr/>
        <a:lstStyle/>
        <a:p>
          <a:endParaRPr lang="en-CA"/>
        </a:p>
      </dgm:t>
    </dgm:pt>
    <dgm:pt modelId="{1047EFBA-C817-4E71-881A-9AEFC143108B}" type="pres">
      <dgm:prSet presAssocID="{05712591-8EC3-4BD6-B7B5-D9351635BE0E}" presName="rootConnector1" presStyleLbl="node1" presStyleIdx="0" presStyleCnt="0"/>
      <dgm:spPr/>
      <dgm:t>
        <a:bodyPr/>
        <a:lstStyle/>
        <a:p>
          <a:endParaRPr lang="en-CA"/>
        </a:p>
      </dgm:t>
    </dgm:pt>
    <dgm:pt modelId="{EB8F2194-17B7-4372-A6D5-11F31600A918}" type="pres">
      <dgm:prSet presAssocID="{05712591-8EC3-4BD6-B7B5-D9351635BE0E}" presName="hierChild2" presStyleCnt="0"/>
      <dgm:spPr/>
    </dgm:pt>
    <dgm:pt modelId="{61D73E30-5D02-48B3-A2EC-80F9935CC888}" type="pres">
      <dgm:prSet presAssocID="{5CC4C8CA-81DD-4258-9CD3-E137CF2B8244}" presName="Name37" presStyleLbl="parChTrans1D2" presStyleIdx="0" presStyleCnt="1"/>
      <dgm:spPr/>
      <dgm:t>
        <a:bodyPr/>
        <a:lstStyle/>
        <a:p>
          <a:endParaRPr lang="en-CA"/>
        </a:p>
      </dgm:t>
    </dgm:pt>
    <dgm:pt modelId="{591B4B74-7730-45AC-9764-EFD60EC34330}" type="pres">
      <dgm:prSet presAssocID="{DF6468E2-5F5B-436D-BFF9-406920CA936F}" presName="hierRoot2" presStyleCnt="0">
        <dgm:presLayoutVars>
          <dgm:hierBranch val="init"/>
        </dgm:presLayoutVars>
      </dgm:prSet>
      <dgm:spPr/>
    </dgm:pt>
    <dgm:pt modelId="{30FA8126-EBE3-44F7-871A-31C87318831C}" type="pres">
      <dgm:prSet presAssocID="{DF6468E2-5F5B-436D-BFF9-406920CA936F}" presName="rootComposite" presStyleCnt="0"/>
      <dgm:spPr/>
    </dgm:pt>
    <dgm:pt modelId="{7EC68BB1-A48A-4770-8E09-1E10015750B9}" type="pres">
      <dgm:prSet presAssocID="{DF6468E2-5F5B-436D-BFF9-406920CA936F}" presName="rootText" presStyleLbl="node2" presStyleIdx="0" presStyleCnt="1" custScaleX="278382" custScaleY="266422" custLinFactX="-400000" custLinFactNeighborX="-424415" custLinFactNeighborY="96664">
        <dgm:presLayoutVars>
          <dgm:chPref val="3"/>
        </dgm:presLayoutVars>
      </dgm:prSet>
      <dgm:spPr/>
      <dgm:t>
        <a:bodyPr/>
        <a:lstStyle/>
        <a:p>
          <a:endParaRPr lang="en-CA"/>
        </a:p>
      </dgm:t>
    </dgm:pt>
    <dgm:pt modelId="{7234FF1F-FE08-41F9-8FC9-94ED352C8785}" type="pres">
      <dgm:prSet presAssocID="{DF6468E2-5F5B-436D-BFF9-406920CA936F}" presName="rootConnector" presStyleLbl="node2" presStyleIdx="0" presStyleCnt="1"/>
      <dgm:spPr/>
      <dgm:t>
        <a:bodyPr/>
        <a:lstStyle/>
        <a:p>
          <a:endParaRPr lang="en-CA"/>
        </a:p>
      </dgm:t>
    </dgm:pt>
    <dgm:pt modelId="{993ADF6D-B36A-4994-93CC-BBC58A09361D}" type="pres">
      <dgm:prSet presAssocID="{DF6468E2-5F5B-436D-BFF9-406920CA936F}" presName="hierChild4" presStyleCnt="0"/>
      <dgm:spPr/>
    </dgm:pt>
    <dgm:pt modelId="{0E07CFE0-3D31-495C-AC2C-4F0F95465D62}" type="pres">
      <dgm:prSet presAssocID="{DF6468E2-5F5B-436D-BFF9-406920CA936F}" presName="hierChild5" presStyleCnt="0"/>
      <dgm:spPr/>
    </dgm:pt>
    <dgm:pt modelId="{CD0BFA41-6398-4731-A6B1-5D723C73A6B5}" type="pres">
      <dgm:prSet presAssocID="{7ED50733-49C5-4C5F-8C47-3DDAA2EA99BF}" presName="Name111" presStyleLbl="parChTrans1D3" presStyleIdx="0" presStyleCnt="1"/>
      <dgm:spPr/>
      <dgm:t>
        <a:bodyPr/>
        <a:lstStyle/>
        <a:p>
          <a:endParaRPr lang="en-CA"/>
        </a:p>
      </dgm:t>
    </dgm:pt>
    <dgm:pt modelId="{B3611D39-17C5-47DF-BDD9-86F6765BB5A6}" type="pres">
      <dgm:prSet presAssocID="{D8221FB6-7D2A-4B70-9E22-AC048CD9EC43}" presName="hierRoot3" presStyleCnt="0">
        <dgm:presLayoutVars>
          <dgm:hierBranch val="init"/>
        </dgm:presLayoutVars>
      </dgm:prSet>
      <dgm:spPr/>
    </dgm:pt>
    <dgm:pt modelId="{5537D3CF-AE1A-40E4-921C-0157A9F37929}" type="pres">
      <dgm:prSet presAssocID="{D8221FB6-7D2A-4B70-9E22-AC048CD9EC43}" presName="rootComposite3" presStyleCnt="0"/>
      <dgm:spPr/>
    </dgm:pt>
    <dgm:pt modelId="{E7EF6DD0-C85A-4F8D-A3B2-C665DB96C602}" type="pres">
      <dgm:prSet presAssocID="{D8221FB6-7D2A-4B70-9E22-AC048CD9EC43}" presName="rootText3" presStyleLbl="asst2" presStyleIdx="0" presStyleCnt="7" custScaleX="296360" custScaleY="95669" custLinFactY="-155931" custLinFactNeighborX="-78583" custLinFactNeighborY="-200000">
        <dgm:presLayoutVars>
          <dgm:chPref val="3"/>
        </dgm:presLayoutVars>
      </dgm:prSet>
      <dgm:spPr/>
      <dgm:t>
        <a:bodyPr/>
        <a:lstStyle/>
        <a:p>
          <a:endParaRPr lang="en-CA"/>
        </a:p>
      </dgm:t>
    </dgm:pt>
    <dgm:pt modelId="{1621593F-C92B-41E4-A151-B6F41FACCFC7}" type="pres">
      <dgm:prSet presAssocID="{D8221FB6-7D2A-4B70-9E22-AC048CD9EC43}" presName="rootConnector3" presStyleLbl="asst2" presStyleIdx="0" presStyleCnt="7"/>
      <dgm:spPr/>
      <dgm:t>
        <a:bodyPr/>
        <a:lstStyle/>
        <a:p>
          <a:endParaRPr lang="en-CA"/>
        </a:p>
      </dgm:t>
    </dgm:pt>
    <dgm:pt modelId="{1F8B3C99-8115-4D40-9658-6CC994DCDA98}" type="pres">
      <dgm:prSet presAssocID="{D8221FB6-7D2A-4B70-9E22-AC048CD9EC43}" presName="hierChild6" presStyleCnt="0"/>
      <dgm:spPr/>
    </dgm:pt>
    <dgm:pt modelId="{870B5E3A-831B-4701-BC65-52A7B19AE686}" type="pres">
      <dgm:prSet presAssocID="{D8221FB6-7D2A-4B70-9E22-AC048CD9EC43}" presName="hierChild7" presStyleCnt="0"/>
      <dgm:spPr/>
    </dgm:pt>
    <dgm:pt modelId="{0165A676-2ED6-4DFE-997E-51CB841E5D96}" type="pres">
      <dgm:prSet presAssocID="{91DEB202-D737-4F05-A6D4-BB7A9C4731EA}" presName="Name111" presStyleLbl="parChTrans1D4" presStyleIdx="0" presStyleCnt="6"/>
      <dgm:spPr/>
      <dgm:t>
        <a:bodyPr/>
        <a:lstStyle/>
        <a:p>
          <a:endParaRPr lang="en-CA"/>
        </a:p>
      </dgm:t>
    </dgm:pt>
    <dgm:pt modelId="{F3244AA2-4778-4450-ADC6-8EF84706D58F}" type="pres">
      <dgm:prSet presAssocID="{AB25E91C-7171-4B5C-AB9A-0DC4E4481CB0}" presName="hierRoot3" presStyleCnt="0">
        <dgm:presLayoutVars>
          <dgm:hierBranch val="init"/>
        </dgm:presLayoutVars>
      </dgm:prSet>
      <dgm:spPr/>
    </dgm:pt>
    <dgm:pt modelId="{03D24CE7-D973-437F-ACDD-FCC185FD5D34}" type="pres">
      <dgm:prSet presAssocID="{AB25E91C-7171-4B5C-AB9A-0DC4E4481CB0}" presName="rootComposite3" presStyleCnt="0"/>
      <dgm:spPr/>
    </dgm:pt>
    <dgm:pt modelId="{9B7F54CA-EE6B-4644-B4FD-A8193ADDAFA8}" type="pres">
      <dgm:prSet presAssocID="{AB25E91C-7171-4B5C-AB9A-0DC4E4481CB0}" presName="rootText3" presStyleLbl="asst2" presStyleIdx="1" presStyleCnt="7" custScaleX="211204" custScaleY="200538" custLinFactY="-100000" custLinFactNeighborX="-17055" custLinFactNeighborY="-179126">
        <dgm:presLayoutVars>
          <dgm:chPref val="3"/>
        </dgm:presLayoutVars>
      </dgm:prSet>
      <dgm:spPr/>
      <dgm:t>
        <a:bodyPr/>
        <a:lstStyle/>
        <a:p>
          <a:endParaRPr lang="en-CA"/>
        </a:p>
      </dgm:t>
    </dgm:pt>
    <dgm:pt modelId="{FF61E1BA-EF69-415E-8D99-057FB4F66B5E}" type="pres">
      <dgm:prSet presAssocID="{AB25E91C-7171-4B5C-AB9A-0DC4E4481CB0}" presName="rootConnector3" presStyleLbl="asst2" presStyleIdx="1" presStyleCnt="7"/>
      <dgm:spPr/>
      <dgm:t>
        <a:bodyPr/>
        <a:lstStyle/>
        <a:p>
          <a:endParaRPr lang="en-CA"/>
        </a:p>
      </dgm:t>
    </dgm:pt>
    <dgm:pt modelId="{4BBDB977-C494-4F46-B816-756361332072}" type="pres">
      <dgm:prSet presAssocID="{AB25E91C-7171-4B5C-AB9A-0DC4E4481CB0}" presName="hierChild6" presStyleCnt="0"/>
      <dgm:spPr/>
    </dgm:pt>
    <dgm:pt modelId="{83112719-848B-4C65-9EED-DCE92019BF5D}" type="pres">
      <dgm:prSet presAssocID="{AB25E91C-7171-4B5C-AB9A-0DC4E4481CB0}" presName="hierChild7" presStyleCnt="0"/>
      <dgm:spPr/>
    </dgm:pt>
    <dgm:pt modelId="{BE2352F6-1795-4D80-8373-0AFABE487FBB}" type="pres">
      <dgm:prSet presAssocID="{64ACBD99-FDDE-4997-9ACE-1B98B6704A10}" presName="Name111" presStyleLbl="parChTrans1D4" presStyleIdx="1" presStyleCnt="6"/>
      <dgm:spPr/>
      <dgm:t>
        <a:bodyPr/>
        <a:lstStyle/>
        <a:p>
          <a:endParaRPr lang="en-CA"/>
        </a:p>
      </dgm:t>
    </dgm:pt>
    <dgm:pt modelId="{54F61794-D08B-4DED-B030-29401241E818}" type="pres">
      <dgm:prSet presAssocID="{6AC7AB3B-9041-45E0-832B-3A359E37032D}" presName="hierRoot3" presStyleCnt="0">
        <dgm:presLayoutVars>
          <dgm:hierBranch val="init"/>
        </dgm:presLayoutVars>
      </dgm:prSet>
      <dgm:spPr/>
    </dgm:pt>
    <dgm:pt modelId="{BDA54B59-1F69-4A3B-B8E1-D40AD4E71031}" type="pres">
      <dgm:prSet presAssocID="{6AC7AB3B-9041-45E0-832B-3A359E37032D}" presName="rootComposite3" presStyleCnt="0"/>
      <dgm:spPr/>
    </dgm:pt>
    <dgm:pt modelId="{1A098F78-AE00-41A3-B173-BDF5E7969DEF}" type="pres">
      <dgm:prSet presAssocID="{6AC7AB3B-9041-45E0-832B-3A359E37032D}" presName="rootText3" presStyleLbl="asst2" presStyleIdx="2" presStyleCnt="7" custScaleX="220325" custScaleY="210993" custLinFactY="-100000" custLinFactNeighborX="-38886" custLinFactNeighborY="-158828">
        <dgm:presLayoutVars>
          <dgm:chPref val="3"/>
        </dgm:presLayoutVars>
      </dgm:prSet>
      <dgm:spPr/>
      <dgm:t>
        <a:bodyPr/>
        <a:lstStyle/>
        <a:p>
          <a:endParaRPr lang="en-CA"/>
        </a:p>
      </dgm:t>
    </dgm:pt>
    <dgm:pt modelId="{CE4D8EB5-E941-40E1-99D5-E85BD34359A4}" type="pres">
      <dgm:prSet presAssocID="{6AC7AB3B-9041-45E0-832B-3A359E37032D}" presName="rootConnector3" presStyleLbl="asst2" presStyleIdx="2" presStyleCnt="7"/>
      <dgm:spPr/>
      <dgm:t>
        <a:bodyPr/>
        <a:lstStyle/>
        <a:p>
          <a:endParaRPr lang="en-CA"/>
        </a:p>
      </dgm:t>
    </dgm:pt>
    <dgm:pt modelId="{FCED3019-671F-4202-91F0-1C81F80C4A45}" type="pres">
      <dgm:prSet presAssocID="{6AC7AB3B-9041-45E0-832B-3A359E37032D}" presName="hierChild6" presStyleCnt="0"/>
      <dgm:spPr/>
    </dgm:pt>
    <dgm:pt modelId="{DC91E7D5-56B8-4FE7-86ED-D80D7508E3B5}" type="pres">
      <dgm:prSet presAssocID="{6AC7AB3B-9041-45E0-832B-3A359E37032D}" presName="hierChild7" presStyleCnt="0"/>
      <dgm:spPr/>
    </dgm:pt>
    <dgm:pt modelId="{66080394-D6FC-423C-8F96-2E5B55F06D06}" type="pres">
      <dgm:prSet presAssocID="{823E2627-4F9B-4F51-98BD-462D580A9A48}" presName="Name111" presStyleLbl="parChTrans1D4" presStyleIdx="2" presStyleCnt="6"/>
      <dgm:spPr/>
      <dgm:t>
        <a:bodyPr/>
        <a:lstStyle/>
        <a:p>
          <a:endParaRPr lang="en-CA"/>
        </a:p>
      </dgm:t>
    </dgm:pt>
    <dgm:pt modelId="{C0293D6A-4904-4495-88C2-9B8295CE2076}" type="pres">
      <dgm:prSet presAssocID="{A4572971-E288-4DBB-87F3-511A6B0FDC3B}" presName="hierRoot3" presStyleCnt="0">
        <dgm:presLayoutVars>
          <dgm:hierBranch val="init"/>
        </dgm:presLayoutVars>
      </dgm:prSet>
      <dgm:spPr/>
    </dgm:pt>
    <dgm:pt modelId="{2B631CE2-B4D6-45A0-8A9B-A134F68A8A3F}" type="pres">
      <dgm:prSet presAssocID="{A4572971-E288-4DBB-87F3-511A6B0FDC3B}" presName="rootComposite3" presStyleCnt="0"/>
      <dgm:spPr/>
    </dgm:pt>
    <dgm:pt modelId="{825F9E4A-0D6D-4478-A73F-C3A736244B6D}" type="pres">
      <dgm:prSet presAssocID="{A4572971-E288-4DBB-87F3-511A6B0FDC3B}" presName="rootText3" presStyleLbl="asst2" presStyleIdx="3" presStyleCnt="7" custScaleX="211155" custScaleY="149638" custLinFactY="-100000" custLinFactNeighborX="11627" custLinFactNeighborY="-126388">
        <dgm:presLayoutVars>
          <dgm:chPref val="3"/>
        </dgm:presLayoutVars>
      </dgm:prSet>
      <dgm:spPr/>
      <dgm:t>
        <a:bodyPr/>
        <a:lstStyle/>
        <a:p>
          <a:endParaRPr lang="en-CA"/>
        </a:p>
      </dgm:t>
    </dgm:pt>
    <dgm:pt modelId="{F68825B1-18C6-4E26-99D6-6F3F6937E697}" type="pres">
      <dgm:prSet presAssocID="{A4572971-E288-4DBB-87F3-511A6B0FDC3B}" presName="rootConnector3" presStyleLbl="asst2" presStyleIdx="3" presStyleCnt="7"/>
      <dgm:spPr/>
      <dgm:t>
        <a:bodyPr/>
        <a:lstStyle/>
        <a:p>
          <a:endParaRPr lang="en-CA"/>
        </a:p>
      </dgm:t>
    </dgm:pt>
    <dgm:pt modelId="{4A8B9133-A527-4BDA-9B7B-646E6439DF1D}" type="pres">
      <dgm:prSet presAssocID="{A4572971-E288-4DBB-87F3-511A6B0FDC3B}" presName="hierChild6" presStyleCnt="0"/>
      <dgm:spPr/>
    </dgm:pt>
    <dgm:pt modelId="{A58B8DB5-1FB5-4EA2-A8D1-C3AC3C43C8DE}" type="pres">
      <dgm:prSet presAssocID="{A4572971-E288-4DBB-87F3-511A6B0FDC3B}" presName="hierChild7" presStyleCnt="0"/>
      <dgm:spPr/>
    </dgm:pt>
    <dgm:pt modelId="{648DE45B-E2E1-4BB3-825D-F1459776B420}" type="pres">
      <dgm:prSet presAssocID="{11AF2098-1AEE-4C02-9AEB-3BBA25B4608D}" presName="Name111" presStyleLbl="parChTrans1D4" presStyleIdx="3" presStyleCnt="6"/>
      <dgm:spPr/>
      <dgm:t>
        <a:bodyPr/>
        <a:lstStyle/>
        <a:p>
          <a:endParaRPr lang="en-CA"/>
        </a:p>
      </dgm:t>
    </dgm:pt>
    <dgm:pt modelId="{C4EA765F-6B49-46D2-B952-43B25E95E717}" type="pres">
      <dgm:prSet presAssocID="{EC8E763E-552E-44D7-9A6E-86DF24AAC7D2}" presName="hierRoot3" presStyleCnt="0">
        <dgm:presLayoutVars>
          <dgm:hierBranch val="init"/>
        </dgm:presLayoutVars>
      </dgm:prSet>
      <dgm:spPr/>
    </dgm:pt>
    <dgm:pt modelId="{83F37FE0-3771-4825-A84D-A74F08C772F9}" type="pres">
      <dgm:prSet presAssocID="{EC8E763E-552E-44D7-9A6E-86DF24AAC7D2}" presName="rootComposite3" presStyleCnt="0"/>
      <dgm:spPr/>
    </dgm:pt>
    <dgm:pt modelId="{21518923-46E1-4A2F-851E-6392D8D90FF0}" type="pres">
      <dgm:prSet presAssocID="{EC8E763E-552E-44D7-9A6E-86DF24AAC7D2}" presName="rootText3" presStyleLbl="asst2" presStyleIdx="4" presStyleCnt="7" custScaleX="250489" custScaleY="120691" custLinFactX="241151" custLinFactY="-200000" custLinFactNeighborX="300000" custLinFactNeighborY="-288427">
        <dgm:presLayoutVars>
          <dgm:chPref val="3"/>
        </dgm:presLayoutVars>
      </dgm:prSet>
      <dgm:spPr/>
      <dgm:t>
        <a:bodyPr/>
        <a:lstStyle/>
        <a:p>
          <a:endParaRPr lang="en-CA"/>
        </a:p>
      </dgm:t>
    </dgm:pt>
    <dgm:pt modelId="{7E0173ED-1FF6-494B-96F4-0CF21F721A8D}" type="pres">
      <dgm:prSet presAssocID="{EC8E763E-552E-44D7-9A6E-86DF24AAC7D2}" presName="rootConnector3" presStyleLbl="asst2" presStyleIdx="4" presStyleCnt="7"/>
      <dgm:spPr/>
      <dgm:t>
        <a:bodyPr/>
        <a:lstStyle/>
        <a:p>
          <a:endParaRPr lang="en-CA"/>
        </a:p>
      </dgm:t>
    </dgm:pt>
    <dgm:pt modelId="{FB710FD0-E2EB-4565-AF86-59C011286AFD}" type="pres">
      <dgm:prSet presAssocID="{EC8E763E-552E-44D7-9A6E-86DF24AAC7D2}" presName="hierChild6" presStyleCnt="0"/>
      <dgm:spPr/>
    </dgm:pt>
    <dgm:pt modelId="{9CA8B280-584C-4CA1-BCDB-74B58039004A}" type="pres">
      <dgm:prSet presAssocID="{EC8E763E-552E-44D7-9A6E-86DF24AAC7D2}" presName="hierChild7" presStyleCnt="0"/>
      <dgm:spPr/>
    </dgm:pt>
    <dgm:pt modelId="{50C7656F-5A25-4946-9270-08EE405DCEE7}" type="pres">
      <dgm:prSet presAssocID="{B8390276-5DA5-4EDC-BA32-14A207DE10D1}" presName="Name111" presStyleLbl="parChTrans1D4" presStyleIdx="4" presStyleCnt="6"/>
      <dgm:spPr/>
      <dgm:t>
        <a:bodyPr/>
        <a:lstStyle/>
        <a:p>
          <a:endParaRPr lang="en-CA"/>
        </a:p>
      </dgm:t>
    </dgm:pt>
    <dgm:pt modelId="{4FA23756-020D-4B44-AAE6-FD97E91AC265}" type="pres">
      <dgm:prSet presAssocID="{1CB22203-B762-477E-BC19-42DA19F5F07C}" presName="hierRoot3" presStyleCnt="0">
        <dgm:presLayoutVars>
          <dgm:hierBranch val="init"/>
        </dgm:presLayoutVars>
      </dgm:prSet>
      <dgm:spPr/>
    </dgm:pt>
    <dgm:pt modelId="{82BE94AD-5CBA-4211-8D60-CC4DEA863968}" type="pres">
      <dgm:prSet presAssocID="{1CB22203-B762-477E-BC19-42DA19F5F07C}" presName="rootComposite3" presStyleCnt="0"/>
      <dgm:spPr/>
    </dgm:pt>
    <dgm:pt modelId="{C00105BC-3B45-476A-B71F-F075E9E814E4}" type="pres">
      <dgm:prSet presAssocID="{1CB22203-B762-477E-BC19-42DA19F5F07C}" presName="rootText3" presStyleLbl="asst2" presStyleIdx="5" presStyleCnt="7" custScaleX="207418" custScaleY="180090" custLinFactX="293169" custLinFactY="-222598" custLinFactNeighborX="300000" custLinFactNeighborY="-300000">
        <dgm:presLayoutVars>
          <dgm:chPref val="3"/>
        </dgm:presLayoutVars>
      </dgm:prSet>
      <dgm:spPr/>
      <dgm:t>
        <a:bodyPr/>
        <a:lstStyle/>
        <a:p>
          <a:endParaRPr lang="en-CA"/>
        </a:p>
      </dgm:t>
    </dgm:pt>
    <dgm:pt modelId="{C3DC3CD6-6F6A-45D4-9DC0-44C00E2A0EF6}" type="pres">
      <dgm:prSet presAssocID="{1CB22203-B762-477E-BC19-42DA19F5F07C}" presName="rootConnector3" presStyleLbl="asst2" presStyleIdx="5" presStyleCnt="7"/>
      <dgm:spPr/>
      <dgm:t>
        <a:bodyPr/>
        <a:lstStyle/>
        <a:p>
          <a:endParaRPr lang="en-CA"/>
        </a:p>
      </dgm:t>
    </dgm:pt>
    <dgm:pt modelId="{44C091EE-7BE3-4D63-A36F-5993C61B9774}" type="pres">
      <dgm:prSet presAssocID="{1CB22203-B762-477E-BC19-42DA19F5F07C}" presName="hierChild6" presStyleCnt="0"/>
      <dgm:spPr/>
    </dgm:pt>
    <dgm:pt modelId="{CF028C05-F30E-4AB3-AA5C-208B21B6D8FE}" type="pres">
      <dgm:prSet presAssocID="{1CB22203-B762-477E-BC19-42DA19F5F07C}" presName="hierChild7" presStyleCnt="0"/>
      <dgm:spPr/>
    </dgm:pt>
    <dgm:pt modelId="{0BD7B0DA-CDEC-4F2A-94EC-04424C8D96C0}" type="pres">
      <dgm:prSet presAssocID="{455A883B-C7A9-44D1-B9EB-3FE4BAE2B641}" presName="Name111" presStyleLbl="parChTrans1D4" presStyleIdx="5" presStyleCnt="6"/>
      <dgm:spPr/>
      <dgm:t>
        <a:bodyPr/>
        <a:lstStyle/>
        <a:p>
          <a:endParaRPr lang="en-CA"/>
        </a:p>
      </dgm:t>
    </dgm:pt>
    <dgm:pt modelId="{6E9FFDF7-C705-4F1D-8AA1-583BC47FCE92}" type="pres">
      <dgm:prSet presAssocID="{A2929E51-0D66-4B79-B7F2-7E205530AF0B}" presName="hierRoot3" presStyleCnt="0">
        <dgm:presLayoutVars>
          <dgm:hierBranch val="init"/>
        </dgm:presLayoutVars>
      </dgm:prSet>
      <dgm:spPr/>
    </dgm:pt>
    <dgm:pt modelId="{506DB035-FFF5-431A-9E7A-BD140295DFBB}" type="pres">
      <dgm:prSet presAssocID="{A2929E51-0D66-4B79-B7F2-7E205530AF0B}" presName="rootComposite3" presStyleCnt="0"/>
      <dgm:spPr/>
    </dgm:pt>
    <dgm:pt modelId="{108EC523-EC82-4760-AEB9-CA3EA640858C}" type="pres">
      <dgm:prSet presAssocID="{A2929E51-0D66-4B79-B7F2-7E205530AF0B}" presName="rootText3" presStyleLbl="asst2" presStyleIdx="6" presStyleCnt="7" custScaleX="228685" custScaleY="207403" custLinFactY="-100000" custLinFactNeighborX="-56361" custLinFactNeighborY="-183565">
        <dgm:presLayoutVars>
          <dgm:chPref val="3"/>
        </dgm:presLayoutVars>
      </dgm:prSet>
      <dgm:spPr/>
      <dgm:t>
        <a:bodyPr/>
        <a:lstStyle/>
        <a:p>
          <a:endParaRPr lang="en-CA"/>
        </a:p>
      </dgm:t>
    </dgm:pt>
    <dgm:pt modelId="{195D4B55-A4D5-41B8-9E74-C183E58EA9D5}" type="pres">
      <dgm:prSet presAssocID="{A2929E51-0D66-4B79-B7F2-7E205530AF0B}" presName="rootConnector3" presStyleLbl="asst2" presStyleIdx="6" presStyleCnt="7"/>
      <dgm:spPr/>
      <dgm:t>
        <a:bodyPr/>
        <a:lstStyle/>
        <a:p>
          <a:endParaRPr lang="en-CA"/>
        </a:p>
      </dgm:t>
    </dgm:pt>
    <dgm:pt modelId="{672DAA1D-A40E-4111-A38C-C7418DA50D9D}" type="pres">
      <dgm:prSet presAssocID="{A2929E51-0D66-4B79-B7F2-7E205530AF0B}" presName="hierChild6" presStyleCnt="0"/>
      <dgm:spPr/>
    </dgm:pt>
    <dgm:pt modelId="{ED137D32-4219-41E7-A71B-933B91314495}" type="pres">
      <dgm:prSet presAssocID="{A2929E51-0D66-4B79-B7F2-7E205530AF0B}" presName="hierChild7" presStyleCnt="0"/>
      <dgm:spPr/>
    </dgm:pt>
    <dgm:pt modelId="{1E758780-4E2C-4834-807E-EE213A9BB768}" type="pres">
      <dgm:prSet presAssocID="{05712591-8EC3-4BD6-B7B5-D9351635BE0E}" presName="hierChild3" presStyleCnt="0"/>
      <dgm:spPr/>
    </dgm:pt>
  </dgm:ptLst>
  <dgm:cxnLst>
    <dgm:cxn modelId="{2EAC5582-EB35-481E-81A7-12DC0B80D0F7}" type="presOf" srcId="{7ED50733-49C5-4C5F-8C47-3DDAA2EA99BF}" destId="{CD0BFA41-6398-4731-A6B1-5D723C73A6B5}" srcOrd="0" destOrd="0" presId="urn:microsoft.com/office/officeart/2005/8/layout/orgChart1"/>
    <dgm:cxn modelId="{CE02760A-1254-4BE9-9AD1-5DC296671353}" type="presOf" srcId="{AB25E91C-7171-4B5C-AB9A-0DC4E4481CB0}" destId="{FF61E1BA-EF69-415E-8D99-057FB4F66B5E}" srcOrd="1" destOrd="0" presId="urn:microsoft.com/office/officeart/2005/8/layout/orgChart1"/>
    <dgm:cxn modelId="{0B1E7CFA-10E2-4CC3-BA70-8FE7474E83C9}" type="presOf" srcId="{A2929E51-0D66-4B79-B7F2-7E205530AF0B}" destId="{108EC523-EC82-4760-AEB9-CA3EA640858C}" srcOrd="0" destOrd="0" presId="urn:microsoft.com/office/officeart/2005/8/layout/orgChart1"/>
    <dgm:cxn modelId="{82814DBB-8249-4B11-94B2-69E8445B4123}" type="presOf" srcId="{64ACBD99-FDDE-4997-9ACE-1B98B6704A10}" destId="{BE2352F6-1795-4D80-8373-0AFABE487FBB}" srcOrd="0" destOrd="0" presId="urn:microsoft.com/office/officeart/2005/8/layout/orgChart1"/>
    <dgm:cxn modelId="{EF79D606-BCA3-4382-A2BC-11AB1F0187BA}" type="presOf" srcId="{D8221FB6-7D2A-4B70-9E22-AC048CD9EC43}" destId="{1621593F-C92B-41E4-A151-B6F41FACCFC7}" srcOrd="1" destOrd="0" presId="urn:microsoft.com/office/officeart/2005/8/layout/orgChart1"/>
    <dgm:cxn modelId="{72428BAE-83D4-4DAA-9161-7BF320F53901}" srcId="{31173124-B967-45EC-8F67-61997FE0F4B8}" destId="{05712591-8EC3-4BD6-B7B5-D9351635BE0E}" srcOrd="0" destOrd="0" parTransId="{C82C0556-D37C-428C-A147-64A71473F8BF}" sibTransId="{295F0AEB-DDB7-4E5E-9857-4EC0B4BFF324}"/>
    <dgm:cxn modelId="{109689CB-DAEC-4516-B51F-310D341F50BB}" type="presOf" srcId="{455A883B-C7A9-44D1-B9EB-3FE4BAE2B641}" destId="{0BD7B0DA-CDEC-4F2A-94EC-04424C8D96C0}" srcOrd="0" destOrd="0" presId="urn:microsoft.com/office/officeart/2005/8/layout/orgChart1"/>
    <dgm:cxn modelId="{466DF6C5-71F3-4515-A56E-6612A0F8A6A7}" srcId="{D8221FB6-7D2A-4B70-9E22-AC048CD9EC43}" destId="{A2929E51-0D66-4B79-B7F2-7E205530AF0B}" srcOrd="1" destOrd="0" parTransId="{455A883B-C7A9-44D1-B9EB-3FE4BAE2B641}" sibTransId="{75772215-9415-4316-B80E-9A49C2AA5415}"/>
    <dgm:cxn modelId="{850ABAAC-8F07-4589-96B9-94DB311730D8}" srcId="{DF6468E2-5F5B-436D-BFF9-406920CA936F}" destId="{D8221FB6-7D2A-4B70-9E22-AC048CD9EC43}" srcOrd="0" destOrd="0" parTransId="{7ED50733-49C5-4C5F-8C47-3DDAA2EA99BF}" sibTransId="{7866FB16-01DC-4AEB-BE1D-E8E309C03965}"/>
    <dgm:cxn modelId="{C70F8D4F-4D1F-4104-A654-0F5CE87B45DB}" type="presOf" srcId="{D8221FB6-7D2A-4B70-9E22-AC048CD9EC43}" destId="{E7EF6DD0-C85A-4F8D-A3B2-C665DB96C602}" srcOrd="0" destOrd="0" presId="urn:microsoft.com/office/officeart/2005/8/layout/orgChart1"/>
    <dgm:cxn modelId="{D4FF2393-6D49-4B34-8B4C-B1F66D1ED131}" type="presOf" srcId="{91DEB202-D737-4F05-A6D4-BB7A9C4731EA}" destId="{0165A676-2ED6-4DFE-997E-51CB841E5D96}" srcOrd="0" destOrd="0" presId="urn:microsoft.com/office/officeart/2005/8/layout/orgChart1"/>
    <dgm:cxn modelId="{607BAA88-AF34-4C4A-9542-85DFC3854742}" type="presOf" srcId="{EC8E763E-552E-44D7-9A6E-86DF24AAC7D2}" destId="{7E0173ED-1FF6-494B-96F4-0CF21F721A8D}" srcOrd="1" destOrd="0" presId="urn:microsoft.com/office/officeart/2005/8/layout/orgChart1"/>
    <dgm:cxn modelId="{A90DBD1C-9AD5-482B-B435-D8FF803D7079}" type="presOf" srcId="{A4572971-E288-4DBB-87F3-511A6B0FDC3B}" destId="{825F9E4A-0D6D-4478-A73F-C3A736244B6D}" srcOrd="0" destOrd="0" presId="urn:microsoft.com/office/officeart/2005/8/layout/orgChart1"/>
    <dgm:cxn modelId="{18800232-D23A-4457-B497-FB25418F2E05}" srcId="{AB25E91C-7171-4B5C-AB9A-0DC4E4481CB0}" destId="{1CB22203-B762-477E-BC19-42DA19F5F07C}" srcOrd="3" destOrd="0" parTransId="{B8390276-5DA5-4EDC-BA32-14A207DE10D1}" sibTransId="{6B84BCE6-7739-4737-A002-8B64F6B50433}"/>
    <dgm:cxn modelId="{F82EF203-679E-41EE-9728-84AA2C74DFEA}" type="presOf" srcId="{EC8E763E-552E-44D7-9A6E-86DF24AAC7D2}" destId="{21518923-46E1-4A2F-851E-6392D8D90FF0}" srcOrd="0" destOrd="0" presId="urn:microsoft.com/office/officeart/2005/8/layout/orgChart1"/>
    <dgm:cxn modelId="{BBE63CE9-0D89-42DC-8594-5DFE0F3B119A}" type="presOf" srcId="{A2929E51-0D66-4B79-B7F2-7E205530AF0B}" destId="{195D4B55-A4D5-41B8-9E74-C183E58EA9D5}" srcOrd="1" destOrd="0" presId="urn:microsoft.com/office/officeart/2005/8/layout/orgChart1"/>
    <dgm:cxn modelId="{5B9A03D4-513C-4808-86BD-E00399C921CD}" type="presOf" srcId="{1CB22203-B762-477E-BC19-42DA19F5F07C}" destId="{C3DC3CD6-6F6A-45D4-9DC0-44C00E2A0EF6}" srcOrd="1" destOrd="0" presId="urn:microsoft.com/office/officeart/2005/8/layout/orgChart1"/>
    <dgm:cxn modelId="{AE5F874E-B2C0-449B-A789-1F766A344334}" srcId="{AB25E91C-7171-4B5C-AB9A-0DC4E4481CB0}" destId="{6AC7AB3B-9041-45E0-832B-3A359E37032D}" srcOrd="0" destOrd="0" parTransId="{64ACBD99-FDDE-4997-9ACE-1B98B6704A10}" sibTransId="{3A6DA700-54D6-4F39-BC28-9CAF4738AC34}"/>
    <dgm:cxn modelId="{48289490-8DF5-41C6-980D-9D17A36BB152}" type="presOf" srcId="{5CC4C8CA-81DD-4258-9CD3-E137CF2B8244}" destId="{61D73E30-5D02-48B3-A2EC-80F9935CC888}" srcOrd="0" destOrd="0" presId="urn:microsoft.com/office/officeart/2005/8/layout/orgChart1"/>
    <dgm:cxn modelId="{F5E3B7B1-830D-40BD-98D1-A44AC117C163}" srcId="{D8221FB6-7D2A-4B70-9E22-AC048CD9EC43}" destId="{AB25E91C-7171-4B5C-AB9A-0DC4E4481CB0}" srcOrd="0" destOrd="0" parTransId="{91DEB202-D737-4F05-A6D4-BB7A9C4731EA}" sibTransId="{49AFDF70-1BCC-465B-ABF9-DA0A4C430C8E}"/>
    <dgm:cxn modelId="{8BD644B6-2B9B-40F9-9DEF-CC834BDF253D}" type="presOf" srcId="{05712591-8EC3-4BD6-B7B5-D9351635BE0E}" destId="{1047EFBA-C817-4E71-881A-9AEFC143108B}" srcOrd="1" destOrd="0" presId="urn:microsoft.com/office/officeart/2005/8/layout/orgChart1"/>
    <dgm:cxn modelId="{3BA14999-2E82-4D17-8EA0-ABECD5C6882A}" type="presOf" srcId="{05712591-8EC3-4BD6-B7B5-D9351635BE0E}" destId="{E4EA6134-7616-4712-AA30-C320AFFD551C}" srcOrd="0" destOrd="0" presId="urn:microsoft.com/office/officeart/2005/8/layout/orgChart1"/>
    <dgm:cxn modelId="{2E9DFE4A-3616-416B-B702-ECE2CD43EAF1}" type="presOf" srcId="{AB25E91C-7171-4B5C-AB9A-0DC4E4481CB0}" destId="{9B7F54CA-EE6B-4644-B4FD-A8193ADDAFA8}" srcOrd="0" destOrd="0" presId="urn:microsoft.com/office/officeart/2005/8/layout/orgChart1"/>
    <dgm:cxn modelId="{8CAC5008-090D-4521-A4F5-D4865CA00487}" type="presOf" srcId="{A4572971-E288-4DBB-87F3-511A6B0FDC3B}" destId="{F68825B1-18C6-4E26-99D6-6F3F6937E697}" srcOrd="1" destOrd="0" presId="urn:microsoft.com/office/officeart/2005/8/layout/orgChart1"/>
    <dgm:cxn modelId="{B67007AE-9036-45ED-9403-95D187FDCF9D}" type="presOf" srcId="{DF6468E2-5F5B-436D-BFF9-406920CA936F}" destId="{7EC68BB1-A48A-4770-8E09-1E10015750B9}" srcOrd="0" destOrd="0" presId="urn:microsoft.com/office/officeart/2005/8/layout/orgChart1"/>
    <dgm:cxn modelId="{3E87768B-E181-4C78-A817-99A47C4EACC6}" type="presOf" srcId="{6AC7AB3B-9041-45E0-832B-3A359E37032D}" destId="{1A098F78-AE00-41A3-B173-BDF5E7969DEF}" srcOrd="0" destOrd="0" presId="urn:microsoft.com/office/officeart/2005/8/layout/orgChart1"/>
    <dgm:cxn modelId="{9788BAA5-2EF1-463A-82C7-E38190362EF5}" type="presOf" srcId="{1CB22203-B762-477E-BC19-42DA19F5F07C}" destId="{C00105BC-3B45-476A-B71F-F075E9E814E4}" srcOrd="0" destOrd="0" presId="urn:microsoft.com/office/officeart/2005/8/layout/orgChart1"/>
    <dgm:cxn modelId="{4242C300-B4D3-4C2C-AEB3-4ADCD719AB40}" srcId="{05712591-8EC3-4BD6-B7B5-D9351635BE0E}" destId="{DF6468E2-5F5B-436D-BFF9-406920CA936F}" srcOrd="0" destOrd="0" parTransId="{5CC4C8CA-81DD-4258-9CD3-E137CF2B8244}" sibTransId="{4B03AA80-6D2D-4C04-B659-376599C5B00D}"/>
    <dgm:cxn modelId="{7DCC4FEC-C842-4B56-AF40-23492960A468}" srcId="{AB25E91C-7171-4B5C-AB9A-0DC4E4481CB0}" destId="{A4572971-E288-4DBB-87F3-511A6B0FDC3B}" srcOrd="1" destOrd="0" parTransId="{823E2627-4F9B-4F51-98BD-462D580A9A48}" sibTransId="{33237129-21A7-42C3-95AD-D4B59E6A4F59}"/>
    <dgm:cxn modelId="{DEC0E308-5260-4713-893A-33126554560E}" type="presOf" srcId="{B8390276-5DA5-4EDC-BA32-14A207DE10D1}" destId="{50C7656F-5A25-4946-9270-08EE405DCEE7}" srcOrd="0" destOrd="0" presId="urn:microsoft.com/office/officeart/2005/8/layout/orgChart1"/>
    <dgm:cxn modelId="{1B99ACC4-A03F-48E3-AEEB-1EF6B2ED7D33}" type="presOf" srcId="{31173124-B967-45EC-8F67-61997FE0F4B8}" destId="{2C825EB7-4D10-4A0F-AA15-90F11FB95C2C}" srcOrd="0" destOrd="0" presId="urn:microsoft.com/office/officeart/2005/8/layout/orgChart1"/>
    <dgm:cxn modelId="{7B961DD6-8C57-4F48-9880-053E6B0FEFBA}" type="presOf" srcId="{11AF2098-1AEE-4C02-9AEB-3BBA25B4608D}" destId="{648DE45B-E2E1-4BB3-825D-F1459776B420}" srcOrd="0" destOrd="0" presId="urn:microsoft.com/office/officeart/2005/8/layout/orgChart1"/>
    <dgm:cxn modelId="{DB45B080-3D8C-4EF5-80A2-3EFAECD31092}" type="presOf" srcId="{DF6468E2-5F5B-436D-BFF9-406920CA936F}" destId="{7234FF1F-FE08-41F9-8FC9-94ED352C8785}" srcOrd="1" destOrd="0" presId="urn:microsoft.com/office/officeart/2005/8/layout/orgChart1"/>
    <dgm:cxn modelId="{D48C7FCA-ECB5-4326-A063-705CFCF59428}" type="presOf" srcId="{823E2627-4F9B-4F51-98BD-462D580A9A48}" destId="{66080394-D6FC-423C-8F96-2E5B55F06D06}" srcOrd="0" destOrd="0" presId="urn:microsoft.com/office/officeart/2005/8/layout/orgChart1"/>
    <dgm:cxn modelId="{C52B19F0-8518-4A87-A464-BFF828E00AF1}" srcId="{AB25E91C-7171-4B5C-AB9A-0DC4E4481CB0}" destId="{EC8E763E-552E-44D7-9A6E-86DF24AAC7D2}" srcOrd="2" destOrd="0" parTransId="{11AF2098-1AEE-4C02-9AEB-3BBA25B4608D}" sibTransId="{5288A9B8-058A-4F6D-9F09-548FAA3ED4EA}"/>
    <dgm:cxn modelId="{8ED4BD27-D069-407B-B21B-74992E93224E}" type="presOf" srcId="{6AC7AB3B-9041-45E0-832B-3A359E37032D}" destId="{CE4D8EB5-E941-40E1-99D5-E85BD34359A4}" srcOrd="1" destOrd="0" presId="urn:microsoft.com/office/officeart/2005/8/layout/orgChart1"/>
    <dgm:cxn modelId="{28AD04E8-5B71-422F-B96C-E386E35FA0E2}" type="presParOf" srcId="{2C825EB7-4D10-4A0F-AA15-90F11FB95C2C}" destId="{AB31B6E3-5BB7-4ECD-9E67-E59EC324EF45}" srcOrd="0" destOrd="0" presId="urn:microsoft.com/office/officeart/2005/8/layout/orgChart1"/>
    <dgm:cxn modelId="{8C63D38C-8E84-47DB-BB51-78B224DCFCB3}" type="presParOf" srcId="{AB31B6E3-5BB7-4ECD-9E67-E59EC324EF45}" destId="{EBAF0F39-5618-4249-94F6-A11A05B837F2}" srcOrd="0" destOrd="0" presId="urn:microsoft.com/office/officeart/2005/8/layout/orgChart1"/>
    <dgm:cxn modelId="{4DCA8759-1C8B-436F-9ADC-07C7D1B8480C}" type="presParOf" srcId="{EBAF0F39-5618-4249-94F6-A11A05B837F2}" destId="{E4EA6134-7616-4712-AA30-C320AFFD551C}" srcOrd="0" destOrd="0" presId="urn:microsoft.com/office/officeart/2005/8/layout/orgChart1"/>
    <dgm:cxn modelId="{0D2F6258-8A9A-47E5-8A5E-6518AEEC3209}" type="presParOf" srcId="{EBAF0F39-5618-4249-94F6-A11A05B837F2}" destId="{1047EFBA-C817-4E71-881A-9AEFC143108B}" srcOrd="1" destOrd="0" presId="urn:microsoft.com/office/officeart/2005/8/layout/orgChart1"/>
    <dgm:cxn modelId="{98149377-2B88-41CD-BC91-5AFE5F54B530}" type="presParOf" srcId="{AB31B6E3-5BB7-4ECD-9E67-E59EC324EF45}" destId="{EB8F2194-17B7-4372-A6D5-11F31600A918}" srcOrd="1" destOrd="0" presId="urn:microsoft.com/office/officeart/2005/8/layout/orgChart1"/>
    <dgm:cxn modelId="{8119A7B8-943A-4DD4-A952-A98C6EDA3611}" type="presParOf" srcId="{EB8F2194-17B7-4372-A6D5-11F31600A918}" destId="{61D73E30-5D02-48B3-A2EC-80F9935CC888}" srcOrd="0" destOrd="0" presId="urn:microsoft.com/office/officeart/2005/8/layout/orgChart1"/>
    <dgm:cxn modelId="{CBC25A64-12C6-4170-B778-04463D756AFA}" type="presParOf" srcId="{EB8F2194-17B7-4372-A6D5-11F31600A918}" destId="{591B4B74-7730-45AC-9764-EFD60EC34330}" srcOrd="1" destOrd="0" presId="urn:microsoft.com/office/officeart/2005/8/layout/orgChart1"/>
    <dgm:cxn modelId="{C67F616D-0A54-4FBE-BB05-637A2E828BCA}" type="presParOf" srcId="{591B4B74-7730-45AC-9764-EFD60EC34330}" destId="{30FA8126-EBE3-44F7-871A-31C87318831C}" srcOrd="0" destOrd="0" presId="urn:microsoft.com/office/officeart/2005/8/layout/orgChart1"/>
    <dgm:cxn modelId="{8D518624-0AC2-452D-A523-40DC3CB57DEE}" type="presParOf" srcId="{30FA8126-EBE3-44F7-871A-31C87318831C}" destId="{7EC68BB1-A48A-4770-8E09-1E10015750B9}" srcOrd="0" destOrd="0" presId="urn:microsoft.com/office/officeart/2005/8/layout/orgChart1"/>
    <dgm:cxn modelId="{9D410B45-DA7A-4C68-80FD-296ECD8E2C39}" type="presParOf" srcId="{30FA8126-EBE3-44F7-871A-31C87318831C}" destId="{7234FF1F-FE08-41F9-8FC9-94ED352C8785}" srcOrd="1" destOrd="0" presId="urn:microsoft.com/office/officeart/2005/8/layout/orgChart1"/>
    <dgm:cxn modelId="{9ABA3C0C-4411-42CE-B290-8F25AC786EFF}" type="presParOf" srcId="{591B4B74-7730-45AC-9764-EFD60EC34330}" destId="{993ADF6D-B36A-4994-93CC-BBC58A09361D}" srcOrd="1" destOrd="0" presId="urn:microsoft.com/office/officeart/2005/8/layout/orgChart1"/>
    <dgm:cxn modelId="{43A7094A-6F1B-4781-9129-DE2ABF37D1B4}" type="presParOf" srcId="{591B4B74-7730-45AC-9764-EFD60EC34330}" destId="{0E07CFE0-3D31-495C-AC2C-4F0F95465D62}" srcOrd="2" destOrd="0" presId="urn:microsoft.com/office/officeart/2005/8/layout/orgChart1"/>
    <dgm:cxn modelId="{770F2D0B-3DC8-4FFE-BF48-C04AE23A37E1}" type="presParOf" srcId="{0E07CFE0-3D31-495C-AC2C-4F0F95465D62}" destId="{CD0BFA41-6398-4731-A6B1-5D723C73A6B5}" srcOrd="0" destOrd="0" presId="urn:microsoft.com/office/officeart/2005/8/layout/orgChart1"/>
    <dgm:cxn modelId="{F6019185-4F02-4D9C-BBFB-1894276DF4C4}" type="presParOf" srcId="{0E07CFE0-3D31-495C-AC2C-4F0F95465D62}" destId="{B3611D39-17C5-47DF-BDD9-86F6765BB5A6}" srcOrd="1" destOrd="0" presId="urn:microsoft.com/office/officeart/2005/8/layout/orgChart1"/>
    <dgm:cxn modelId="{48F07992-E9AF-436E-93BD-3FEB751D09D6}" type="presParOf" srcId="{B3611D39-17C5-47DF-BDD9-86F6765BB5A6}" destId="{5537D3CF-AE1A-40E4-921C-0157A9F37929}" srcOrd="0" destOrd="0" presId="urn:microsoft.com/office/officeart/2005/8/layout/orgChart1"/>
    <dgm:cxn modelId="{A68B3ED0-91D6-438D-AF2D-BC9762439FA4}" type="presParOf" srcId="{5537D3CF-AE1A-40E4-921C-0157A9F37929}" destId="{E7EF6DD0-C85A-4F8D-A3B2-C665DB96C602}" srcOrd="0" destOrd="0" presId="urn:microsoft.com/office/officeart/2005/8/layout/orgChart1"/>
    <dgm:cxn modelId="{F60EAA7A-B06D-496D-ADED-A3FB4A3BD73F}" type="presParOf" srcId="{5537D3CF-AE1A-40E4-921C-0157A9F37929}" destId="{1621593F-C92B-41E4-A151-B6F41FACCFC7}" srcOrd="1" destOrd="0" presId="urn:microsoft.com/office/officeart/2005/8/layout/orgChart1"/>
    <dgm:cxn modelId="{FE820B29-01B5-4D3D-8300-9EE44BBECE22}" type="presParOf" srcId="{B3611D39-17C5-47DF-BDD9-86F6765BB5A6}" destId="{1F8B3C99-8115-4D40-9658-6CC994DCDA98}" srcOrd="1" destOrd="0" presId="urn:microsoft.com/office/officeart/2005/8/layout/orgChart1"/>
    <dgm:cxn modelId="{D68B3DDD-454B-4146-B0B6-62E685B5CA90}" type="presParOf" srcId="{B3611D39-17C5-47DF-BDD9-86F6765BB5A6}" destId="{870B5E3A-831B-4701-BC65-52A7B19AE686}" srcOrd="2" destOrd="0" presId="urn:microsoft.com/office/officeart/2005/8/layout/orgChart1"/>
    <dgm:cxn modelId="{0EC382DE-FA1A-4EC4-832A-CD9BBE8B330B}" type="presParOf" srcId="{870B5E3A-831B-4701-BC65-52A7B19AE686}" destId="{0165A676-2ED6-4DFE-997E-51CB841E5D96}" srcOrd="0" destOrd="0" presId="urn:microsoft.com/office/officeart/2005/8/layout/orgChart1"/>
    <dgm:cxn modelId="{8AC77663-3044-4FFE-BB79-EABE8CB3628A}" type="presParOf" srcId="{870B5E3A-831B-4701-BC65-52A7B19AE686}" destId="{F3244AA2-4778-4450-ADC6-8EF84706D58F}" srcOrd="1" destOrd="0" presId="urn:microsoft.com/office/officeart/2005/8/layout/orgChart1"/>
    <dgm:cxn modelId="{70140207-88BD-4442-A894-8DE38650E9E1}" type="presParOf" srcId="{F3244AA2-4778-4450-ADC6-8EF84706D58F}" destId="{03D24CE7-D973-437F-ACDD-FCC185FD5D34}" srcOrd="0" destOrd="0" presId="urn:microsoft.com/office/officeart/2005/8/layout/orgChart1"/>
    <dgm:cxn modelId="{9E1ED850-50C6-4B84-8F63-A935B7ECABAC}" type="presParOf" srcId="{03D24CE7-D973-437F-ACDD-FCC185FD5D34}" destId="{9B7F54CA-EE6B-4644-B4FD-A8193ADDAFA8}" srcOrd="0" destOrd="0" presId="urn:microsoft.com/office/officeart/2005/8/layout/orgChart1"/>
    <dgm:cxn modelId="{9027A7F7-2D05-470B-82D0-FC0FDCEC2D7C}" type="presParOf" srcId="{03D24CE7-D973-437F-ACDD-FCC185FD5D34}" destId="{FF61E1BA-EF69-415E-8D99-057FB4F66B5E}" srcOrd="1" destOrd="0" presId="urn:microsoft.com/office/officeart/2005/8/layout/orgChart1"/>
    <dgm:cxn modelId="{AF55D0AA-988A-4820-8BA9-903C7E76C63F}" type="presParOf" srcId="{F3244AA2-4778-4450-ADC6-8EF84706D58F}" destId="{4BBDB977-C494-4F46-B816-756361332072}" srcOrd="1" destOrd="0" presId="urn:microsoft.com/office/officeart/2005/8/layout/orgChart1"/>
    <dgm:cxn modelId="{F99BDBF5-8008-43B6-A4F6-17B04E901395}" type="presParOf" srcId="{F3244AA2-4778-4450-ADC6-8EF84706D58F}" destId="{83112719-848B-4C65-9EED-DCE92019BF5D}" srcOrd="2" destOrd="0" presId="urn:microsoft.com/office/officeart/2005/8/layout/orgChart1"/>
    <dgm:cxn modelId="{BF6568AA-95B9-4D94-92D2-E88AE61D60E4}" type="presParOf" srcId="{83112719-848B-4C65-9EED-DCE92019BF5D}" destId="{BE2352F6-1795-4D80-8373-0AFABE487FBB}" srcOrd="0" destOrd="0" presId="urn:microsoft.com/office/officeart/2005/8/layout/orgChart1"/>
    <dgm:cxn modelId="{78965ECD-8FEC-4B6F-81F0-88BB86C1D988}" type="presParOf" srcId="{83112719-848B-4C65-9EED-DCE92019BF5D}" destId="{54F61794-D08B-4DED-B030-29401241E818}" srcOrd="1" destOrd="0" presId="urn:microsoft.com/office/officeart/2005/8/layout/orgChart1"/>
    <dgm:cxn modelId="{04D6C064-542B-4E5D-9ECF-E899877553CA}" type="presParOf" srcId="{54F61794-D08B-4DED-B030-29401241E818}" destId="{BDA54B59-1F69-4A3B-B8E1-D40AD4E71031}" srcOrd="0" destOrd="0" presId="urn:microsoft.com/office/officeart/2005/8/layout/orgChart1"/>
    <dgm:cxn modelId="{B820AD18-F8A5-4556-B8E5-A5F57285495C}" type="presParOf" srcId="{BDA54B59-1F69-4A3B-B8E1-D40AD4E71031}" destId="{1A098F78-AE00-41A3-B173-BDF5E7969DEF}" srcOrd="0" destOrd="0" presId="urn:microsoft.com/office/officeart/2005/8/layout/orgChart1"/>
    <dgm:cxn modelId="{B75C4E82-C35D-4D7F-B0FE-FF725E6CF8A6}" type="presParOf" srcId="{BDA54B59-1F69-4A3B-B8E1-D40AD4E71031}" destId="{CE4D8EB5-E941-40E1-99D5-E85BD34359A4}" srcOrd="1" destOrd="0" presId="urn:microsoft.com/office/officeart/2005/8/layout/orgChart1"/>
    <dgm:cxn modelId="{4EB45619-3CB3-4F94-919F-16454E11A7BC}" type="presParOf" srcId="{54F61794-D08B-4DED-B030-29401241E818}" destId="{FCED3019-671F-4202-91F0-1C81F80C4A45}" srcOrd="1" destOrd="0" presId="urn:microsoft.com/office/officeart/2005/8/layout/orgChart1"/>
    <dgm:cxn modelId="{F58955B3-E57B-4204-AE6F-816A6FC32EE2}" type="presParOf" srcId="{54F61794-D08B-4DED-B030-29401241E818}" destId="{DC91E7D5-56B8-4FE7-86ED-D80D7508E3B5}" srcOrd="2" destOrd="0" presId="urn:microsoft.com/office/officeart/2005/8/layout/orgChart1"/>
    <dgm:cxn modelId="{F0D4C251-06A2-417D-B326-FF8AC8BFE24E}" type="presParOf" srcId="{83112719-848B-4C65-9EED-DCE92019BF5D}" destId="{66080394-D6FC-423C-8F96-2E5B55F06D06}" srcOrd="2" destOrd="0" presId="urn:microsoft.com/office/officeart/2005/8/layout/orgChart1"/>
    <dgm:cxn modelId="{CED16D9B-2C28-4E39-990A-D71B45C5B506}" type="presParOf" srcId="{83112719-848B-4C65-9EED-DCE92019BF5D}" destId="{C0293D6A-4904-4495-88C2-9B8295CE2076}" srcOrd="3" destOrd="0" presId="urn:microsoft.com/office/officeart/2005/8/layout/orgChart1"/>
    <dgm:cxn modelId="{A552E22C-78C2-4FAE-9A42-2DC6158EAF42}" type="presParOf" srcId="{C0293D6A-4904-4495-88C2-9B8295CE2076}" destId="{2B631CE2-B4D6-45A0-8A9B-A134F68A8A3F}" srcOrd="0" destOrd="0" presId="urn:microsoft.com/office/officeart/2005/8/layout/orgChart1"/>
    <dgm:cxn modelId="{6906B246-2E0F-46A5-AFCF-231255A4CEE4}" type="presParOf" srcId="{2B631CE2-B4D6-45A0-8A9B-A134F68A8A3F}" destId="{825F9E4A-0D6D-4478-A73F-C3A736244B6D}" srcOrd="0" destOrd="0" presId="urn:microsoft.com/office/officeart/2005/8/layout/orgChart1"/>
    <dgm:cxn modelId="{6AC27CE8-8886-4C1F-9E16-C75A43DFB22D}" type="presParOf" srcId="{2B631CE2-B4D6-45A0-8A9B-A134F68A8A3F}" destId="{F68825B1-18C6-4E26-99D6-6F3F6937E697}" srcOrd="1" destOrd="0" presId="urn:microsoft.com/office/officeart/2005/8/layout/orgChart1"/>
    <dgm:cxn modelId="{B5175648-D1EB-462F-9626-1B7F94F12FD6}" type="presParOf" srcId="{C0293D6A-4904-4495-88C2-9B8295CE2076}" destId="{4A8B9133-A527-4BDA-9B7B-646E6439DF1D}" srcOrd="1" destOrd="0" presId="urn:microsoft.com/office/officeart/2005/8/layout/orgChart1"/>
    <dgm:cxn modelId="{D08EAD92-A6AA-4C8B-BCD9-855CE29B3B34}" type="presParOf" srcId="{C0293D6A-4904-4495-88C2-9B8295CE2076}" destId="{A58B8DB5-1FB5-4EA2-A8D1-C3AC3C43C8DE}" srcOrd="2" destOrd="0" presId="urn:microsoft.com/office/officeart/2005/8/layout/orgChart1"/>
    <dgm:cxn modelId="{4474E133-5912-4B78-9E58-41C83201C9C4}" type="presParOf" srcId="{83112719-848B-4C65-9EED-DCE92019BF5D}" destId="{648DE45B-E2E1-4BB3-825D-F1459776B420}" srcOrd="4" destOrd="0" presId="urn:microsoft.com/office/officeart/2005/8/layout/orgChart1"/>
    <dgm:cxn modelId="{AFA75B81-4B2E-46BE-A4E5-0543BADE9073}" type="presParOf" srcId="{83112719-848B-4C65-9EED-DCE92019BF5D}" destId="{C4EA765F-6B49-46D2-B952-43B25E95E717}" srcOrd="5" destOrd="0" presId="urn:microsoft.com/office/officeart/2005/8/layout/orgChart1"/>
    <dgm:cxn modelId="{AD4EC2E1-83A0-4259-8972-E1A5E101EADE}" type="presParOf" srcId="{C4EA765F-6B49-46D2-B952-43B25E95E717}" destId="{83F37FE0-3771-4825-A84D-A74F08C772F9}" srcOrd="0" destOrd="0" presId="urn:microsoft.com/office/officeart/2005/8/layout/orgChart1"/>
    <dgm:cxn modelId="{44B75AEB-9A9C-4D4E-BAAD-D00FF77F2F57}" type="presParOf" srcId="{83F37FE0-3771-4825-A84D-A74F08C772F9}" destId="{21518923-46E1-4A2F-851E-6392D8D90FF0}" srcOrd="0" destOrd="0" presId="urn:microsoft.com/office/officeart/2005/8/layout/orgChart1"/>
    <dgm:cxn modelId="{DBC53F5C-B470-46B0-B726-0A156597E1C7}" type="presParOf" srcId="{83F37FE0-3771-4825-A84D-A74F08C772F9}" destId="{7E0173ED-1FF6-494B-96F4-0CF21F721A8D}" srcOrd="1" destOrd="0" presId="urn:microsoft.com/office/officeart/2005/8/layout/orgChart1"/>
    <dgm:cxn modelId="{0539F991-2440-4143-9D0C-043C37967585}" type="presParOf" srcId="{C4EA765F-6B49-46D2-B952-43B25E95E717}" destId="{FB710FD0-E2EB-4565-AF86-59C011286AFD}" srcOrd="1" destOrd="0" presId="urn:microsoft.com/office/officeart/2005/8/layout/orgChart1"/>
    <dgm:cxn modelId="{109D097B-0469-4D05-822A-6C270DFD9A42}" type="presParOf" srcId="{C4EA765F-6B49-46D2-B952-43B25E95E717}" destId="{9CA8B280-584C-4CA1-BCDB-74B58039004A}" srcOrd="2" destOrd="0" presId="urn:microsoft.com/office/officeart/2005/8/layout/orgChart1"/>
    <dgm:cxn modelId="{B0FC1922-2578-4879-852C-01E8C0778D13}" type="presParOf" srcId="{83112719-848B-4C65-9EED-DCE92019BF5D}" destId="{50C7656F-5A25-4946-9270-08EE405DCEE7}" srcOrd="6" destOrd="0" presId="urn:microsoft.com/office/officeart/2005/8/layout/orgChart1"/>
    <dgm:cxn modelId="{5667A66A-FBFE-4B4E-841D-D3ADA83C8C29}" type="presParOf" srcId="{83112719-848B-4C65-9EED-DCE92019BF5D}" destId="{4FA23756-020D-4B44-AAE6-FD97E91AC265}" srcOrd="7" destOrd="0" presId="urn:microsoft.com/office/officeart/2005/8/layout/orgChart1"/>
    <dgm:cxn modelId="{4F413602-B1C7-4F8B-BAF6-B4FBD9006E93}" type="presParOf" srcId="{4FA23756-020D-4B44-AAE6-FD97E91AC265}" destId="{82BE94AD-5CBA-4211-8D60-CC4DEA863968}" srcOrd="0" destOrd="0" presId="urn:microsoft.com/office/officeart/2005/8/layout/orgChart1"/>
    <dgm:cxn modelId="{8566A359-7331-4C25-8231-A4792A68123F}" type="presParOf" srcId="{82BE94AD-5CBA-4211-8D60-CC4DEA863968}" destId="{C00105BC-3B45-476A-B71F-F075E9E814E4}" srcOrd="0" destOrd="0" presId="urn:microsoft.com/office/officeart/2005/8/layout/orgChart1"/>
    <dgm:cxn modelId="{C1EDF731-4839-4D05-9AEE-BC5359C890CD}" type="presParOf" srcId="{82BE94AD-5CBA-4211-8D60-CC4DEA863968}" destId="{C3DC3CD6-6F6A-45D4-9DC0-44C00E2A0EF6}" srcOrd="1" destOrd="0" presId="urn:microsoft.com/office/officeart/2005/8/layout/orgChart1"/>
    <dgm:cxn modelId="{36F1A61B-0C7A-4769-BD05-F545CA7154FF}" type="presParOf" srcId="{4FA23756-020D-4B44-AAE6-FD97E91AC265}" destId="{44C091EE-7BE3-4D63-A36F-5993C61B9774}" srcOrd="1" destOrd="0" presId="urn:microsoft.com/office/officeart/2005/8/layout/orgChart1"/>
    <dgm:cxn modelId="{AE4E824E-B9B5-4D61-A209-987F4901B6F9}" type="presParOf" srcId="{4FA23756-020D-4B44-AAE6-FD97E91AC265}" destId="{CF028C05-F30E-4AB3-AA5C-208B21B6D8FE}" srcOrd="2" destOrd="0" presId="urn:microsoft.com/office/officeart/2005/8/layout/orgChart1"/>
    <dgm:cxn modelId="{AC2AEB1D-553C-48F9-B2B4-89186F8F1F91}" type="presParOf" srcId="{870B5E3A-831B-4701-BC65-52A7B19AE686}" destId="{0BD7B0DA-CDEC-4F2A-94EC-04424C8D96C0}" srcOrd="2" destOrd="0" presId="urn:microsoft.com/office/officeart/2005/8/layout/orgChart1"/>
    <dgm:cxn modelId="{7EF6E6D4-7F24-49C4-848B-705A7F271176}" type="presParOf" srcId="{870B5E3A-831B-4701-BC65-52A7B19AE686}" destId="{6E9FFDF7-C705-4F1D-8AA1-583BC47FCE92}" srcOrd="3" destOrd="0" presId="urn:microsoft.com/office/officeart/2005/8/layout/orgChart1"/>
    <dgm:cxn modelId="{07D8C114-BAE3-4BAF-9CB8-6247F77D208B}" type="presParOf" srcId="{6E9FFDF7-C705-4F1D-8AA1-583BC47FCE92}" destId="{506DB035-FFF5-431A-9E7A-BD140295DFBB}" srcOrd="0" destOrd="0" presId="urn:microsoft.com/office/officeart/2005/8/layout/orgChart1"/>
    <dgm:cxn modelId="{394D316E-B806-4183-AE12-696FF8B29912}" type="presParOf" srcId="{506DB035-FFF5-431A-9E7A-BD140295DFBB}" destId="{108EC523-EC82-4760-AEB9-CA3EA640858C}" srcOrd="0" destOrd="0" presId="urn:microsoft.com/office/officeart/2005/8/layout/orgChart1"/>
    <dgm:cxn modelId="{A7199FE2-5FCE-4901-BBAF-D92CD23B9F9D}" type="presParOf" srcId="{506DB035-FFF5-431A-9E7A-BD140295DFBB}" destId="{195D4B55-A4D5-41B8-9E74-C183E58EA9D5}" srcOrd="1" destOrd="0" presId="urn:microsoft.com/office/officeart/2005/8/layout/orgChart1"/>
    <dgm:cxn modelId="{4615CC5D-8AAB-407D-A38C-1B5B2636E26C}" type="presParOf" srcId="{6E9FFDF7-C705-4F1D-8AA1-583BC47FCE92}" destId="{672DAA1D-A40E-4111-A38C-C7418DA50D9D}" srcOrd="1" destOrd="0" presId="urn:microsoft.com/office/officeart/2005/8/layout/orgChart1"/>
    <dgm:cxn modelId="{DCE753D2-23E0-4EE6-BC96-1D0B999E8600}" type="presParOf" srcId="{6E9FFDF7-C705-4F1D-8AA1-583BC47FCE92}" destId="{ED137D32-4219-41E7-A71B-933B91314495}" srcOrd="2" destOrd="0" presId="urn:microsoft.com/office/officeart/2005/8/layout/orgChart1"/>
    <dgm:cxn modelId="{B604EA65-483D-4CB3-BC1F-934B95ED1E3E}" type="presParOf" srcId="{AB31B6E3-5BB7-4ECD-9E67-E59EC324EF45}" destId="{1E758780-4E2C-4834-807E-EE213A9BB768}"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F69559-657E-43AD-AF3F-FF4701E3D2D8}">
      <dsp:nvSpPr>
        <dsp:cNvPr id="0" name=""/>
        <dsp:cNvSpPr/>
      </dsp:nvSpPr>
      <dsp:spPr>
        <a:xfrm>
          <a:off x="864669" y="529054"/>
          <a:ext cx="708543" cy="622990"/>
        </a:xfrm>
        <a:custGeom>
          <a:avLst/>
          <a:gdLst/>
          <a:ahLst/>
          <a:cxnLst/>
          <a:rect l="0" t="0" r="0" b="0"/>
          <a:pathLst>
            <a:path>
              <a:moveTo>
                <a:pt x="708543" y="0"/>
              </a:moveTo>
              <a:lnTo>
                <a:pt x="0" y="62299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0C554D-4F61-436F-8DDD-4EEB8C6EE10C}">
      <dsp:nvSpPr>
        <dsp:cNvPr id="0" name=""/>
        <dsp:cNvSpPr/>
      </dsp:nvSpPr>
      <dsp:spPr>
        <a:xfrm>
          <a:off x="1573212" y="529054"/>
          <a:ext cx="860936" cy="1309192"/>
        </a:xfrm>
        <a:custGeom>
          <a:avLst/>
          <a:gdLst/>
          <a:ahLst/>
          <a:cxnLst/>
          <a:rect l="0" t="0" r="0" b="0"/>
          <a:pathLst>
            <a:path>
              <a:moveTo>
                <a:pt x="0" y="0"/>
              </a:moveTo>
              <a:lnTo>
                <a:pt x="0" y="1159773"/>
              </a:lnTo>
              <a:lnTo>
                <a:pt x="860936" y="1159773"/>
              </a:lnTo>
              <a:lnTo>
                <a:pt x="860936" y="1309192"/>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F0B6F0-4029-46DC-892B-DE410C086073}">
      <dsp:nvSpPr>
        <dsp:cNvPr id="0" name=""/>
        <dsp:cNvSpPr/>
      </dsp:nvSpPr>
      <dsp:spPr>
        <a:xfrm>
          <a:off x="712276" y="529054"/>
          <a:ext cx="860936" cy="1309192"/>
        </a:xfrm>
        <a:custGeom>
          <a:avLst/>
          <a:gdLst/>
          <a:ahLst/>
          <a:cxnLst/>
          <a:rect l="0" t="0" r="0" b="0"/>
          <a:pathLst>
            <a:path>
              <a:moveTo>
                <a:pt x="860936" y="0"/>
              </a:moveTo>
              <a:lnTo>
                <a:pt x="860936" y="1159773"/>
              </a:lnTo>
              <a:lnTo>
                <a:pt x="0" y="1159773"/>
              </a:lnTo>
              <a:lnTo>
                <a:pt x="0" y="1309192"/>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26E19A-0F56-4AF1-BB9C-CCA32B61C8A5}">
      <dsp:nvSpPr>
        <dsp:cNvPr id="0" name=""/>
        <dsp:cNvSpPr/>
      </dsp:nvSpPr>
      <dsp:spPr>
        <a:xfrm>
          <a:off x="609874" y="273114"/>
          <a:ext cx="1926675" cy="255940"/>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kern="1200"/>
            <a:t>Supreme Court of Canada</a:t>
          </a:r>
        </a:p>
      </dsp:txBody>
      <dsp:txXfrm>
        <a:off x="609874" y="273114"/>
        <a:ext cx="1926675" cy="255940"/>
      </dsp:txXfrm>
    </dsp:sp>
    <dsp:sp modelId="{0CC5E6F7-FF05-4E8D-B7BE-0381B0F4788A}">
      <dsp:nvSpPr>
        <dsp:cNvPr id="0" name=""/>
        <dsp:cNvSpPr/>
      </dsp:nvSpPr>
      <dsp:spPr>
        <a:xfrm>
          <a:off x="758" y="1838246"/>
          <a:ext cx="1423035" cy="501029"/>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kern="1200"/>
            <a:t>Federal Court </a:t>
          </a:r>
        </a:p>
        <a:p>
          <a:pPr lvl="0" algn="ctr" defTabSz="488950">
            <a:lnSpc>
              <a:spcPct val="90000"/>
            </a:lnSpc>
            <a:spcBef>
              <a:spcPct val="0"/>
            </a:spcBef>
            <a:spcAft>
              <a:spcPct val="35000"/>
            </a:spcAft>
          </a:pPr>
          <a:r>
            <a:rPr lang="en-CA" sz="1100" kern="1200"/>
            <a:t>(Trial Division)</a:t>
          </a:r>
        </a:p>
      </dsp:txBody>
      <dsp:txXfrm>
        <a:off x="758" y="1838246"/>
        <a:ext cx="1423035" cy="501029"/>
      </dsp:txXfrm>
    </dsp:sp>
    <dsp:sp modelId="{6D8A4C4E-196C-4152-BB4D-561CB3B70BDD}">
      <dsp:nvSpPr>
        <dsp:cNvPr id="0" name=""/>
        <dsp:cNvSpPr/>
      </dsp:nvSpPr>
      <dsp:spPr>
        <a:xfrm>
          <a:off x="1722631" y="1838246"/>
          <a:ext cx="1423035" cy="406034"/>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kern="1200"/>
            <a:t>Federal Tax Court</a:t>
          </a:r>
        </a:p>
      </dsp:txBody>
      <dsp:txXfrm>
        <a:off x="1722631" y="1838246"/>
        <a:ext cx="1423035" cy="406034"/>
      </dsp:txXfrm>
    </dsp:sp>
    <dsp:sp modelId="{14407937-7F04-42FE-8C33-B42900A1C617}">
      <dsp:nvSpPr>
        <dsp:cNvPr id="0" name=""/>
        <dsp:cNvSpPr/>
      </dsp:nvSpPr>
      <dsp:spPr>
        <a:xfrm>
          <a:off x="864669" y="796285"/>
          <a:ext cx="1423035" cy="711517"/>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kern="1200"/>
            <a:t>Federal Court of Appeal</a:t>
          </a:r>
        </a:p>
        <a:p>
          <a:pPr lvl="0" algn="ctr" defTabSz="488950">
            <a:lnSpc>
              <a:spcPct val="90000"/>
            </a:lnSpc>
            <a:spcBef>
              <a:spcPct val="0"/>
            </a:spcBef>
            <a:spcAft>
              <a:spcPct val="35000"/>
            </a:spcAft>
          </a:pPr>
          <a:r>
            <a:rPr lang="en-CA" sz="1100" kern="1200"/>
            <a:t>*leave to appeal is required*</a:t>
          </a:r>
        </a:p>
      </dsp:txBody>
      <dsp:txXfrm>
        <a:off x="864669" y="796285"/>
        <a:ext cx="1423035" cy="71151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D7B0DA-CDEC-4F2A-94EC-04424C8D96C0}">
      <dsp:nvSpPr>
        <dsp:cNvPr id="0" name=""/>
        <dsp:cNvSpPr/>
      </dsp:nvSpPr>
      <dsp:spPr>
        <a:xfrm>
          <a:off x="3405583" y="880951"/>
          <a:ext cx="164487" cy="553536"/>
        </a:xfrm>
        <a:custGeom>
          <a:avLst/>
          <a:gdLst/>
          <a:ahLst/>
          <a:cxnLst/>
          <a:rect l="0" t="0" r="0" b="0"/>
          <a:pathLst>
            <a:path>
              <a:moveTo>
                <a:pt x="0" y="0"/>
              </a:moveTo>
              <a:lnTo>
                <a:pt x="0" y="553536"/>
              </a:lnTo>
              <a:lnTo>
                <a:pt x="164487" y="55353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0C7656F-5A25-4946-9270-08EE405DCEE7}">
      <dsp:nvSpPr>
        <dsp:cNvPr id="0" name=""/>
        <dsp:cNvSpPr/>
      </dsp:nvSpPr>
      <dsp:spPr>
        <a:xfrm>
          <a:off x="2547871" y="1689034"/>
          <a:ext cx="3120269" cy="355813"/>
        </a:xfrm>
        <a:custGeom>
          <a:avLst/>
          <a:gdLst/>
          <a:ahLst/>
          <a:cxnLst/>
          <a:rect l="0" t="0" r="0" b="0"/>
          <a:pathLst>
            <a:path>
              <a:moveTo>
                <a:pt x="0" y="0"/>
              </a:moveTo>
              <a:lnTo>
                <a:pt x="0" y="355813"/>
              </a:lnTo>
              <a:lnTo>
                <a:pt x="3120269" y="35581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48DE45B-E2E1-4BB3-825D-F1459776B420}">
      <dsp:nvSpPr>
        <dsp:cNvPr id="0" name=""/>
        <dsp:cNvSpPr/>
      </dsp:nvSpPr>
      <dsp:spPr>
        <a:xfrm>
          <a:off x="2547871" y="1689034"/>
          <a:ext cx="1494057" cy="367052"/>
        </a:xfrm>
        <a:custGeom>
          <a:avLst/>
          <a:gdLst/>
          <a:ahLst/>
          <a:cxnLst/>
          <a:rect l="0" t="0" r="0" b="0"/>
          <a:pathLst>
            <a:path>
              <a:moveTo>
                <a:pt x="0" y="0"/>
              </a:moveTo>
              <a:lnTo>
                <a:pt x="0" y="367052"/>
              </a:lnTo>
              <a:lnTo>
                <a:pt x="1494057" y="36705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6080394-D6FC-423C-8F96-2E5B55F06D06}">
      <dsp:nvSpPr>
        <dsp:cNvPr id="0" name=""/>
        <dsp:cNvSpPr/>
      </dsp:nvSpPr>
      <dsp:spPr>
        <a:xfrm>
          <a:off x="2547871" y="1689034"/>
          <a:ext cx="196960" cy="426166"/>
        </a:xfrm>
        <a:custGeom>
          <a:avLst/>
          <a:gdLst/>
          <a:ahLst/>
          <a:cxnLst/>
          <a:rect l="0" t="0" r="0" b="0"/>
          <a:pathLst>
            <a:path>
              <a:moveTo>
                <a:pt x="0" y="0"/>
              </a:moveTo>
              <a:lnTo>
                <a:pt x="0" y="426166"/>
              </a:lnTo>
              <a:lnTo>
                <a:pt x="196960" y="42616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2352F6-1795-4D80-8373-0AFABE487FBB}">
      <dsp:nvSpPr>
        <dsp:cNvPr id="0" name=""/>
        <dsp:cNvSpPr/>
      </dsp:nvSpPr>
      <dsp:spPr>
        <a:xfrm>
          <a:off x="2233720" y="1689034"/>
          <a:ext cx="314151" cy="421736"/>
        </a:xfrm>
        <a:custGeom>
          <a:avLst/>
          <a:gdLst/>
          <a:ahLst/>
          <a:cxnLst/>
          <a:rect l="0" t="0" r="0" b="0"/>
          <a:pathLst>
            <a:path>
              <a:moveTo>
                <a:pt x="314151" y="0"/>
              </a:moveTo>
              <a:lnTo>
                <a:pt x="314151" y="421736"/>
              </a:lnTo>
              <a:lnTo>
                <a:pt x="0" y="42173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165A676-2ED6-4DFE-997E-51CB841E5D96}">
      <dsp:nvSpPr>
        <dsp:cNvPr id="0" name=""/>
        <dsp:cNvSpPr/>
      </dsp:nvSpPr>
      <dsp:spPr>
        <a:xfrm>
          <a:off x="3078713" y="880951"/>
          <a:ext cx="326869" cy="556065"/>
        </a:xfrm>
        <a:custGeom>
          <a:avLst/>
          <a:gdLst/>
          <a:ahLst/>
          <a:cxnLst/>
          <a:rect l="0" t="0" r="0" b="0"/>
          <a:pathLst>
            <a:path>
              <a:moveTo>
                <a:pt x="326869" y="0"/>
              </a:moveTo>
              <a:lnTo>
                <a:pt x="326869" y="556065"/>
              </a:lnTo>
              <a:lnTo>
                <a:pt x="0" y="5560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0BFA41-6398-4731-A6B1-5D723C73A6B5}">
      <dsp:nvSpPr>
        <dsp:cNvPr id="0" name=""/>
        <dsp:cNvSpPr/>
      </dsp:nvSpPr>
      <dsp:spPr>
        <a:xfrm>
          <a:off x="911540" y="760723"/>
          <a:ext cx="1749168" cy="906323"/>
        </a:xfrm>
        <a:custGeom>
          <a:avLst/>
          <a:gdLst/>
          <a:ahLst/>
          <a:cxnLst/>
          <a:rect l="0" t="0" r="0" b="0"/>
          <a:pathLst>
            <a:path>
              <a:moveTo>
                <a:pt x="0" y="906323"/>
              </a:moveTo>
              <a:lnTo>
                <a:pt x="1749168" y="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1D73E30-5D02-48B3-A2EC-80F9935CC888}">
      <dsp:nvSpPr>
        <dsp:cNvPr id="0" name=""/>
        <dsp:cNvSpPr/>
      </dsp:nvSpPr>
      <dsp:spPr>
        <a:xfrm>
          <a:off x="821885" y="784035"/>
          <a:ext cx="91440" cy="213383"/>
        </a:xfrm>
        <a:custGeom>
          <a:avLst/>
          <a:gdLst/>
          <a:ahLst/>
          <a:cxnLst/>
          <a:rect l="0" t="0" r="0" b="0"/>
          <a:pathLst>
            <a:path>
              <a:moveTo>
                <a:pt x="45720" y="0"/>
              </a:moveTo>
              <a:lnTo>
                <a:pt x="45720" y="160601"/>
              </a:lnTo>
              <a:lnTo>
                <a:pt x="89654" y="160601"/>
              </a:lnTo>
              <a:lnTo>
                <a:pt x="89654" y="21338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4EA6134-7616-4712-AA30-C320AFFD551C}">
      <dsp:nvSpPr>
        <dsp:cNvPr id="0" name=""/>
        <dsp:cNvSpPr/>
      </dsp:nvSpPr>
      <dsp:spPr>
        <a:xfrm>
          <a:off x="240386" y="136309"/>
          <a:ext cx="1254438" cy="647726"/>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Supreme Court of Canada</a:t>
          </a:r>
        </a:p>
        <a:p>
          <a:pPr lvl="0" algn="ctr" defTabSz="400050">
            <a:lnSpc>
              <a:spcPct val="90000"/>
            </a:lnSpc>
            <a:spcBef>
              <a:spcPct val="0"/>
            </a:spcBef>
            <a:spcAft>
              <a:spcPct val="35000"/>
            </a:spcAft>
          </a:pPr>
          <a:r>
            <a:rPr lang="en-CA" sz="900" kern="1200"/>
            <a:t>*Requires Leave*</a:t>
          </a:r>
        </a:p>
      </dsp:txBody>
      <dsp:txXfrm>
        <a:off x="240386" y="136309"/>
        <a:ext cx="1254438" cy="647726"/>
      </dsp:txXfrm>
    </dsp:sp>
    <dsp:sp modelId="{7EC68BB1-A48A-4770-8E09-1E10015750B9}">
      <dsp:nvSpPr>
        <dsp:cNvPr id="0" name=""/>
        <dsp:cNvSpPr/>
      </dsp:nvSpPr>
      <dsp:spPr>
        <a:xfrm>
          <a:off x="211851" y="997419"/>
          <a:ext cx="1399376" cy="669628"/>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Court of Appeal for Ontario</a:t>
          </a:r>
        </a:p>
        <a:p>
          <a:pPr lvl="0" algn="ctr" defTabSz="400050">
            <a:lnSpc>
              <a:spcPct val="90000"/>
            </a:lnSpc>
            <a:spcBef>
              <a:spcPct val="0"/>
            </a:spcBef>
            <a:spcAft>
              <a:spcPct val="35000"/>
            </a:spcAft>
          </a:pPr>
          <a:r>
            <a:rPr lang="en-CA" sz="900" kern="1200"/>
            <a:t>*Generally Requires Leave*</a:t>
          </a:r>
        </a:p>
      </dsp:txBody>
      <dsp:txXfrm>
        <a:off x="211851" y="997419"/>
        <a:ext cx="1399376" cy="669628"/>
      </dsp:txXfrm>
    </dsp:sp>
    <dsp:sp modelId="{E7EF6DD0-C85A-4F8D-A3B2-C665DB96C602}">
      <dsp:nvSpPr>
        <dsp:cNvPr id="0" name=""/>
        <dsp:cNvSpPr/>
      </dsp:nvSpPr>
      <dsp:spPr>
        <a:xfrm>
          <a:off x="2660708" y="640495"/>
          <a:ext cx="1489749" cy="240455"/>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Court of Ontario</a:t>
          </a:r>
        </a:p>
      </dsp:txBody>
      <dsp:txXfrm>
        <a:off x="2660708" y="640495"/>
        <a:ext cx="1489749" cy="240455"/>
      </dsp:txXfrm>
    </dsp:sp>
    <dsp:sp modelId="{9B7F54CA-EE6B-4644-B4FD-A8193ADDAFA8}">
      <dsp:nvSpPr>
        <dsp:cNvPr id="0" name=""/>
        <dsp:cNvSpPr/>
      </dsp:nvSpPr>
      <dsp:spPr>
        <a:xfrm>
          <a:off x="2017028" y="1184999"/>
          <a:ext cx="1061685" cy="504034"/>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Superior Court of Justice</a:t>
          </a:r>
        </a:p>
      </dsp:txBody>
      <dsp:txXfrm>
        <a:off x="2017028" y="1184999"/>
        <a:ext cx="1061685" cy="504034"/>
      </dsp:txXfrm>
    </dsp:sp>
    <dsp:sp modelId="{1A098F78-AE00-41A3-B173-BDF5E7969DEF}">
      <dsp:nvSpPr>
        <dsp:cNvPr id="0" name=""/>
        <dsp:cNvSpPr/>
      </dsp:nvSpPr>
      <dsp:spPr>
        <a:xfrm>
          <a:off x="1126185" y="1845614"/>
          <a:ext cx="1107534" cy="530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Divisional Court</a:t>
          </a:r>
        </a:p>
      </dsp:txBody>
      <dsp:txXfrm>
        <a:off x="1126185" y="1845614"/>
        <a:ext cx="1107534" cy="530312"/>
      </dsp:txXfrm>
    </dsp:sp>
    <dsp:sp modelId="{825F9E4A-0D6D-4478-A73F-C3A736244B6D}">
      <dsp:nvSpPr>
        <dsp:cNvPr id="0" name=""/>
        <dsp:cNvSpPr/>
      </dsp:nvSpPr>
      <dsp:spPr>
        <a:xfrm>
          <a:off x="2744832" y="1927149"/>
          <a:ext cx="1061438" cy="376101"/>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Supiriour Court of Justice </a:t>
          </a:r>
        </a:p>
      </dsp:txBody>
      <dsp:txXfrm>
        <a:off x="2744832" y="1927149"/>
        <a:ext cx="1061438" cy="376101"/>
      </dsp:txXfrm>
    </dsp:sp>
    <dsp:sp modelId="{21518923-46E1-4A2F-851E-6392D8D90FF0}">
      <dsp:nvSpPr>
        <dsp:cNvPr id="0" name=""/>
        <dsp:cNvSpPr/>
      </dsp:nvSpPr>
      <dsp:spPr>
        <a:xfrm>
          <a:off x="4041928" y="1904413"/>
          <a:ext cx="1259163" cy="303346"/>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Small Claims Court</a:t>
          </a:r>
        </a:p>
      </dsp:txBody>
      <dsp:txXfrm>
        <a:off x="4041928" y="1904413"/>
        <a:ext cx="1259163" cy="303346"/>
      </dsp:txXfrm>
    </dsp:sp>
    <dsp:sp modelId="{C00105BC-3B45-476A-B71F-F075E9E814E4}">
      <dsp:nvSpPr>
        <dsp:cNvPr id="0" name=""/>
        <dsp:cNvSpPr/>
      </dsp:nvSpPr>
      <dsp:spPr>
        <a:xfrm>
          <a:off x="5668140" y="1818527"/>
          <a:ext cx="1042653" cy="45264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Family Court </a:t>
          </a:r>
        </a:p>
        <a:p>
          <a:pPr lvl="0" algn="ctr" defTabSz="400050">
            <a:lnSpc>
              <a:spcPct val="90000"/>
            </a:lnSpc>
            <a:spcBef>
              <a:spcPct val="0"/>
            </a:spcBef>
            <a:spcAft>
              <a:spcPct val="35000"/>
            </a:spcAft>
          </a:pPr>
          <a:r>
            <a:rPr lang="en-CA" sz="900" kern="1200"/>
            <a:t>(Only in some areas)</a:t>
          </a:r>
        </a:p>
      </dsp:txBody>
      <dsp:txXfrm>
        <a:off x="5668140" y="1818527"/>
        <a:ext cx="1042653" cy="452640"/>
      </dsp:txXfrm>
    </dsp:sp>
    <dsp:sp modelId="{108EC523-EC82-4760-AEB9-CA3EA640858C}">
      <dsp:nvSpPr>
        <dsp:cNvPr id="0" name=""/>
        <dsp:cNvSpPr/>
      </dsp:nvSpPr>
      <dsp:spPr>
        <a:xfrm>
          <a:off x="3570070" y="1173842"/>
          <a:ext cx="1149558" cy="521289"/>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Ontario Court of Justice</a:t>
          </a:r>
        </a:p>
      </dsp:txBody>
      <dsp:txXfrm>
        <a:off x="3570070" y="1173842"/>
        <a:ext cx="1149558" cy="52128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41367-D09E-48B6-AA4A-0C6F2212C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11</Pages>
  <Words>5112</Words>
  <Characters>29144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t.miedema</dc:creator>
  <cp:lastModifiedBy>Cherry Pie</cp:lastModifiedBy>
  <cp:revision>4</cp:revision>
  <dcterms:created xsi:type="dcterms:W3CDTF">2013-09-30T22:13:00Z</dcterms:created>
  <dcterms:modified xsi:type="dcterms:W3CDTF">2013-10-01T00:16:00Z</dcterms:modified>
</cp:coreProperties>
</file>