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462" w:rsidRDefault="00BF1462"/>
    <w:p w:rsidR="005E309B" w:rsidRDefault="005E309B"/>
    <w:p w:rsidR="005E309B" w:rsidRDefault="005E309B"/>
    <w:p w:rsidR="005E309B" w:rsidRDefault="005E309B"/>
    <w:p w:rsidR="005E309B" w:rsidRDefault="005E309B"/>
    <w:p w:rsidR="005E309B" w:rsidRDefault="005E309B"/>
    <w:p w:rsidR="005E309B" w:rsidRDefault="005E309B"/>
    <w:p w:rsidR="005E309B" w:rsidRDefault="005E309B"/>
    <w:p w:rsidR="005E309B" w:rsidRDefault="005E309B"/>
    <w:p w:rsidR="005E309B" w:rsidRDefault="005E309B"/>
    <w:p w:rsidR="005E309B" w:rsidRDefault="005E309B"/>
    <w:p w:rsidR="005E309B" w:rsidRDefault="005E309B" w:rsidP="005E309B">
      <w:pPr>
        <w:jc w:val="center"/>
        <w:rPr>
          <w:rFonts w:ascii="Arial" w:hAnsi="Arial" w:cs="Arial"/>
          <w:b/>
          <w:sz w:val="28"/>
          <w:szCs w:val="28"/>
          <w:u w:val="single"/>
        </w:rPr>
      </w:pPr>
      <w:r>
        <w:rPr>
          <w:rFonts w:ascii="Arial" w:hAnsi="Arial" w:cs="Arial"/>
          <w:b/>
          <w:sz w:val="28"/>
          <w:szCs w:val="28"/>
          <w:u w:val="single"/>
        </w:rPr>
        <w:t xml:space="preserve">Research Assignment 1: Canadian Politics </w:t>
      </w: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5E309B" w:rsidRDefault="005E309B" w:rsidP="005E309B">
      <w:pPr>
        <w:jc w:val="center"/>
        <w:rPr>
          <w:rFonts w:ascii="Arial" w:hAnsi="Arial" w:cs="Arial"/>
          <w:sz w:val="28"/>
          <w:szCs w:val="28"/>
        </w:rPr>
      </w:pPr>
    </w:p>
    <w:p w:rsidR="00D62528" w:rsidRDefault="00D62528" w:rsidP="00D62528">
      <w:pPr>
        <w:jc w:val="right"/>
        <w:rPr>
          <w:rFonts w:ascii="Arial" w:hAnsi="Arial" w:cs="Arial"/>
          <w:sz w:val="24"/>
          <w:szCs w:val="24"/>
        </w:rPr>
      </w:pPr>
      <w:r>
        <w:rPr>
          <w:rFonts w:ascii="Arial" w:hAnsi="Arial" w:cs="Arial"/>
          <w:sz w:val="24"/>
          <w:szCs w:val="24"/>
        </w:rPr>
        <w:t>NA</w:t>
      </w:r>
    </w:p>
    <w:p w:rsidR="005E309B" w:rsidRDefault="00D62528" w:rsidP="005E309B">
      <w:pPr>
        <w:jc w:val="right"/>
        <w:rPr>
          <w:rFonts w:ascii="Arial" w:hAnsi="Arial" w:cs="Arial"/>
          <w:sz w:val="24"/>
          <w:szCs w:val="24"/>
        </w:rPr>
      </w:pPr>
      <w:r>
        <w:rPr>
          <w:rFonts w:ascii="Arial" w:hAnsi="Arial" w:cs="Arial"/>
          <w:sz w:val="24"/>
          <w:szCs w:val="24"/>
        </w:rPr>
        <w:t>NA</w:t>
      </w:r>
      <w:bookmarkStart w:id="0" w:name="_GoBack"/>
      <w:bookmarkEnd w:id="0"/>
    </w:p>
    <w:p w:rsidR="005E309B" w:rsidRDefault="005E309B" w:rsidP="005E309B">
      <w:pPr>
        <w:jc w:val="right"/>
        <w:rPr>
          <w:rFonts w:ascii="Arial" w:hAnsi="Arial" w:cs="Arial"/>
          <w:sz w:val="24"/>
          <w:szCs w:val="24"/>
        </w:rPr>
      </w:pPr>
      <w:r>
        <w:rPr>
          <w:rFonts w:ascii="Arial" w:hAnsi="Arial" w:cs="Arial"/>
          <w:sz w:val="24"/>
          <w:szCs w:val="24"/>
        </w:rPr>
        <w:t>PSCI 1100</w:t>
      </w:r>
    </w:p>
    <w:p w:rsidR="005E309B" w:rsidRDefault="005E309B" w:rsidP="005E309B">
      <w:pPr>
        <w:jc w:val="right"/>
        <w:rPr>
          <w:rFonts w:ascii="Arial" w:hAnsi="Arial" w:cs="Arial"/>
          <w:sz w:val="24"/>
          <w:szCs w:val="24"/>
        </w:rPr>
      </w:pPr>
      <w:r>
        <w:rPr>
          <w:rFonts w:ascii="Arial" w:hAnsi="Arial" w:cs="Arial"/>
          <w:sz w:val="24"/>
          <w:szCs w:val="24"/>
        </w:rPr>
        <w:t>October 14, 2016</w:t>
      </w:r>
    </w:p>
    <w:p w:rsidR="00196493" w:rsidRPr="00196493" w:rsidRDefault="005E309B" w:rsidP="00196493">
      <w:pPr>
        <w:pStyle w:val="NormalWeb"/>
        <w:spacing w:before="0" w:beforeAutospacing="0" w:after="0" w:afterAutospacing="0"/>
      </w:pPr>
      <w:r>
        <w:rPr>
          <w:rFonts w:ascii="Arial" w:hAnsi="Arial" w:cs="Arial"/>
        </w:rPr>
        <w:lastRenderedPageBreak/>
        <w:tab/>
      </w:r>
      <w:r w:rsidR="00196493">
        <w:rPr>
          <w:rFonts w:ascii="Arial" w:hAnsi="Arial" w:cs="Arial"/>
          <w:color w:val="1D2129"/>
          <w:shd w:val="clear" w:color="auto" w:fill="FFFFFF"/>
        </w:rPr>
        <w:t xml:space="preserve">On April 14, 2015, the Supreme Court of Canada made their judgement on the Reference re Senate Reform. Out of the 6 questions asked to the Court by the Government of Canada, questions 1, 2, 3, and 5 were answered in the negative, but questions 4 and 6 were answered in the affirmative. However, the focus will be on the rationale of the Supreme Court behind questions 1, 2, and 3 proposed by the government. The first question asked whether the Parliament has the ability to unilaterally set fixed terms for Senators whereas, the second and third question asked whether the Parliament can unilaterally establish a framework for consultative elections for appointing Senators. </w:t>
      </w:r>
      <w:r w:rsidR="00196493">
        <w:rPr>
          <w:rFonts w:ascii="Arial" w:hAnsi="Arial" w:cs="Arial"/>
          <w:color w:val="1D2129"/>
          <w:shd w:val="clear" w:color="auto" w:fill="FFFFFF"/>
        </w:rPr>
        <w:br/>
      </w:r>
      <w:r w:rsidR="00196493">
        <w:rPr>
          <w:rStyle w:val="apple-tab-span"/>
          <w:rFonts w:ascii="Arial" w:hAnsi="Arial" w:cs="Arial"/>
          <w:color w:val="1D2129"/>
          <w:shd w:val="clear" w:color="auto" w:fill="FFFFFF"/>
        </w:rPr>
        <w:tab/>
      </w:r>
      <w:r w:rsidR="00196493">
        <w:rPr>
          <w:rFonts w:ascii="Arial" w:hAnsi="Arial" w:cs="Arial"/>
          <w:color w:val="1D2129"/>
          <w:shd w:val="clear" w:color="auto" w:fill="FFFFFF"/>
        </w:rPr>
        <w:t xml:space="preserve">The Senate was intended by the framers of the Constitution Act, 1867 to act as a complimentary legislative chamber to the House of Commons – often referred to as the chamber of “sober second thought.” In addition, the Senate had the role to enable equal representation of each region of Canada regardless of population, as well as various groups that were under-represented in the House of Commons; to give them an opportunity to present their views through the popular democratic process. </w:t>
      </w:r>
      <w:r w:rsidR="00196493">
        <w:rPr>
          <w:rFonts w:ascii="Arial" w:hAnsi="Arial" w:cs="Arial"/>
          <w:color w:val="1D2129"/>
          <w:shd w:val="clear" w:color="auto" w:fill="FFFFFF"/>
        </w:rPr>
        <w:br/>
      </w:r>
      <w:r w:rsidR="00196493">
        <w:rPr>
          <w:rStyle w:val="apple-tab-span"/>
          <w:rFonts w:ascii="Arial" w:hAnsi="Arial" w:cs="Arial"/>
          <w:color w:val="1D2129"/>
          <w:shd w:val="clear" w:color="auto" w:fill="FFFFFF"/>
        </w:rPr>
        <w:tab/>
      </w:r>
      <w:r w:rsidR="00196493">
        <w:rPr>
          <w:rFonts w:ascii="Arial" w:hAnsi="Arial" w:cs="Arial"/>
          <w:color w:val="1D2129"/>
          <w:shd w:val="clear" w:color="auto" w:fill="FFFFFF"/>
        </w:rPr>
        <w:t xml:space="preserve">For the first question proposed by the Government of Canada – which discusses senatorial tenure – the Attorney General of Canada disputes that in section 42 of the Constitution Act, 1982, senatorial tenure is not explicitly expressed within the language. Thus, any changes regarding the senatorial tenure would consequently fall into the unilateral federal power of amendment stated in section 44. Furthermore, the Attorney General argues that establishing fixed terms that are considered in the Reference would only result in a minor change that would not engage the interests of provinces since the average length of terms historically served by Senators is equal to that of the fixed terms in consideration. Likewise, the Supreme Court agrees that the duration of a Senator’s term is not contained in the language of section 42. However, that does not imply that all changes to the Senate that are not included in section 42, residually go within the unilateral federal amending procedure of section 44. The Supreme Court’s argument is that the unilateral federal amendment procedure is not a broad procedure that encompasses every constitutional change to the Senate that is not mentioned in another section of Part V, but rather it is limited. Part V indicates, through its structure, history, and language, that the standard procedure for amendment is that of section 38, not that of section 44. Section 44 is an exception to the general amendment procedure that encompasses any changes to the Senate that do not alter its fundamental role. However, the current senatorial tenure is an essential component of the Senate’s fundamental role of being a body of sober second thought. The security of tenure that current Senators receive enable them independently function when reviewing legislations. The imposition of fixed senatorial terms disallows the independent function of the Senators by implying a finite time in office and offering a lesser degree of protection against the consequences of speaking their minds freely on the proposed legislations from the House of Commons. The implementation of fixed terms for Senators would in effect constitute a significant change to senatorial tenure – altering its fundamental nature and role. Therefore, this change can only be achieved through the general amending procedure of section 38 and does not belong under the unilateral federal amending procedure of section 44. </w:t>
      </w:r>
      <w:r w:rsidR="00196493">
        <w:rPr>
          <w:rFonts w:ascii="Arial" w:hAnsi="Arial" w:cs="Arial"/>
          <w:color w:val="1D2129"/>
          <w:shd w:val="clear" w:color="auto" w:fill="FFFFFF"/>
        </w:rPr>
        <w:br/>
      </w:r>
      <w:r w:rsidR="00196493">
        <w:rPr>
          <w:rStyle w:val="apple-tab-span"/>
          <w:rFonts w:ascii="Arial" w:hAnsi="Arial" w:cs="Arial"/>
          <w:color w:val="1D2129"/>
          <w:shd w:val="clear" w:color="auto" w:fill="FFFFFF"/>
        </w:rPr>
        <w:tab/>
      </w:r>
      <w:r w:rsidR="00196493">
        <w:rPr>
          <w:rFonts w:ascii="Arial" w:hAnsi="Arial" w:cs="Arial"/>
          <w:color w:val="1D2129"/>
          <w:shd w:val="clear" w:color="auto" w:fill="FFFFFF"/>
        </w:rPr>
        <w:t xml:space="preserve">For questions 2 and 3, which discuss consultative elections, the position of the Government of Canada is that the establishment of consultative elections for the </w:t>
      </w:r>
      <w:r w:rsidR="00196493">
        <w:rPr>
          <w:rFonts w:ascii="Arial" w:hAnsi="Arial" w:cs="Arial"/>
          <w:color w:val="1D2129"/>
          <w:shd w:val="clear" w:color="auto" w:fill="FFFFFF"/>
        </w:rPr>
        <w:lastRenderedPageBreak/>
        <w:t xml:space="preserve">appointment of Senators does not constitute an amendment to the Constitution of Canada. The Attorney General of Canada’s argument is that this reform would not alter the text of the Constitution Act, 1867 or the means of selecting Senators considering that the formal mechanism for appointing Senators would remain untouched. However, if the reform does call for an amendment to the Constitution, it is able to be achieved by the unilateral federal amendment procedure of section 44 of the Constitution Act, 1987. In opposition, the Supreme Court believes that the introduction of consultative elections does invoke an amendment to the Constitution. To say that an amendment is not necessary because the text of the Constitution does not need to be modified is a narrow approach and although textually the appointment of Senators remains unchanged, the fundamental role and nature of the Senate as the “sober second thought” would be significantly altered. Thus, each of the proposed consultative elections would fall under the scope of section 42 and require a constitutional amendment by the general amending procedure without the provincial right to “opt out.” The Constitution explicitly states that the members of the lower chamber “shall be elected” by the population of various provinces (section 37) and the members of the upper chamber are “summoned” by the Governor General (section 24 &amp; 32). The framers of the Constitution Act, 1867 purposefully chose the appointment of Senators in order to enable the Senate to fulfill its role as a complementary legislative body of “sober second thought.” Furthermore, the framers also granted the Senators independence from the electoral processes in order for them to not be subject to the political arena which would require the consideration of short-term political objectives. The idea of consultative elections endorses a Senate with a popular mandate and would subject them to a political campaign. The proposed consultative elections would essentially alter the constitutional architecture which would require an amendment to the constitution. Furthermore, it would disable the Senate’s purpose of acting as a complementary legislative body of “sober second thought” and would grant it the political legitimacy to systematically block the House of Commons. In opposition to the Attorney General’s counter-argument that this broad change would not occur since the Prime Minster would still have the ability to ignore the elections and name whomever he or she wants to Senate, the Supreme Court states that the clear objective of Bill C-20 and C-7 is to bring about a Senate with a popular mandate. The assumption cannot be made that the future prime ministers will defeat the purpose of a popular mandate by ignoring the results of costly elections. </w:t>
      </w:r>
    </w:p>
    <w:p w:rsidR="00196493" w:rsidRDefault="003E39FF" w:rsidP="005E309B">
      <w:pPr>
        <w:rPr>
          <w:rFonts w:ascii="Arial" w:hAnsi="Arial" w:cs="Arial"/>
          <w:sz w:val="24"/>
          <w:szCs w:val="24"/>
        </w:rPr>
      </w:pPr>
      <w:r>
        <w:rPr>
          <w:rFonts w:ascii="Arial" w:hAnsi="Arial" w:cs="Arial"/>
          <w:sz w:val="24"/>
          <w:szCs w:val="24"/>
        </w:rPr>
        <w:t>The language is section 42(1)(b) of the Constitutional Act, 1982, state that the general amending procedure applies to the “method of selecting Senators.” The broad wording covers the</w:t>
      </w:r>
      <w:r w:rsidR="002765B9">
        <w:rPr>
          <w:rFonts w:ascii="Arial" w:hAnsi="Arial" w:cs="Arial"/>
          <w:sz w:val="24"/>
          <w:szCs w:val="24"/>
        </w:rPr>
        <w:t xml:space="preserve"> establishment of</w:t>
      </w:r>
      <w:r>
        <w:rPr>
          <w:rFonts w:ascii="Arial" w:hAnsi="Arial" w:cs="Arial"/>
          <w:sz w:val="24"/>
          <w:szCs w:val="24"/>
        </w:rPr>
        <w:t xml:space="preserve"> consultative elections and</w:t>
      </w:r>
      <w:r w:rsidR="002765B9">
        <w:rPr>
          <w:rFonts w:ascii="Arial" w:hAnsi="Arial" w:cs="Arial"/>
          <w:sz w:val="24"/>
          <w:szCs w:val="24"/>
        </w:rPr>
        <w:t xml:space="preserve"> thus, it would require a constitutional amendment. </w:t>
      </w:r>
    </w:p>
    <w:p w:rsidR="002765B9" w:rsidRPr="005E309B" w:rsidRDefault="002765B9" w:rsidP="00196493">
      <w:pPr>
        <w:ind w:firstLine="720"/>
        <w:rPr>
          <w:rFonts w:ascii="Arial" w:hAnsi="Arial" w:cs="Arial"/>
          <w:sz w:val="24"/>
          <w:szCs w:val="24"/>
        </w:rPr>
      </w:pPr>
      <w:r>
        <w:rPr>
          <w:rFonts w:ascii="Arial" w:hAnsi="Arial" w:cs="Arial"/>
          <w:sz w:val="24"/>
          <w:szCs w:val="24"/>
        </w:rPr>
        <w:t>In conclusion, the Supreme Court believes that any changes made to senatorial terms falls engages the interests of the provinces as it will fundamentally alter the role of the Senate hence, any changes to senatorial terms requires a constitutional amendment which falls under the scope of section 38 (7/50 procedure). Likewise, implementing consultative elections would hinder the objective of the Senate to act as a complementary legislative body of “sober second thought.” The Parliament cannot unilaterally implement this reform because section 44 is made “subject to” section 42. Therefore, the categories that fall under the scope of section 42 are remove</w:t>
      </w:r>
      <w:r w:rsidR="00196493">
        <w:rPr>
          <w:rFonts w:ascii="Arial" w:hAnsi="Arial" w:cs="Arial"/>
          <w:sz w:val="24"/>
          <w:szCs w:val="24"/>
        </w:rPr>
        <w:t xml:space="preserve">d from </w:t>
      </w:r>
      <w:r w:rsidR="00196493">
        <w:rPr>
          <w:rFonts w:ascii="Arial" w:hAnsi="Arial" w:cs="Arial"/>
          <w:sz w:val="24"/>
          <w:szCs w:val="24"/>
        </w:rPr>
        <w:lastRenderedPageBreak/>
        <w:t xml:space="preserve">section 44; it is subject to the general amending procedure, without the provincial right to “opt out.” </w:t>
      </w:r>
    </w:p>
    <w:sectPr w:rsidR="002765B9" w:rsidRPr="005E30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09B"/>
    <w:rsid w:val="000717E0"/>
    <w:rsid w:val="00164DC9"/>
    <w:rsid w:val="001724C0"/>
    <w:rsid w:val="00196493"/>
    <w:rsid w:val="002765B9"/>
    <w:rsid w:val="003E39FF"/>
    <w:rsid w:val="004B5B4F"/>
    <w:rsid w:val="005179CA"/>
    <w:rsid w:val="00570888"/>
    <w:rsid w:val="005B34ED"/>
    <w:rsid w:val="005E309B"/>
    <w:rsid w:val="00697D8C"/>
    <w:rsid w:val="00751602"/>
    <w:rsid w:val="008200E1"/>
    <w:rsid w:val="00984909"/>
    <w:rsid w:val="009E4FB8"/>
    <w:rsid w:val="00B0709A"/>
    <w:rsid w:val="00BC7A6A"/>
    <w:rsid w:val="00BF1462"/>
    <w:rsid w:val="00D62528"/>
    <w:rsid w:val="00E32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0223"/>
  <w15:chartTrackingRefBased/>
  <w15:docId w15:val="{C3E07439-84C8-4E70-A0EF-CD975EFF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70888"/>
  </w:style>
  <w:style w:type="paragraph" w:styleId="NormalWeb">
    <w:name w:val="Normal (Web)"/>
    <w:basedOn w:val="Normal"/>
    <w:uiPriority w:val="99"/>
    <w:unhideWhenUsed/>
    <w:rsid w:val="001964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96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03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62F7E-75D1-4BE1-A285-CE1901988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 Karim</dc:creator>
  <cp:keywords/>
  <dc:description/>
  <cp:lastModifiedBy>Mahir Karim</cp:lastModifiedBy>
  <cp:revision>3</cp:revision>
  <dcterms:created xsi:type="dcterms:W3CDTF">2016-10-14T16:11:00Z</dcterms:created>
  <dcterms:modified xsi:type="dcterms:W3CDTF">2016-11-04T15:58:00Z</dcterms:modified>
</cp:coreProperties>
</file>