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129" w:rsidRPr="00410129" w:rsidRDefault="009575E9" w:rsidP="00410129">
      <w:pPr>
        <w:rPr>
          <w:rFonts w:ascii="Times New Roman" w:hAnsi="Times New Roman" w:cs="Times New Roman"/>
          <w:sz w:val="16"/>
          <w:szCs w:val="16"/>
        </w:rPr>
      </w:pPr>
      <w:r w:rsidRPr="009575E9">
        <w:rPr>
          <w:rFonts w:ascii="Times New Roman" w:hAnsi="Times New Roman" w:cs="Times New Roman"/>
          <w:sz w:val="16"/>
          <w:szCs w:val="16"/>
        </w:rPr>
        <w:t xml:space="preserve">Ch.1 </w:t>
      </w:r>
      <w:r w:rsidRPr="009575E9">
        <w:rPr>
          <w:rFonts w:ascii="Times New Roman" w:hAnsi="Times New Roman" w:cs="Times New Roman"/>
          <w:b/>
          <w:sz w:val="16"/>
          <w:szCs w:val="16"/>
        </w:rPr>
        <w:t xml:space="preserve">Foreign exchange risk: </w:t>
      </w:r>
      <w:r w:rsidRPr="009575E9">
        <w:rPr>
          <w:rFonts w:ascii="Times New Roman" w:hAnsi="Times New Roman" w:cs="Times New Roman"/>
          <w:sz w:val="16"/>
          <w:szCs w:val="16"/>
        </w:rPr>
        <w:t xml:space="preserve">The risk that foreign currency profits may evaporate in dollar terms due to unanticipated unfavorable exchange rate movements. </w:t>
      </w:r>
      <w:r w:rsidRPr="009575E9">
        <w:rPr>
          <w:rFonts w:ascii="Times New Roman" w:hAnsi="Times New Roman" w:cs="Times New Roman"/>
          <w:b/>
          <w:sz w:val="16"/>
          <w:szCs w:val="16"/>
        </w:rPr>
        <w:t>Political Risk</w:t>
      </w:r>
      <w:r w:rsidRPr="009575E9">
        <w:rPr>
          <w:rFonts w:ascii="Times New Roman" w:hAnsi="Times New Roman" w:cs="Times New Roman"/>
          <w:sz w:val="16"/>
          <w:szCs w:val="16"/>
        </w:rPr>
        <w:t>: Sovereign governments have the right to regulate the movement of goods, capital, and people across their borders. These laws sometimes change in unexpected ways. Multilateral agreements may reduce political risk.</w:t>
      </w:r>
      <w:r>
        <w:rPr>
          <w:rFonts w:ascii="Times New Roman" w:hAnsi="Times New Roman" w:cs="Times New Roman"/>
          <w:sz w:val="16"/>
          <w:szCs w:val="16"/>
        </w:rPr>
        <w:t xml:space="preserve"> </w:t>
      </w:r>
      <w:r>
        <w:rPr>
          <w:rFonts w:ascii="Times New Roman" w:hAnsi="Times New Roman" w:cs="Times New Roman"/>
          <w:b/>
          <w:sz w:val="16"/>
          <w:szCs w:val="16"/>
        </w:rPr>
        <w:t xml:space="preserve">Market imperfections: </w:t>
      </w:r>
      <w:r>
        <w:rPr>
          <w:rFonts w:ascii="Times New Roman" w:hAnsi="Times New Roman" w:cs="Times New Roman"/>
          <w:sz w:val="16"/>
          <w:szCs w:val="16"/>
        </w:rPr>
        <w:t>Legal restrictions on movement of goods, people and money, transactions costs, shipping costs, tax arbitrage.</w:t>
      </w:r>
      <w:r w:rsidR="00221F02">
        <w:rPr>
          <w:rFonts w:hAnsi="Times New Roman"/>
          <w:color w:val="000000" w:themeColor="text1"/>
          <w:sz w:val="40"/>
          <w:szCs w:val="40"/>
        </w:rPr>
        <w:t xml:space="preserve"> </w:t>
      </w:r>
      <w:r w:rsidR="00221F02" w:rsidRPr="00221F02">
        <w:rPr>
          <w:rFonts w:ascii="Times New Roman" w:hAnsi="Times New Roman" w:cs="Times New Roman"/>
          <w:b/>
          <w:color w:val="000000" w:themeColor="text1"/>
          <w:sz w:val="16"/>
          <w:szCs w:val="16"/>
        </w:rPr>
        <w:t>GATT</w:t>
      </w:r>
      <w:r w:rsidR="00221F02">
        <w:rPr>
          <w:rFonts w:ascii="Times New Roman" w:hAnsi="Times New Roman" w:cs="Times New Roman"/>
          <w:b/>
          <w:color w:val="000000" w:themeColor="text1"/>
          <w:sz w:val="16"/>
          <w:szCs w:val="16"/>
        </w:rPr>
        <w:t xml:space="preserve"> </w:t>
      </w:r>
      <w:r w:rsidR="00221F02" w:rsidRPr="00221F02">
        <w:rPr>
          <w:rFonts w:ascii="Times New Roman" w:hAnsi="Times New Roman" w:cs="Times New Roman"/>
          <w:sz w:val="16"/>
          <w:szCs w:val="16"/>
        </w:rPr>
        <w:t>a multilateral agreement among member countries has reduced many barriers to trade.</w:t>
      </w:r>
      <w:r w:rsidR="00221F02">
        <w:rPr>
          <w:rFonts w:ascii="Times New Roman" w:hAnsi="Times New Roman" w:cs="Times New Roman"/>
          <w:sz w:val="16"/>
          <w:szCs w:val="16"/>
        </w:rPr>
        <w:t xml:space="preserve"> </w:t>
      </w:r>
      <w:r w:rsidR="00221F02" w:rsidRPr="00221F02">
        <w:rPr>
          <w:rFonts w:ascii="Times New Roman" w:hAnsi="Times New Roman" w:cs="Times New Roman"/>
          <w:b/>
          <w:sz w:val="16"/>
          <w:szCs w:val="16"/>
        </w:rPr>
        <w:t>The North American Free Trade Agreement (NAFTA</w:t>
      </w:r>
      <w:r w:rsidR="00221F02" w:rsidRPr="00221F02">
        <w:rPr>
          <w:rFonts w:ascii="Times New Roman" w:hAnsi="Times New Roman" w:cs="Times New Roman"/>
          <w:sz w:val="16"/>
          <w:szCs w:val="16"/>
        </w:rPr>
        <w:t>) calls for phasing out impediments to trade between Canada, Mexico and the United States over a 15-year period.</w:t>
      </w:r>
      <w:r w:rsidR="00221F02">
        <w:rPr>
          <w:rFonts w:ascii="Times New Roman" w:hAnsi="Times New Roman" w:cs="Times New Roman"/>
          <w:sz w:val="16"/>
          <w:szCs w:val="16"/>
        </w:rPr>
        <w:t xml:space="preserve"> </w:t>
      </w:r>
      <w:r w:rsidR="00221F02">
        <w:rPr>
          <w:rFonts w:ascii="Times New Roman" w:hAnsi="Times New Roman" w:cs="Times New Roman"/>
          <w:b/>
          <w:sz w:val="16"/>
          <w:szCs w:val="16"/>
        </w:rPr>
        <w:t>MNE</w:t>
      </w:r>
      <w:r w:rsidR="00221F02">
        <w:rPr>
          <w:rFonts w:ascii="Times New Roman" w:hAnsi="Times New Roman" w:cs="Times New Roman"/>
          <w:sz w:val="16"/>
          <w:szCs w:val="16"/>
        </w:rPr>
        <w:t xml:space="preserve"> </w:t>
      </w:r>
      <w:r w:rsidR="00221F02" w:rsidRPr="00221F02">
        <w:rPr>
          <w:rFonts w:ascii="Times New Roman" w:hAnsi="Times New Roman" w:cs="Times New Roman"/>
          <w:sz w:val="16"/>
          <w:szCs w:val="16"/>
        </w:rPr>
        <w:t>A firm that has incorporated on one country and has production and sales operations in other countries.</w:t>
      </w:r>
      <w:r w:rsidR="00221F02">
        <w:rPr>
          <w:rFonts w:ascii="Times New Roman" w:hAnsi="Times New Roman" w:cs="Times New Roman"/>
          <w:sz w:val="16"/>
          <w:szCs w:val="16"/>
        </w:rPr>
        <w:t xml:space="preserve"> [CH 2] </w:t>
      </w:r>
      <w:r w:rsidR="00221F02">
        <w:rPr>
          <w:rFonts w:ascii="Times New Roman" w:hAnsi="Times New Roman" w:cs="Times New Roman"/>
          <w:b/>
          <w:sz w:val="16"/>
          <w:szCs w:val="16"/>
        </w:rPr>
        <w:t xml:space="preserve">Bimetallism: Before 1875: </w:t>
      </w:r>
      <w:r w:rsidR="00221F02">
        <w:rPr>
          <w:rFonts w:ascii="Times New Roman" w:hAnsi="Times New Roman" w:cs="Times New Roman"/>
          <w:sz w:val="16"/>
          <w:szCs w:val="16"/>
        </w:rPr>
        <w:t xml:space="preserve">A “double standard” in the sense that both gold and silver were used as money. Gresham’s Law implied that it would be the least valuable metal that would tend to circulate. </w:t>
      </w:r>
      <w:r w:rsidR="00221F02">
        <w:rPr>
          <w:rFonts w:ascii="Times New Roman" w:hAnsi="Times New Roman" w:cs="Times New Roman"/>
          <w:b/>
          <w:sz w:val="16"/>
          <w:szCs w:val="16"/>
        </w:rPr>
        <w:t>Classical Gold Standard: 1875-1914:</w:t>
      </w:r>
      <w:r w:rsidR="00221F02">
        <w:rPr>
          <w:rFonts w:ascii="Times New Roman" w:hAnsi="Times New Roman" w:cs="Times New Roman"/>
          <w:sz w:val="16"/>
          <w:szCs w:val="16"/>
        </w:rPr>
        <w:t xml:space="preserve"> </w:t>
      </w:r>
      <w:r w:rsidR="00221F02" w:rsidRPr="00221F02">
        <w:rPr>
          <w:rFonts w:ascii="Times New Roman" w:hAnsi="Times New Roman" w:cs="Times New Roman"/>
          <w:sz w:val="16"/>
          <w:szCs w:val="16"/>
        </w:rPr>
        <w:t xml:space="preserve">During this </w:t>
      </w:r>
      <w:r w:rsidR="00221F02">
        <w:rPr>
          <w:rFonts w:ascii="Times New Roman" w:hAnsi="Times New Roman" w:cs="Times New Roman"/>
          <w:sz w:val="16"/>
          <w:szCs w:val="16"/>
        </w:rPr>
        <w:t>period in most major countries:</w:t>
      </w:r>
      <w:r w:rsidR="00221F02">
        <w:rPr>
          <w:rFonts w:ascii="Times New Roman" w:hAnsi="Times New Roman" w:cs="Times New Roman" w:hint="eastAsia"/>
          <w:sz w:val="16"/>
          <w:szCs w:val="16"/>
        </w:rPr>
        <w:t xml:space="preserve"> </w:t>
      </w:r>
      <w:r w:rsidR="00221F02" w:rsidRPr="00221F02">
        <w:rPr>
          <w:rFonts w:ascii="Times New Roman" w:hAnsi="Times New Roman" w:cs="Times New Roman"/>
          <w:sz w:val="16"/>
          <w:szCs w:val="16"/>
        </w:rPr>
        <w:t xml:space="preserve">Gold alone </w:t>
      </w:r>
      <w:proofErr w:type="gramStart"/>
      <w:r w:rsidR="00221F02" w:rsidRPr="00221F02">
        <w:rPr>
          <w:rFonts w:ascii="Times New Roman" w:hAnsi="Times New Roman" w:cs="Times New Roman"/>
          <w:sz w:val="16"/>
          <w:szCs w:val="16"/>
        </w:rPr>
        <w:t xml:space="preserve">was </w:t>
      </w:r>
      <w:r w:rsidR="00221F02">
        <w:rPr>
          <w:rFonts w:ascii="Times New Roman" w:hAnsi="Times New Roman" w:cs="Times New Roman"/>
          <w:sz w:val="16"/>
          <w:szCs w:val="16"/>
        </w:rPr>
        <w:t>assured</w:t>
      </w:r>
      <w:proofErr w:type="gramEnd"/>
      <w:r w:rsidR="00221F02">
        <w:rPr>
          <w:rFonts w:ascii="Times New Roman" w:hAnsi="Times New Roman" w:cs="Times New Roman"/>
          <w:sz w:val="16"/>
          <w:szCs w:val="16"/>
        </w:rPr>
        <w:t xml:space="preserve"> of unrestricted coinage</w:t>
      </w:r>
      <w:r w:rsidR="00221F02">
        <w:rPr>
          <w:rFonts w:ascii="Times New Roman" w:hAnsi="Times New Roman" w:cs="Times New Roman" w:hint="eastAsia"/>
          <w:sz w:val="16"/>
          <w:szCs w:val="16"/>
        </w:rPr>
        <w:t xml:space="preserve">. </w:t>
      </w:r>
      <w:r w:rsidR="00221F02" w:rsidRPr="00221F02">
        <w:rPr>
          <w:rFonts w:ascii="Times New Roman" w:hAnsi="Times New Roman" w:cs="Times New Roman"/>
          <w:sz w:val="16"/>
          <w:szCs w:val="16"/>
        </w:rPr>
        <w:t>There was two-way convertibility between gold and nationa</w:t>
      </w:r>
      <w:r w:rsidR="00221F02">
        <w:rPr>
          <w:rFonts w:ascii="Times New Roman" w:hAnsi="Times New Roman" w:cs="Times New Roman"/>
          <w:sz w:val="16"/>
          <w:szCs w:val="16"/>
        </w:rPr>
        <w:t>l currencies at a stable ratio.</w:t>
      </w:r>
      <w:r w:rsidR="00221F02">
        <w:rPr>
          <w:rFonts w:ascii="Times New Roman" w:hAnsi="Times New Roman" w:cs="Times New Roman" w:hint="eastAsia"/>
          <w:sz w:val="16"/>
          <w:szCs w:val="16"/>
        </w:rPr>
        <w:t xml:space="preserve"> </w:t>
      </w:r>
      <w:r w:rsidR="00221F02" w:rsidRPr="00221F02">
        <w:rPr>
          <w:rFonts w:ascii="Times New Roman" w:hAnsi="Times New Roman" w:cs="Times New Roman"/>
          <w:sz w:val="16"/>
          <w:szCs w:val="16"/>
        </w:rPr>
        <w:t xml:space="preserve">Gold </w:t>
      </w:r>
      <w:proofErr w:type="gramStart"/>
      <w:r w:rsidR="00221F02" w:rsidRPr="00221F02">
        <w:rPr>
          <w:rFonts w:ascii="Times New Roman" w:hAnsi="Times New Roman" w:cs="Times New Roman"/>
          <w:sz w:val="16"/>
          <w:szCs w:val="16"/>
        </w:rPr>
        <w:t>could be freely exported or imported</w:t>
      </w:r>
      <w:proofErr w:type="gramEnd"/>
      <w:r w:rsidR="00221F02" w:rsidRPr="00221F02">
        <w:rPr>
          <w:rFonts w:ascii="Times New Roman" w:hAnsi="Times New Roman" w:cs="Times New Roman"/>
          <w:sz w:val="16"/>
          <w:szCs w:val="16"/>
        </w:rPr>
        <w:t>.</w:t>
      </w:r>
      <w:r w:rsidR="00221F02">
        <w:rPr>
          <w:rFonts w:ascii="Times New Roman" w:hAnsi="Times New Roman" w:cs="Times New Roman"/>
          <w:sz w:val="16"/>
          <w:szCs w:val="16"/>
        </w:rPr>
        <w:t xml:space="preserve"> </w:t>
      </w:r>
      <w:r w:rsidR="00221F02" w:rsidRPr="00221F02">
        <w:rPr>
          <w:rFonts w:ascii="Times New Roman" w:hAnsi="Times New Roman" w:cs="Times New Roman"/>
          <w:sz w:val="16"/>
          <w:szCs w:val="16"/>
        </w:rPr>
        <w:t xml:space="preserve">The exchange rate between two country’s currencies </w:t>
      </w:r>
      <w:proofErr w:type="gramStart"/>
      <w:r w:rsidR="00221F02" w:rsidRPr="00221F02">
        <w:rPr>
          <w:rFonts w:ascii="Times New Roman" w:hAnsi="Times New Roman" w:cs="Times New Roman"/>
          <w:sz w:val="16"/>
          <w:szCs w:val="16"/>
        </w:rPr>
        <w:t>would be determined</w:t>
      </w:r>
      <w:proofErr w:type="gramEnd"/>
      <w:r w:rsidR="00221F02" w:rsidRPr="00221F02">
        <w:rPr>
          <w:rFonts w:ascii="Times New Roman" w:hAnsi="Times New Roman" w:cs="Times New Roman"/>
          <w:sz w:val="16"/>
          <w:szCs w:val="16"/>
        </w:rPr>
        <w:t xml:space="preserve"> by their relative gold contents.</w:t>
      </w:r>
      <w:r w:rsidR="00FE56B5">
        <w:rPr>
          <w:rFonts w:ascii="Times New Roman" w:hAnsi="Times New Roman" w:cs="Times New Roman"/>
          <w:sz w:val="16"/>
          <w:szCs w:val="16"/>
        </w:rPr>
        <w:t xml:space="preserve"> </w:t>
      </w:r>
      <w:r w:rsidR="00FE56B5" w:rsidRPr="00FE56B5">
        <w:rPr>
          <w:rFonts w:ascii="Times New Roman" w:hAnsi="Times New Roman" w:cs="Times New Roman"/>
          <w:sz w:val="16"/>
          <w:szCs w:val="16"/>
        </w:rPr>
        <w:t>For example, if the dollar is pegged to gold at U.S.$30 = 1 ounce of gold, and the British pound is pegged to gold at £6 = 1 ounce of gold, it must be the case that the exchange rate is determined by the relative gold contents:</w:t>
      </w:r>
      <w:r w:rsidR="00FE56B5">
        <w:rPr>
          <w:rFonts w:ascii="Times New Roman" w:hAnsi="Times New Roman" w:cs="Times New Roman"/>
          <w:sz w:val="16"/>
          <w:szCs w:val="16"/>
        </w:rPr>
        <w:t xml:space="preserve"> </w:t>
      </w:r>
      <w:r w:rsidR="00FE56B5" w:rsidRPr="00FE56B5">
        <w:rPr>
          <w:rFonts w:ascii="Times New Roman" w:hAnsi="Times New Roman" w:cs="Times New Roman"/>
          <w:sz w:val="16"/>
          <w:szCs w:val="16"/>
        </w:rPr>
        <w:t>$30 = £6</w:t>
      </w:r>
      <w:r w:rsidR="00FE56B5">
        <w:rPr>
          <w:rFonts w:ascii="Times New Roman" w:hAnsi="Times New Roman" w:cs="Times New Roman"/>
          <w:sz w:val="16"/>
          <w:szCs w:val="16"/>
        </w:rPr>
        <w:t>,</w:t>
      </w:r>
      <w:r w:rsidR="00FE56B5">
        <w:rPr>
          <w:rFonts w:ascii="Times New Roman" w:hAnsi="Times New Roman" w:cs="Times New Roman" w:hint="eastAsia"/>
          <w:sz w:val="16"/>
          <w:szCs w:val="16"/>
        </w:rPr>
        <w:t xml:space="preserve"> </w:t>
      </w:r>
      <w:r w:rsidR="00FE56B5" w:rsidRPr="00FE56B5">
        <w:rPr>
          <w:rFonts w:ascii="Times New Roman" w:hAnsi="Times New Roman" w:cs="Times New Roman"/>
          <w:sz w:val="16"/>
          <w:szCs w:val="16"/>
        </w:rPr>
        <w:t>$5 = £1</w:t>
      </w:r>
      <w:r w:rsidR="00FE56B5">
        <w:rPr>
          <w:rFonts w:ascii="Times New Roman" w:hAnsi="Times New Roman" w:cs="Times New Roman"/>
          <w:sz w:val="16"/>
          <w:szCs w:val="16"/>
        </w:rPr>
        <w:t xml:space="preserve">. </w:t>
      </w:r>
      <w:r w:rsidR="00FE56B5" w:rsidRPr="00FE56B5">
        <w:rPr>
          <w:rFonts w:ascii="Times New Roman" w:hAnsi="Times New Roman" w:cs="Times New Roman"/>
          <w:sz w:val="16"/>
          <w:szCs w:val="16"/>
        </w:rPr>
        <w:t xml:space="preserve">Misalignment of exchange rates and international imbalances of payment </w:t>
      </w:r>
      <w:proofErr w:type="gramStart"/>
      <w:r w:rsidR="00FE56B5" w:rsidRPr="00FE56B5">
        <w:rPr>
          <w:rFonts w:ascii="Times New Roman" w:hAnsi="Times New Roman" w:cs="Times New Roman"/>
          <w:sz w:val="16"/>
          <w:szCs w:val="16"/>
        </w:rPr>
        <w:t>were automatically corrected</w:t>
      </w:r>
      <w:proofErr w:type="gramEnd"/>
      <w:r w:rsidR="00FE56B5" w:rsidRPr="00FE56B5">
        <w:rPr>
          <w:rFonts w:ascii="Times New Roman" w:hAnsi="Times New Roman" w:cs="Times New Roman"/>
          <w:sz w:val="16"/>
          <w:szCs w:val="16"/>
        </w:rPr>
        <w:t xml:space="preserve"> by the price-specie-flow mechanism.</w:t>
      </w:r>
      <w:r w:rsidR="007732D8">
        <w:rPr>
          <w:rFonts w:ascii="Times New Roman" w:hAnsi="Times New Roman" w:cs="Times New Roman"/>
          <w:sz w:val="16"/>
          <w:szCs w:val="16"/>
        </w:rPr>
        <w:t xml:space="preserve"> </w:t>
      </w:r>
      <w:r w:rsidR="007732D8">
        <w:rPr>
          <w:rFonts w:ascii="Times New Roman" w:hAnsi="Times New Roman" w:cs="Times New Roman"/>
          <w:b/>
          <w:sz w:val="16"/>
          <w:szCs w:val="16"/>
        </w:rPr>
        <w:t xml:space="preserve">Interwar Period: 1915-1944. Bretton Woods System: 1945-1972: </w:t>
      </w:r>
      <w:r w:rsidR="007732D8" w:rsidRPr="007732D8">
        <w:rPr>
          <w:rFonts w:ascii="Times New Roman" w:hAnsi="Times New Roman" w:cs="Times New Roman"/>
          <w:sz w:val="16"/>
          <w:szCs w:val="16"/>
        </w:rPr>
        <w:t>The goal was exchange rate stability without the gold standard.</w:t>
      </w:r>
      <w:r w:rsidR="007732D8" w:rsidRPr="007732D8">
        <w:rPr>
          <w:rFonts w:ascii="Times New Roman" w:hAnsi="Times New Roman" w:cs="Times New Roman" w:hint="eastAsia"/>
          <w:sz w:val="16"/>
          <w:szCs w:val="16"/>
        </w:rPr>
        <w:t xml:space="preserve"> </w:t>
      </w:r>
      <w:r w:rsidR="007732D8" w:rsidRPr="007732D8">
        <w:rPr>
          <w:rFonts w:ascii="Times New Roman" w:hAnsi="Times New Roman" w:cs="Times New Roman"/>
          <w:sz w:val="16"/>
          <w:szCs w:val="16"/>
        </w:rPr>
        <w:t>IMF and the World Bank created.</w:t>
      </w:r>
      <w:r w:rsidR="007732D8">
        <w:rPr>
          <w:rFonts w:ascii="Times New Roman" w:hAnsi="Times New Roman" w:cs="Times New Roman"/>
          <w:sz w:val="16"/>
          <w:szCs w:val="16"/>
        </w:rPr>
        <w:t xml:space="preserve"> </w:t>
      </w:r>
      <w:proofErr w:type="gramStart"/>
      <w:r w:rsidR="007732D8" w:rsidRPr="007732D8">
        <w:rPr>
          <w:rFonts w:ascii="Times New Roman" w:hAnsi="Times New Roman" w:cs="Times New Roman"/>
          <w:sz w:val="16"/>
          <w:szCs w:val="16"/>
        </w:rPr>
        <w:t>the</w:t>
      </w:r>
      <w:proofErr w:type="gramEnd"/>
      <w:r w:rsidR="007732D8" w:rsidRPr="007732D8">
        <w:rPr>
          <w:rFonts w:ascii="Times New Roman" w:hAnsi="Times New Roman" w:cs="Times New Roman"/>
          <w:sz w:val="16"/>
          <w:szCs w:val="16"/>
        </w:rPr>
        <w:t xml:space="preserve"> U.S. dollar was pegged to gold at $35 per ounce and other currencies were pegged to the U.S. dollar.</w:t>
      </w:r>
      <w:r w:rsidR="007732D8">
        <w:rPr>
          <w:rFonts w:ascii="Times New Roman" w:hAnsi="Times New Roman" w:cs="Times New Roman"/>
          <w:sz w:val="16"/>
          <w:szCs w:val="16"/>
        </w:rPr>
        <w:t xml:space="preserve"> </w:t>
      </w:r>
      <w:r w:rsidR="007732D8" w:rsidRPr="007732D8">
        <w:rPr>
          <w:rFonts w:ascii="Times New Roman" w:hAnsi="Times New Roman" w:cs="Times New Roman"/>
          <w:sz w:val="16"/>
          <w:szCs w:val="16"/>
        </w:rPr>
        <w:t>The Bretton Woods system was a dollar-based gold exchange standard.</w:t>
      </w:r>
      <w:r w:rsidR="007732D8">
        <w:rPr>
          <w:rFonts w:ascii="Times New Roman" w:hAnsi="Times New Roman" w:cs="Times New Roman"/>
          <w:sz w:val="16"/>
          <w:szCs w:val="16"/>
        </w:rPr>
        <w:t xml:space="preserve"> </w:t>
      </w:r>
      <w:r w:rsidR="007732D8" w:rsidRPr="007732D8">
        <w:rPr>
          <w:rFonts w:ascii="Times New Roman" w:hAnsi="Times New Roman" w:cs="Times New Roman"/>
          <w:b/>
          <w:sz w:val="16"/>
          <w:szCs w:val="16"/>
        </w:rPr>
        <w:t xml:space="preserve">The Flexible Exchange Rate </w:t>
      </w:r>
      <w:r w:rsidR="007732D8">
        <w:rPr>
          <w:rFonts w:ascii="Times New Roman" w:hAnsi="Times New Roman" w:cs="Times New Roman"/>
          <w:b/>
          <w:sz w:val="16"/>
          <w:szCs w:val="16"/>
        </w:rPr>
        <w:t xml:space="preserve">Regime: 1973-Present: </w:t>
      </w:r>
      <w:r w:rsidR="007732D8" w:rsidRPr="007732D8">
        <w:rPr>
          <w:rFonts w:ascii="Times New Roman" w:hAnsi="Times New Roman" w:cs="Times New Roman"/>
          <w:sz w:val="16"/>
          <w:szCs w:val="16"/>
        </w:rPr>
        <w:t xml:space="preserve">Flexible exchange rates </w:t>
      </w:r>
      <w:proofErr w:type="gramStart"/>
      <w:r w:rsidR="007732D8" w:rsidRPr="007732D8">
        <w:rPr>
          <w:rFonts w:ascii="Times New Roman" w:hAnsi="Times New Roman" w:cs="Times New Roman"/>
          <w:sz w:val="16"/>
          <w:szCs w:val="16"/>
        </w:rPr>
        <w:t>were declared</w:t>
      </w:r>
      <w:proofErr w:type="gramEnd"/>
      <w:r w:rsidR="007732D8" w:rsidRPr="007732D8">
        <w:rPr>
          <w:rFonts w:ascii="Times New Roman" w:hAnsi="Times New Roman" w:cs="Times New Roman"/>
          <w:sz w:val="16"/>
          <w:szCs w:val="16"/>
        </w:rPr>
        <w:t xml:space="preserve"> acceptable to the IMF members.</w:t>
      </w:r>
      <w:r w:rsidR="007732D8">
        <w:rPr>
          <w:rFonts w:ascii="Times New Roman" w:hAnsi="Times New Roman" w:cs="Times New Roman"/>
          <w:sz w:val="16"/>
          <w:szCs w:val="16"/>
        </w:rPr>
        <w:t xml:space="preserve"> </w:t>
      </w:r>
      <w:r w:rsidR="007732D8" w:rsidRPr="007732D8">
        <w:rPr>
          <w:rFonts w:ascii="Times New Roman" w:hAnsi="Times New Roman" w:cs="Times New Roman"/>
          <w:b/>
          <w:sz w:val="16"/>
          <w:szCs w:val="16"/>
        </w:rPr>
        <w:t>Flexible exchange rates</w:t>
      </w:r>
      <w:r w:rsidR="00410129">
        <w:rPr>
          <w:rFonts w:ascii="Times New Roman" w:hAnsi="Times New Roman" w:cs="Times New Roman"/>
          <w:b/>
          <w:sz w:val="16"/>
          <w:szCs w:val="16"/>
        </w:rPr>
        <w:t xml:space="preserve"> (Louvre Accord of 1987)</w:t>
      </w:r>
      <w:r w:rsidR="007732D8" w:rsidRPr="007732D8">
        <w:rPr>
          <w:rFonts w:ascii="Times New Roman" w:hAnsi="Times New Roman" w:cs="Times New Roman"/>
          <w:b/>
          <w:sz w:val="16"/>
          <w:szCs w:val="16"/>
        </w:rPr>
        <w:t>:</w:t>
      </w:r>
      <w:r w:rsidR="007732D8">
        <w:rPr>
          <w:rFonts w:ascii="Times New Roman" w:hAnsi="Times New Roman" w:cs="Times New Roman"/>
          <w:b/>
          <w:sz w:val="16"/>
          <w:szCs w:val="16"/>
        </w:rPr>
        <w:t xml:space="preserve"> </w:t>
      </w:r>
      <w:r w:rsidR="007732D8" w:rsidRPr="007732D8">
        <w:rPr>
          <w:rFonts w:ascii="Times New Roman" w:hAnsi="Times New Roman" w:cs="Times New Roman"/>
          <w:sz w:val="16"/>
          <w:szCs w:val="16"/>
        </w:rPr>
        <w:t>Easier extern</w:t>
      </w:r>
      <w:r w:rsidR="007732D8">
        <w:rPr>
          <w:rFonts w:ascii="Times New Roman" w:hAnsi="Times New Roman" w:cs="Times New Roman"/>
          <w:sz w:val="16"/>
          <w:szCs w:val="16"/>
        </w:rPr>
        <w:t>al adjustments.</w:t>
      </w:r>
      <w:r w:rsidR="007732D8">
        <w:rPr>
          <w:rFonts w:ascii="Times New Roman" w:hAnsi="Times New Roman" w:cs="Times New Roman" w:hint="eastAsia"/>
          <w:sz w:val="16"/>
          <w:szCs w:val="16"/>
        </w:rPr>
        <w:t xml:space="preserve"> </w:t>
      </w:r>
      <w:r w:rsidR="007732D8">
        <w:rPr>
          <w:rFonts w:ascii="Times New Roman" w:hAnsi="Times New Roman" w:cs="Times New Roman"/>
          <w:sz w:val="16"/>
          <w:szCs w:val="16"/>
        </w:rPr>
        <w:t xml:space="preserve">National policy </w:t>
      </w:r>
      <w:proofErr w:type="spellStart"/>
      <w:r w:rsidR="007732D8">
        <w:rPr>
          <w:rFonts w:ascii="Times New Roman" w:hAnsi="Times New Roman" w:cs="Times New Roman"/>
          <w:sz w:val="16"/>
          <w:szCs w:val="16"/>
        </w:rPr>
        <w:t>autonomy.</w:t>
      </w:r>
      <w:r w:rsidR="007732D8" w:rsidRPr="007732D8">
        <w:rPr>
          <w:rFonts w:ascii="Times New Roman" w:hAnsi="Times New Roman" w:cs="Times New Roman"/>
          <w:b/>
          <w:sz w:val="16"/>
          <w:szCs w:val="16"/>
        </w:rPr>
        <w:t>Arguments</w:t>
      </w:r>
      <w:proofErr w:type="spellEnd"/>
      <w:r w:rsidR="007732D8" w:rsidRPr="007732D8">
        <w:rPr>
          <w:rFonts w:ascii="Times New Roman" w:hAnsi="Times New Roman" w:cs="Times New Roman"/>
          <w:b/>
          <w:sz w:val="16"/>
          <w:szCs w:val="16"/>
        </w:rPr>
        <w:t xml:space="preserve"> a</w:t>
      </w:r>
      <w:r w:rsidR="007732D8">
        <w:rPr>
          <w:rFonts w:ascii="Times New Roman" w:hAnsi="Times New Roman" w:cs="Times New Roman"/>
          <w:b/>
          <w:sz w:val="16"/>
          <w:szCs w:val="16"/>
        </w:rPr>
        <w:t>gainst flexible exchange rates:</w:t>
      </w:r>
      <w:r w:rsidR="007732D8">
        <w:rPr>
          <w:rFonts w:ascii="Times New Roman" w:hAnsi="Times New Roman" w:cs="Times New Roman" w:hint="eastAsia"/>
          <w:b/>
          <w:sz w:val="16"/>
          <w:szCs w:val="16"/>
        </w:rPr>
        <w:t xml:space="preserve"> </w:t>
      </w:r>
      <w:r w:rsidR="007732D8" w:rsidRPr="007732D8">
        <w:rPr>
          <w:rFonts w:ascii="Times New Roman" w:hAnsi="Times New Roman" w:cs="Times New Roman"/>
          <w:sz w:val="16"/>
          <w:szCs w:val="16"/>
        </w:rPr>
        <w:t>Exchange rate uncertainty may hamper international trade.</w:t>
      </w:r>
      <w:r w:rsidR="007732D8">
        <w:rPr>
          <w:rFonts w:ascii="Times New Roman" w:hAnsi="Times New Roman" w:cs="Times New Roman" w:hint="eastAsia"/>
          <w:b/>
          <w:sz w:val="16"/>
          <w:szCs w:val="16"/>
        </w:rPr>
        <w:t xml:space="preserve"> </w:t>
      </w:r>
      <w:r w:rsidR="007732D8" w:rsidRPr="007732D8">
        <w:rPr>
          <w:rFonts w:ascii="Times New Roman" w:hAnsi="Times New Roman" w:cs="Times New Roman"/>
          <w:sz w:val="16"/>
          <w:szCs w:val="16"/>
        </w:rPr>
        <w:t>No safeguards to prevent crises.</w:t>
      </w:r>
      <w:r w:rsidR="00410129">
        <w:rPr>
          <w:rFonts w:ascii="Times New Roman" w:hAnsi="Times New Roman" w:cs="Times New Roman"/>
          <w:sz w:val="16"/>
          <w:szCs w:val="16"/>
        </w:rPr>
        <w:t xml:space="preserve"> </w:t>
      </w:r>
      <w:r w:rsidR="00410129">
        <w:rPr>
          <w:rFonts w:ascii="Times New Roman" w:hAnsi="Times New Roman" w:cs="Times New Roman"/>
          <w:b/>
          <w:sz w:val="16"/>
          <w:szCs w:val="16"/>
        </w:rPr>
        <w:t xml:space="preserve">[CH3] </w:t>
      </w:r>
      <w:r w:rsidR="00410129" w:rsidRPr="00410129">
        <w:rPr>
          <w:rFonts w:ascii="Times New Roman" w:hAnsi="Times New Roman" w:cs="Times New Roman"/>
          <w:b/>
          <w:sz w:val="16"/>
          <w:szCs w:val="16"/>
        </w:rPr>
        <w:t xml:space="preserve">The Balance of Payments </w:t>
      </w:r>
      <w:r w:rsidR="00410129" w:rsidRPr="00410129">
        <w:rPr>
          <w:rFonts w:ascii="Times New Roman" w:hAnsi="Times New Roman" w:cs="Times New Roman"/>
          <w:sz w:val="16"/>
          <w:szCs w:val="16"/>
        </w:rPr>
        <w:t xml:space="preserve">is the statistical record of a country’s international transactions over a certain </w:t>
      </w:r>
      <w:proofErr w:type="gramStart"/>
      <w:r w:rsidR="00410129" w:rsidRPr="00410129">
        <w:rPr>
          <w:rFonts w:ascii="Times New Roman" w:hAnsi="Times New Roman" w:cs="Times New Roman"/>
          <w:sz w:val="16"/>
          <w:szCs w:val="16"/>
        </w:rPr>
        <w:t>period of time</w:t>
      </w:r>
      <w:proofErr w:type="gramEnd"/>
      <w:r w:rsidR="00410129" w:rsidRPr="00410129">
        <w:rPr>
          <w:rFonts w:ascii="Times New Roman" w:hAnsi="Times New Roman" w:cs="Times New Roman"/>
          <w:sz w:val="16"/>
          <w:szCs w:val="16"/>
        </w:rPr>
        <w:t xml:space="preserve"> presented in the form of double-entry bookkeeping</w:t>
      </w:r>
      <w:r w:rsidR="00410129">
        <w:rPr>
          <w:rFonts w:ascii="Times New Roman" w:hAnsi="Times New Roman" w:cs="Times New Roman"/>
          <w:sz w:val="16"/>
          <w:szCs w:val="16"/>
        </w:rPr>
        <w:t xml:space="preserve">. </w:t>
      </w:r>
      <w:r w:rsidR="00410129">
        <w:rPr>
          <w:rFonts w:ascii="Times New Roman" w:hAnsi="Times New Roman" w:cs="Times New Roman"/>
          <w:b/>
          <w:sz w:val="16"/>
          <w:szCs w:val="16"/>
        </w:rPr>
        <w:t xml:space="preserve">Current Account: </w:t>
      </w:r>
      <w:r w:rsidR="00410129" w:rsidRPr="00410129">
        <w:rPr>
          <w:rFonts w:ascii="Times New Roman" w:hAnsi="Times New Roman" w:cs="Times New Roman"/>
          <w:sz w:val="16"/>
          <w:szCs w:val="16"/>
        </w:rPr>
        <w:t>Includes all imports and exports of goods and services.</w:t>
      </w:r>
      <w:r w:rsidR="00410129" w:rsidRPr="00410129">
        <w:rPr>
          <w:rFonts w:ascii="Times New Roman" w:hAnsi="Times New Roman" w:cs="Times New Roman" w:hint="eastAsia"/>
          <w:sz w:val="16"/>
          <w:szCs w:val="16"/>
        </w:rPr>
        <w:t xml:space="preserve"> </w:t>
      </w:r>
      <w:r w:rsidR="00410129" w:rsidRPr="00410129">
        <w:rPr>
          <w:rFonts w:ascii="Times New Roman" w:hAnsi="Times New Roman" w:cs="Times New Roman"/>
          <w:sz w:val="16"/>
          <w:szCs w:val="16"/>
        </w:rPr>
        <w:t>Includes unilateral transfers of foreign aid</w:t>
      </w:r>
      <w:r w:rsidR="00410129" w:rsidRPr="00410129">
        <w:rPr>
          <w:rFonts w:ascii="Times New Roman" w:hAnsi="Times New Roman" w:cs="Times New Roman"/>
          <w:b/>
          <w:sz w:val="16"/>
          <w:szCs w:val="16"/>
        </w:rPr>
        <w:t xml:space="preserve">. The capital account </w:t>
      </w:r>
      <w:r w:rsidR="00410129" w:rsidRPr="00410129">
        <w:rPr>
          <w:rFonts w:ascii="Times New Roman" w:hAnsi="Times New Roman" w:cs="Times New Roman"/>
          <w:sz w:val="16"/>
          <w:szCs w:val="16"/>
        </w:rPr>
        <w:t>measures the difference between Canadian sales of assets to foreigners and Canadi</w:t>
      </w:r>
      <w:r w:rsidR="00410129">
        <w:rPr>
          <w:rFonts w:ascii="Times New Roman" w:hAnsi="Times New Roman" w:cs="Times New Roman"/>
          <w:sz w:val="16"/>
          <w:szCs w:val="16"/>
        </w:rPr>
        <w:t>an purchases of foreign assets.</w:t>
      </w:r>
      <w:r w:rsidR="00410129" w:rsidRPr="00410129">
        <w:rPr>
          <w:rFonts w:ascii="Times New Roman" w:hAnsi="Times New Roman" w:cs="Times New Roman"/>
          <w:sz w:val="16"/>
          <w:szCs w:val="16"/>
        </w:rPr>
        <w:t xml:space="preserve"> Two main categories</w:t>
      </w:r>
      <w:r w:rsidR="00410129">
        <w:rPr>
          <w:rFonts w:ascii="Times New Roman" w:hAnsi="Times New Roman" w:cs="Times New Roman"/>
          <w:sz w:val="16"/>
          <w:szCs w:val="16"/>
        </w:rPr>
        <w:t>: Foreign direct investment</w:t>
      </w:r>
      <w:r w:rsidR="00410129">
        <w:rPr>
          <w:rFonts w:ascii="Times New Roman" w:hAnsi="Times New Roman" w:cs="Times New Roman" w:hint="eastAsia"/>
          <w:sz w:val="16"/>
          <w:szCs w:val="16"/>
        </w:rPr>
        <w:t xml:space="preserve">, </w:t>
      </w:r>
      <w:r w:rsidR="00410129" w:rsidRPr="00410129">
        <w:rPr>
          <w:rFonts w:ascii="Times New Roman" w:hAnsi="Times New Roman" w:cs="Times New Roman"/>
          <w:sz w:val="16"/>
          <w:szCs w:val="16"/>
        </w:rPr>
        <w:t>Portfolio investment</w:t>
      </w:r>
      <w:r w:rsidR="00410129">
        <w:rPr>
          <w:rFonts w:ascii="Times New Roman" w:hAnsi="Times New Roman" w:cs="Times New Roman"/>
          <w:sz w:val="16"/>
          <w:szCs w:val="16"/>
        </w:rPr>
        <w:t xml:space="preserve">. </w:t>
      </w:r>
      <w:r w:rsidR="00410129">
        <w:rPr>
          <w:rFonts w:ascii="Times New Roman" w:hAnsi="Times New Roman" w:cs="Times New Roman"/>
          <w:b/>
          <w:sz w:val="16"/>
          <w:szCs w:val="16"/>
        </w:rPr>
        <w:t xml:space="preserve">The official reserve account: </w:t>
      </w:r>
      <w:r w:rsidR="00410129" w:rsidRPr="00410129">
        <w:rPr>
          <w:rFonts w:ascii="Times New Roman" w:hAnsi="Times New Roman" w:cs="Times New Roman"/>
          <w:sz w:val="16"/>
          <w:szCs w:val="16"/>
        </w:rPr>
        <w:t>gold, foreign currencies, SDRs, reserve positions in the IMF.</w:t>
      </w:r>
      <w:r w:rsidR="00410129">
        <w:rPr>
          <w:rFonts w:ascii="Times New Roman" w:hAnsi="Times New Roman" w:cs="Times New Roman"/>
          <w:sz w:val="16"/>
          <w:szCs w:val="16"/>
        </w:rPr>
        <w:t xml:space="preserve"> </w:t>
      </w:r>
      <w:r w:rsidR="00410129" w:rsidRPr="00410129">
        <w:rPr>
          <w:rFonts w:ascii="Times New Roman" w:hAnsi="Times New Roman" w:cs="Times New Roman"/>
          <w:b/>
          <w:sz w:val="16"/>
          <w:szCs w:val="16"/>
        </w:rPr>
        <w:t>BCA + BKA + BRA = 0</w:t>
      </w:r>
      <w:r w:rsidR="00410129">
        <w:rPr>
          <w:rFonts w:ascii="Times New Roman" w:hAnsi="Times New Roman" w:cs="Times New Roman" w:hint="eastAsia"/>
          <w:sz w:val="16"/>
          <w:szCs w:val="16"/>
        </w:rPr>
        <w:t xml:space="preserve"> </w:t>
      </w:r>
      <w:r w:rsidR="00410129" w:rsidRPr="00410129">
        <w:rPr>
          <w:rFonts w:ascii="Times New Roman" w:hAnsi="Times New Roman" w:cs="Times New Roman"/>
          <w:sz w:val="16"/>
          <w:szCs w:val="16"/>
        </w:rPr>
        <w:t>B</w:t>
      </w:r>
      <w:r w:rsidR="00410129">
        <w:rPr>
          <w:rFonts w:ascii="Times New Roman" w:hAnsi="Times New Roman" w:cs="Times New Roman"/>
          <w:sz w:val="16"/>
          <w:szCs w:val="16"/>
        </w:rPr>
        <w:t>CA = balance on current account</w:t>
      </w:r>
      <w:r w:rsidR="00410129">
        <w:rPr>
          <w:rFonts w:ascii="Times New Roman" w:hAnsi="Times New Roman" w:cs="Times New Roman" w:hint="eastAsia"/>
          <w:sz w:val="16"/>
          <w:szCs w:val="16"/>
        </w:rPr>
        <w:t xml:space="preserve"> </w:t>
      </w:r>
      <w:r w:rsidR="00410129" w:rsidRPr="00410129">
        <w:rPr>
          <w:rFonts w:ascii="Times New Roman" w:hAnsi="Times New Roman" w:cs="Times New Roman"/>
          <w:sz w:val="16"/>
          <w:szCs w:val="16"/>
        </w:rPr>
        <w:t>B</w:t>
      </w:r>
      <w:r w:rsidR="00410129">
        <w:rPr>
          <w:rFonts w:ascii="Times New Roman" w:hAnsi="Times New Roman" w:cs="Times New Roman"/>
          <w:sz w:val="16"/>
          <w:szCs w:val="16"/>
        </w:rPr>
        <w:t>KA = balance on capital account</w:t>
      </w:r>
      <w:r w:rsidR="00410129">
        <w:rPr>
          <w:rFonts w:ascii="Times New Roman" w:hAnsi="Times New Roman" w:cs="Times New Roman" w:hint="eastAsia"/>
          <w:sz w:val="16"/>
          <w:szCs w:val="16"/>
        </w:rPr>
        <w:t xml:space="preserve"> </w:t>
      </w:r>
      <w:r w:rsidR="00410129" w:rsidRPr="00410129">
        <w:rPr>
          <w:rFonts w:ascii="Times New Roman" w:hAnsi="Times New Roman" w:cs="Times New Roman"/>
          <w:sz w:val="16"/>
          <w:szCs w:val="16"/>
        </w:rPr>
        <w:t>BRA = balance on the reserves account</w:t>
      </w:r>
    </w:p>
    <w:p w:rsidR="00FE56B5" w:rsidRPr="00410129" w:rsidRDefault="00FE56B5" w:rsidP="00410129">
      <w:pPr>
        <w:rPr>
          <w:rFonts w:ascii="Times New Roman" w:hAnsi="Times New Roman" w:cs="Times New Roman"/>
          <w:b/>
          <w:sz w:val="16"/>
          <w:szCs w:val="16"/>
        </w:rPr>
      </w:pPr>
    </w:p>
    <w:p w:rsidR="00795AF6" w:rsidRDefault="00795AF6"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221F02">
      <w:pPr>
        <w:rPr>
          <w:rFonts w:ascii="Times New Roman" w:hAnsi="Times New Roman" w:cs="Times New Roman"/>
          <w:sz w:val="16"/>
          <w:szCs w:val="16"/>
        </w:rPr>
      </w:pPr>
    </w:p>
    <w:p w:rsidR="00F10365" w:rsidRDefault="00F10365" w:rsidP="00F10365">
      <w:pPr>
        <w:rPr>
          <w:rFonts w:ascii="Times New Roman" w:hAnsi="Times New Roman" w:cs="Times New Roman"/>
          <w:sz w:val="16"/>
          <w:szCs w:val="16"/>
        </w:rPr>
      </w:pPr>
      <w:r w:rsidRPr="00831FEA">
        <w:rPr>
          <w:rFonts w:ascii="Times New Roman" w:hAnsi="Times New Roman" w:cs="Times New Roman"/>
          <w:b/>
          <w:sz w:val="16"/>
          <w:szCs w:val="16"/>
        </w:rPr>
        <w:lastRenderedPageBreak/>
        <w:t xml:space="preserve">[CH 6] International Banks </w:t>
      </w:r>
      <w:r w:rsidRPr="00831FEA">
        <w:rPr>
          <w:rFonts w:ascii="Times New Roman" w:hAnsi="Times New Roman" w:cs="Times New Roman"/>
          <w:sz w:val="16"/>
          <w:szCs w:val="16"/>
        </w:rPr>
        <w:t xml:space="preserve">do everything domestic banks do </w:t>
      </w:r>
      <w:proofErr w:type="gramStart"/>
      <w:r w:rsidRPr="00831FEA">
        <w:rPr>
          <w:rFonts w:ascii="Times New Roman" w:hAnsi="Times New Roman" w:cs="Times New Roman"/>
          <w:sz w:val="16"/>
          <w:szCs w:val="16"/>
        </w:rPr>
        <w:t>and:</w:t>
      </w:r>
      <w:proofErr w:type="gramEnd"/>
      <w:r w:rsidRPr="00831FEA">
        <w:rPr>
          <w:rFonts w:ascii="Times New Roman" w:hAnsi="Times New Roman" w:cs="Times New Roman"/>
          <w:b/>
          <w:sz w:val="16"/>
          <w:szCs w:val="16"/>
        </w:rPr>
        <w:t xml:space="preserve"> </w:t>
      </w:r>
      <w:r w:rsidRPr="00831FEA">
        <w:rPr>
          <w:rFonts w:ascii="Times New Roman" w:hAnsi="Times New Roman" w:cs="Times New Roman"/>
          <w:sz w:val="16"/>
          <w:szCs w:val="16"/>
        </w:rPr>
        <w:t>Arrange trade financing. Arrange foreign exchange. Offer hedging services for foreign currency receivables and payables through forward and option contracts.</w:t>
      </w:r>
      <w:r w:rsidRPr="00831FEA">
        <w:rPr>
          <w:rFonts w:ascii="Times New Roman" w:hAnsi="Times New Roman" w:cs="Times New Roman" w:hint="eastAsia"/>
          <w:sz w:val="16"/>
          <w:szCs w:val="16"/>
        </w:rPr>
        <w:t xml:space="preserve"> </w:t>
      </w:r>
      <w:r w:rsidRPr="00831FEA">
        <w:rPr>
          <w:rFonts w:ascii="Times New Roman" w:hAnsi="Times New Roman" w:cs="Times New Roman"/>
          <w:sz w:val="16"/>
          <w:szCs w:val="16"/>
        </w:rPr>
        <w:t xml:space="preserve">Offer investment banking services (where allowed). </w:t>
      </w:r>
      <w:r w:rsidRPr="00831FEA">
        <w:rPr>
          <w:rFonts w:ascii="Times New Roman" w:hAnsi="Times New Roman" w:cs="Times New Roman"/>
          <w:b/>
          <w:sz w:val="16"/>
          <w:szCs w:val="16"/>
        </w:rPr>
        <w:t>R</w:t>
      </w:r>
      <w:bookmarkStart w:id="0" w:name="_GoBack"/>
      <w:bookmarkEnd w:id="0"/>
      <w:r w:rsidRPr="00831FEA">
        <w:rPr>
          <w:rFonts w:ascii="Times New Roman" w:hAnsi="Times New Roman" w:cs="Times New Roman"/>
          <w:b/>
          <w:sz w:val="16"/>
          <w:szCs w:val="16"/>
        </w:rPr>
        <w:t xml:space="preserve">eason for international banking: </w:t>
      </w:r>
      <w:r w:rsidRPr="00831FEA">
        <w:rPr>
          <w:rFonts w:ascii="Times New Roman" w:hAnsi="Times New Roman" w:cs="Times New Roman"/>
          <w:sz w:val="16"/>
          <w:szCs w:val="16"/>
        </w:rPr>
        <w:t xml:space="preserve">Low Marginal Costs, Knowledge advantage, Home nation information services, Prestige, Regulatory advantage, and wholesale defensive strategy. Retail defensive strategy, transactions costs, growth, and risk reduction. </w:t>
      </w:r>
      <w:r w:rsidRPr="00831FEA">
        <w:rPr>
          <w:rFonts w:ascii="Times New Roman" w:hAnsi="Times New Roman" w:cs="Times New Roman"/>
          <w:b/>
          <w:sz w:val="16"/>
          <w:szCs w:val="16"/>
        </w:rPr>
        <w:t xml:space="preserve">Correspondent Bank: </w:t>
      </w:r>
      <w:r w:rsidRPr="00831FEA">
        <w:rPr>
          <w:rFonts w:ascii="Times New Roman" w:hAnsi="Times New Roman" w:cs="Times New Roman"/>
          <w:sz w:val="16"/>
          <w:szCs w:val="16"/>
        </w:rPr>
        <w:t>A correspondent banking relationship exists when two banks maintain deposits with each other.</w:t>
      </w:r>
      <w:r w:rsidRPr="00831FEA">
        <w:rPr>
          <w:rFonts w:ascii="Times New Roman" w:hAnsi="Times New Roman" w:cs="Times New Roman" w:hint="eastAsia"/>
          <w:sz w:val="16"/>
          <w:szCs w:val="16"/>
        </w:rPr>
        <w:t xml:space="preserve"> </w:t>
      </w:r>
      <w:r w:rsidRPr="00831FEA">
        <w:rPr>
          <w:rFonts w:ascii="Times New Roman" w:hAnsi="Times New Roman" w:cs="Times New Roman"/>
          <w:sz w:val="16"/>
          <w:szCs w:val="16"/>
        </w:rPr>
        <w:t xml:space="preserve">Correspondent banking allows a bank’s MNC client to conduct business worldwide through his local bank or its correspondents. </w:t>
      </w:r>
      <w:r w:rsidRPr="00831FEA">
        <w:rPr>
          <w:rFonts w:ascii="Times New Roman" w:hAnsi="Times New Roman" w:cs="Times New Roman"/>
          <w:b/>
          <w:sz w:val="16"/>
          <w:szCs w:val="16"/>
        </w:rPr>
        <w:t>Representative Offices</w:t>
      </w:r>
      <w:r w:rsidRPr="00831FEA">
        <w:rPr>
          <w:rFonts w:ascii="Times New Roman" w:hAnsi="Times New Roman" w:cs="Times New Roman"/>
          <w:sz w:val="16"/>
          <w:szCs w:val="16"/>
        </w:rPr>
        <w:t xml:space="preserve">: A representative office is a small service facility staffed by parent bank personnel that </w:t>
      </w:r>
      <w:proofErr w:type="gramStart"/>
      <w:r w:rsidRPr="00831FEA">
        <w:rPr>
          <w:rFonts w:ascii="Times New Roman" w:hAnsi="Times New Roman" w:cs="Times New Roman"/>
          <w:sz w:val="16"/>
          <w:szCs w:val="16"/>
        </w:rPr>
        <w:t>is designed</w:t>
      </w:r>
      <w:proofErr w:type="gramEnd"/>
      <w:r w:rsidRPr="00831FEA">
        <w:rPr>
          <w:rFonts w:ascii="Times New Roman" w:hAnsi="Times New Roman" w:cs="Times New Roman"/>
          <w:sz w:val="16"/>
          <w:szCs w:val="16"/>
        </w:rPr>
        <w:t xml:space="preserve"> to assist MNC clients of the parent bank in dealings with the bank’s correspondents. Representative offices also assist with information about local business customs, and credit evaluation of the MNC’s local customers. </w:t>
      </w:r>
      <w:r w:rsidRPr="00831FEA">
        <w:rPr>
          <w:rFonts w:ascii="Times New Roman" w:hAnsi="Times New Roman" w:cs="Times New Roman"/>
          <w:b/>
          <w:sz w:val="16"/>
          <w:szCs w:val="16"/>
        </w:rPr>
        <w:t>Foreign Branches</w:t>
      </w:r>
      <w:r w:rsidRPr="00831FEA">
        <w:rPr>
          <w:rFonts w:ascii="Times New Roman" w:hAnsi="Times New Roman" w:cs="Times New Roman"/>
          <w:sz w:val="16"/>
          <w:szCs w:val="16"/>
        </w:rPr>
        <w:t xml:space="preserve">: A </w:t>
      </w:r>
      <w:r w:rsidRPr="00831FEA">
        <w:rPr>
          <w:rFonts w:ascii="Times New Roman" w:hAnsi="Times New Roman" w:cs="Times New Roman"/>
          <w:i/>
          <w:iCs/>
          <w:sz w:val="16"/>
          <w:szCs w:val="16"/>
        </w:rPr>
        <w:t>foreign branch bank</w:t>
      </w:r>
      <w:r w:rsidRPr="00831FEA">
        <w:rPr>
          <w:rFonts w:ascii="Times New Roman" w:hAnsi="Times New Roman" w:cs="Times New Roman"/>
          <w:sz w:val="16"/>
          <w:szCs w:val="16"/>
        </w:rPr>
        <w:t xml:space="preserve"> operates like a local bank, but is legally part of the parent. Branch Banks are the most popular way for Canadian banks to expand overseas.</w:t>
      </w:r>
      <w:r>
        <w:rPr>
          <w:rFonts w:ascii="Times New Roman" w:hAnsi="Times New Roman" w:cs="Times New Roman"/>
          <w:sz w:val="16"/>
          <w:szCs w:val="16"/>
        </w:rPr>
        <w:t xml:space="preserve"> </w:t>
      </w:r>
      <w:r w:rsidRPr="00831FEA">
        <w:rPr>
          <w:rFonts w:ascii="Times New Roman" w:hAnsi="Times New Roman" w:cs="Times New Roman"/>
          <w:b/>
          <w:sz w:val="16"/>
          <w:szCs w:val="16"/>
        </w:rPr>
        <w:t>Subsidiary and Affiliate Banks</w:t>
      </w:r>
      <w:r>
        <w:rPr>
          <w:rFonts w:ascii="Times New Roman" w:hAnsi="Times New Roman" w:cs="Times New Roman"/>
          <w:b/>
          <w:sz w:val="16"/>
          <w:szCs w:val="16"/>
        </w:rPr>
        <w:t>:</w:t>
      </w:r>
      <w:r w:rsidRPr="00831FEA">
        <w:rPr>
          <w:rFonts w:ascii="Times New Roman" w:hAnsi="Times New Roman" w:cs="Times New Roman"/>
          <w:sz w:val="16"/>
          <w:szCs w:val="16"/>
        </w:rPr>
        <w:t xml:space="preserve"> A subsidiary bank is a locally incorporated bank wholly or partly owned by a foreign parent.</w:t>
      </w:r>
      <w:r>
        <w:rPr>
          <w:rFonts w:ascii="Times New Roman" w:hAnsi="Times New Roman" w:cs="Times New Roman"/>
          <w:sz w:val="16"/>
          <w:szCs w:val="16"/>
        </w:rPr>
        <w:t xml:space="preserve"> </w:t>
      </w:r>
      <w:r w:rsidRPr="00831FEA">
        <w:rPr>
          <w:rFonts w:ascii="Times New Roman" w:hAnsi="Times New Roman" w:cs="Times New Roman"/>
          <w:sz w:val="16"/>
          <w:szCs w:val="16"/>
        </w:rPr>
        <w:t xml:space="preserve">An affiliate bank is one that </w:t>
      </w:r>
      <w:proofErr w:type="gramStart"/>
      <w:r w:rsidRPr="00831FEA">
        <w:rPr>
          <w:rFonts w:ascii="Times New Roman" w:hAnsi="Times New Roman" w:cs="Times New Roman"/>
          <w:sz w:val="16"/>
          <w:szCs w:val="16"/>
        </w:rPr>
        <w:t>is partly owned but not controlled by the parent</w:t>
      </w:r>
      <w:proofErr w:type="gramEnd"/>
      <w:r w:rsidRPr="00831FEA">
        <w:rPr>
          <w:rFonts w:ascii="Times New Roman" w:hAnsi="Times New Roman" w:cs="Times New Roman"/>
          <w:sz w:val="16"/>
          <w:szCs w:val="16"/>
        </w:rPr>
        <w:t>.</w:t>
      </w:r>
      <w:r>
        <w:rPr>
          <w:rFonts w:ascii="Times New Roman" w:hAnsi="Times New Roman" w:cs="Times New Roman"/>
          <w:sz w:val="16"/>
          <w:szCs w:val="16"/>
        </w:rPr>
        <w:t xml:space="preserve"> </w:t>
      </w:r>
      <w:r w:rsidRPr="00831FEA">
        <w:rPr>
          <w:rFonts w:ascii="Times New Roman" w:hAnsi="Times New Roman" w:cs="Times New Roman"/>
          <w:b/>
          <w:sz w:val="16"/>
          <w:szCs w:val="16"/>
        </w:rPr>
        <w:t>Edge Act Banks</w:t>
      </w:r>
      <w:r>
        <w:rPr>
          <w:rFonts w:ascii="Times New Roman" w:hAnsi="Times New Roman" w:cs="Times New Roman"/>
          <w:b/>
          <w:sz w:val="16"/>
          <w:szCs w:val="16"/>
        </w:rPr>
        <w:t xml:space="preserve"> </w:t>
      </w:r>
      <w:proofErr w:type="gramStart"/>
      <w:r w:rsidRPr="00831FEA">
        <w:rPr>
          <w:rFonts w:ascii="Times New Roman" w:hAnsi="Times New Roman" w:cs="Times New Roman"/>
          <w:sz w:val="16"/>
          <w:szCs w:val="16"/>
        </w:rPr>
        <w:t>In</w:t>
      </w:r>
      <w:proofErr w:type="gramEnd"/>
      <w:r w:rsidRPr="00831FEA">
        <w:rPr>
          <w:rFonts w:ascii="Times New Roman" w:hAnsi="Times New Roman" w:cs="Times New Roman"/>
          <w:sz w:val="16"/>
          <w:szCs w:val="16"/>
        </w:rPr>
        <w:t xml:space="preserve"> the U.S., Edge Act banks are federally chartered subsidiaries of U.S. banks that are physically located in the U.S. that are allowed to engage in a full range of international banking activities.</w:t>
      </w:r>
      <w:r>
        <w:rPr>
          <w:rFonts w:ascii="Times New Roman" w:hAnsi="Times New Roman" w:cs="Times New Roman"/>
          <w:sz w:val="16"/>
          <w:szCs w:val="16"/>
        </w:rPr>
        <w:t xml:space="preserve"> </w:t>
      </w:r>
      <w:r w:rsidRPr="00831FEA">
        <w:rPr>
          <w:rFonts w:ascii="Times New Roman" w:hAnsi="Times New Roman" w:cs="Times New Roman"/>
          <w:b/>
          <w:sz w:val="16"/>
          <w:szCs w:val="16"/>
        </w:rPr>
        <w:t>Offshore Banking Centers</w:t>
      </w:r>
      <w:r>
        <w:rPr>
          <w:rFonts w:ascii="Times New Roman" w:hAnsi="Times New Roman" w:cs="Times New Roman"/>
          <w:b/>
          <w:sz w:val="16"/>
          <w:szCs w:val="16"/>
        </w:rPr>
        <w:t xml:space="preserve">: </w:t>
      </w:r>
      <w:r w:rsidRPr="00831FEA">
        <w:rPr>
          <w:rFonts w:ascii="Times New Roman" w:hAnsi="Times New Roman" w:cs="Times New Roman"/>
          <w:sz w:val="16"/>
          <w:szCs w:val="16"/>
        </w:rPr>
        <w:t xml:space="preserve">is a country whose banking system </w:t>
      </w:r>
      <w:proofErr w:type="gramStart"/>
      <w:r w:rsidRPr="00831FEA">
        <w:rPr>
          <w:rFonts w:ascii="Times New Roman" w:hAnsi="Times New Roman" w:cs="Times New Roman"/>
          <w:sz w:val="16"/>
          <w:szCs w:val="16"/>
        </w:rPr>
        <w:t>is organized</w:t>
      </w:r>
      <w:proofErr w:type="gramEnd"/>
      <w:r w:rsidRPr="00831FEA">
        <w:rPr>
          <w:rFonts w:ascii="Times New Roman" w:hAnsi="Times New Roman" w:cs="Times New Roman"/>
          <w:sz w:val="16"/>
          <w:szCs w:val="16"/>
        </w:rPr>
        <w:t xml:space="preserve"> to permit external accounts beyond the normal scope of local economic activity.</w:t>
      </w:r>
      <w:r>
        <w:rPr>
          <w:rFonts w:ascii="Times New Roman" w:hAnsi="Times New Roman" w:cs="Times New Roman"/>
          <w:sz w:val="16"/>
          <w:szCs w:val="16"/>
        </w:rPr>
        <w:t xml:space="preserve"> </w:t>
      </w:r>
      <w:r w:rsidRPr="00831FEA">
        <w:rPr>
          <w:rFonts w:ascii="Times New Roman" w:hAnsi="Times New Roman" w:cs="Times New Roman"/>
          <w:sz w:val="16"/>
          <w:szCs w:val="16"/>
        </w:rPr>
        <w:t>The host country usually grants complete freedom from host-country governmental banking regulations.</w:t>
      </w:r>
      <w:r>
        <w:rPr>
          <w:rFonts w:ascii="Times New Roman" w:hAnsi="Times New Roman" w:cs="Times New Roman"/>
          <w:sz w:val="16"/>
          <w:szCs w:val="16"/>
        </w:rPr>
        <w:t xml:space="preserve"> </w:t>
      </w:r>
      <w:r w:rsidRPr="00831FEA">
        <w:rPr>
          <w:rFonts w:ascii="Times New Roman" w:hAnsi="Times New Roman" w:cs="Times New Roman"/>
          <w:sz w:val="16"/>
          <w:szCs w:val="16"/>
        </w:rPr>
        <w:t>The IMF recognizes as major offshore banking centers</w:t>
      </w:r>
      <w:r>
        <w:rPr>
          <w:rFonts w:ascii="Times New Roman" w:hAnsi="Times New Roman" w:cs="Times New Roman"/>
          <w:sz w:val="16"/>
          <w:szCs w:val="16"/>
        </w:rPr>
        <w:t xml:space="preserve">. </w:t>
      </w:r>
      <w:r w:rsidRPr="00831FEA">
        <w:rPr>
          <w:rFonts w:ascii="Times New Roman" w:hAnsi="Times New Roman" w:cs="Times New Roman"/>
          <w:b/>
          <w:sz w:val="16"/>
          <w:szCs w:val="16"/>
        </w:rPr>
        <w:t>Offshore Financial Centers</w:t>
      </w:r>
      <w:r>
        <w:rPr>
          <w:rFonts w:ascii="Times New Roman" w:hAnsi="Times New Roman" w:cs="Times New Roman"/>
          <w:b/>
          <w:sz w:val="16"/>
          <w:szCs w:val="16"/>
        </w:rPr>
        <w:t xml:space="preserve">: </w:t>
      </w:r>
      <w:proofErr w:type="gramStart"/>
      <w:r>
        <w:rPr>
          <w:rFonts w:ascii="Times New Roman" w:hAnsi="Times New Roman" w:cs="Times New Roman"/>
          <w:sz w:val="16"/>
          <w:szCs w:val="16"/>
        </w:rPr>
        <w:t>purpose:</w:t>
      </w:r>
      <w:proofErr w:type="gramEnd"/>
      <w:r>
        <w:rPr>
          <w:rFonts w:ascii="Times New Roman" w:hAnsi="Times New Roman" w:cs="Times New Roman"/>
          <w:sz w:val="16"/>
          <w:szCs w:val="16"/>
        </w:rPr>
        <w:t xml:space="preserve"> </w:t>
      </w:r>
      <w:r w:rsidRPr="00831FEA">
        <w:rPr>
          <w:rFonts w:ascii="Times New Roman" w:hAnsi="Times New Roman" w:cs="Times New Roman"/>
          <w:sz w:val="16"/>
          <w:szCs w:val="16"/>
        </w:rPr>
        <w:t xml:space="preserve">deferral of taxable </w:t>
      </w:r>
      <w:r>
        <w:rPr>
          <w:rFonts w:ascii="Times New Roman" w:hAnsi="Times New Roman" w:cs="Times New Roman"/>
          <w:sz w:val="16"/>
          <w:szCs w:val="16"/>
        </w:rPr>
        <w:t>income on foreign-source income</w:t>
      </w:r>
      <w:r>
        <w:rPr>
          <w:rFonts w:ascii="Times New Roman" w:hAnsi="Times New Roman" w:cs="Times New Roman" w:hint="eastAsia"/>
          <w:sz w:val="16"/>
          <w:szCs w:val="16"/>
        </w:rPr>
        <w:t xml:space="preserve">, </w:t>
      </w:r>
      <w:r w:rsidRPr="00831FEA">
        <w:rPr>
          <w:rFonts w:ascii="Times New Roman" w:hAnsi="Times New Roman" w:cs="Times New Roman"/>
          <w:sz w:val="16"/>
          <w:szCs w:val="16"/>
        </w:rPr>
        <w:t>preferably indefinitely</w:t>
      </w:r>
      <w:r>
        <w:rPr>
          <w:rFonts w:ascii="Times New Roman" w:hAnsi="Times New Roman" w:cs="Times New Roman"/>
          <w:sz w:val="16"/>
          <w:szCs w:val="16"/>
        </w:rPr>
        <w:t xml:space="preserve">. </w:t>
      </w:r>
      <w:r w:rsidRPr="00831FEA">
        <w:rPr>
          <w:rFonts w:ascii="Times New Roman" w:hAnsi="Times New Roman" w:cs="Times New Roman"/>
          <w:b/>
          <w:sz w:val="16"/>
          <w:szCs w:val="16"/>
        </w:rPr>
        <w:t>Bank capital adequacy</w:t>
      </w:r>
      <w:r w:rsidRPr="00831FEA">
        <w:rPr>
          <w:rFonts w:ascii="Times New Roman" w:hAnsi="Times New Roman" w:cs="Times New Roman"/>
          <w:sz w:val="16"/>
          <w:szCs w:val="16"/>
        </w:rPr>
        <w:t xml:space="preserve"> refers to the amount of equity capital and other securities a bank holds as reserves.</w:t>
      </w:r>
      <w:r>
        <w:rPr>
          <w:rFonts w:ascii="Times New Roman" w:hAnsi="Times New Roman" w:cs="Times New Roman"/>
          <w:sz w:val="16"/>
          <w:szCs w:val="16"/>
        </w:rPr>
        <w:t xml:space="preserve"> </w:t>
      </w:r>
      <w:r w:rsidRPr="00831FEA">
        <w:rPr>
          <w:rFonts w:ascii="Times New Roman" w:hAnsi="Times New Roman" w:cs="Times New Roman"/>
          <w:b/>
          <w:sz w:val="16"/>
          <w:szCs w:val="16"/>
        </w:rPr>
        <w:t>Eurocurrency</w:t>
      </w:r>
      <w:r w:rsidRPr="00831FEA">
        <w:rPr>
          <w:rFonts w:ascii="Times New Roman" w:hAnsi="Times New Roman" w:cs="Times New Roman"/>
          <w:sz w:val="16"/>
          <w:szCs w:val="16"/>
        </w:rPr>
        <w:t xml:space="preserve"> is a time deposit in an international bank located in a country different </w:t>
      </w:r>
      <w:proofErr w:type="gramStart"/>
      <w:r w:rsidRPr="00831FEA">
        <w:rPr>
          <w:rFonts w:ascii="Times New Roman" w:hAnsi="Times New Roman" w:cs="Times New Roman"/>
          <w:sz w:val="16"/>
          <w:szCs w:val="16"/>
        </w:rPr>
        <w:t>than</w:t>
      </w:r>
      <w:proofErr w:type="gramEnd"/>
      <w:r w:rsidRPr="00831FEA">
        <w:rPr>
          <w:rFonts w:ascii="Times New Roman" w:hAnsi="Times New Roman" w:cs="Times New Roman"/>
          <w:sz w:val="16"/>
          <w:szCs w:val="16"/>
        </w:rPr>
        <w:t xml:space="preserve"> the country that issued the currency.</w:t>
      </w:r>
      <w:r>
        <w:rPr>
          <w:rFonts w:ascii="Times New Roman" w:hAnsi="Times New Roman" w:cs="Times New Roman"/>
          <w:sz w:val="16"/>
          <w:szCs w:val="16"/>
        </w:rPr>
        <w:t xml:space="preserve"> </w:t>
      </w:r>
      <w:r w:rsidRPr="00831FEA">
        <w:rPr>
          <w:rFonts w:ascii="Times New Roman" w:hAnsi="Times New Roman" w:cs="Times New Roman"/>
          <w:b/>
          <w:sz w:val="16"/>
          <w:szCs w:val="16"/>
        </w:rPr>
        <w:t>LIBOR t</w:t>
      </w:r>
      <w:r w:rsidRPr="00831FEA">
        <w:rPr>
          <w:rFonts w:ascii="Times New Roman" w:hAnsi="Times New Roman" w:cs="Times New Roman"/>
          <w:sz w:val="16"/>
          <w:szCs w:val="16"/>
        </w:rPr>
        <w:t>h</w:t>
      </w:r>
      <w:r>
        <w:rPr>
          <w:rFonts w:ascii="Times New Roman" w:hAnsi="Times New Roman" w:cs="Times New Roman"/>
          <w:sz w:val="16"/>
          <w:szCs w:val="16"/>
        </w:rPr>
        <w:t>e London Interbank Offered Rate///</w:t>
      </w:r>
      <w:r w:rsidRPr="00831FEA">
        <w:rPr>
          <w:rFonts w:ascii="Times New Roman" w:hAnsi="Times New Roman" w:cs="Times New Roman"/>
          <w:b/>
          <w:sz w:val="16"/>
          <w:szCs w:val="16"/>
        </w:rPr>
        <w:t>PIBOR</w:t>
      </w:r>
      <w:r w:rsidRPr="00831FEA">
        <w:rPr>
          <w:rFonts w:ascii="Times New Roman" w:hAnsi="Times New Roman" w:cs="Times New Roman"/>
          <w:sz w:val="16"/>
          <w:szCs w:val="16"/>
        </w:rPr>
        <w:t xml:space="preserve"> t</w:t>
      </w:r>
      <w:r>
        <w:rPr>
          <w:rFonts w:ascii="Times New Roman" w:hAnsi="Times New Roman" w:cs="Times New Roman"/>
          <w:sz w:val="16"/>
          <w:szCs w:val="16"/>
        </w:rPr>
        <w:t>he Paris Interbank Offered Rate</w:t>
      </w:r>
      <w:r>
        <w:rPr>
          <w:rFonts w:ascii="Times New Roman" w:hAnsi="Times New Roman" w:cs="Times New Roman" w:hint="eastAsia"/>
          <w:sz w:val="16"/>
          <w:szCs w:val="16"/>
        </w:rPr>
        <w:t>///</w:t>
      </w:r>
      <w:r w:rsidRPr="00A05D40">
        <w:rPr>
          <w:rFonts w:ascii="Times New Roman" w:hAnsi="Times New Roman" w:cs="Times New Roman"/>
          <w:b/>
          <w:sz w:val="16"/>
          <w:szCs w:val="16"/>
        </w:rPr>
        <w:t>SIBOR</w:t>
      </w:r>
      <w:r w:rsidRPr="00831FEA">
        <w:rPr>
          <w:rFonts w:ascii="Times New Roman" w:hAnsi="Times New Roman" w:cs="Times New Roman"/>
          <w:sz w:val="16"/>
          <w:szCs w:val="16"/>
        </w:rPr>
        <w:t xml:space="preserve"> the Singapore Interbank Offered Rate</w:t>
      </w:r>
      <w:r>
        <w:rPr>
          <w:rFonts w:ascii="Times New Roman" w:hAnsi="Times New Roman" w:cs="Times New Roman"/>
          <w:sz w:val="16"/>
          <w:szCs w:val="16"/>
        </w:rPr>
        <w:t xml:space="preserve">. </w:t>
      </w:r>
      <w:r w:rsidRPr="00A05D40">
        <w:rPr>
          <w:rFonts w:ascii="Times New Roman" w:hAnsi="Times New Roman" w:cs="Times New Roman"/>
          <w:b/>
          <w:sz w:val="16"/>
          <w:szCs w:val="16"/>
        </w:rPr>
        <w:t>EURIBOR</w:t>
      </w:r>
      <w:r w:rsidRPr="00A05D40">
        <w:rPr>
          <w:rFonts w:ascii="Times New Roman" w:hAnsi="Times New Roman" w:cs="Times New Roman"/>
          <w:sz w:val="16"/>
          <w:szCs w:val="16"/>
        </w:rPr>
        <w:t xml:space="preserve"> the rate at which interbank time deposits of € are offered by one prime bank to another.</w:t>
      </w:r>
      <w:r>
        <w:rPr>
          <w:rFonts w:ascii="Times New Roman" w:hAnsi="Times New Roman" w:cs="Times New Roman"/>
          <w:sz w:val="16"/>
          <w:szCs w:val="16"/>
        </w:rPr>
        <w:t xml:space="preserve"> </w:t>
      </w:r>
      <w:r w:rsidRPr="00A05D40">
        <w:rPr>
          <w:rFonts w:ascii="Times New Roman" w:hAnsi="Times New Roman" w:cs="Times New Roman"/>
          <w:sz w:val="16"/>
          <w:szCs w:val="16"/>
        </w:rPr>
        <w:t>Forward R</w:t>
      </w:r>
      <w:r>
        <w:rPr>
          <w:rFonts w:ascii="Times New Roman" w:hAnsi="Times New Roman" w:cs="Times New Roman"/>
          <w:sz w:val="16"/>
          <w:szCs w:val="16"/>
        </w:rPr>
        <w:t xml:space="preserve">ate Agreements can be used </w:t>
      </w:r>
      <w:proofErr w:type="gramStart"/>
      <w:r>
        <w:rPr>
          <w:rFonts w:ascii="Times New Roman" w:hAnsi="Times New Roman" w:cs="Times New Roman"/>
          <w:sz w:val="16"/>
          <w:szCs w:val="16"/>
        </w:rPr>
        <w:t>to:</w:t>
      </w:r>
      <w:proofErr w:type="gramEnd"/>
      <w:r>
        <w:rPr>
          <w:rFonts w:ascii="Times New Roman" w:hAnsi="Times New Roman" w:cs="Times New Roman"/>
          <w:sz w:val="16"/>
          <w:szCs w:val="16"/>
        </w:rPr>
        <w:t xml:space="preserve"> </w:t>
      </w:r>
      <w:r w:rsidRPr="00A05D40">
        <w:rPr>
          <w:rFonts w:ascii="Times New Roman" w:hAnsi="Times New Roman" w:cs="Times New Roman"/>
          <w:sz w:val="16"/>
          <w:szCs w:val="16"/>
        </w:rPr>
        <w:t>Hedge assets that a bank currently o</w:t>
      </w:r>
      <w:r>
        <w:rPr>
          <w:rFonts w:ascii="Times New Roman" w:hAnsi="Times New Roman" w:cs="Times New Roman"/>
          <w:sz w:val="16"/>
          <w:szCs w:val="16"/>
        </w:rPr>
        <w:t>wns against interest rate risk.</w:t>
      </w:r>
      <w:r>
        <w:rPr>
          <w:rFonts w:ascii="Times New Roman" w:hAnsi="Times New Roman" w:cs="Times New Roman" w:hint="eastAsia"/>
          <w:sz w:val="16"/>
          <w:szCs w:val="16"/>
        </w:rPr>
        <w:t xml:space="preserve"> </w:t>
      </w:r>
      <w:r w:rsidRPr="00A05D40">
        <w:rPr>
          <w:rFonts w:ascii="Times New Roman" w:hAnsi="Times New Roman" w:cs="Times New Roman"/>
          <w:sz w:val="16"/>
          <w:szCs w:val="16"/>
        </w:rPr>
        <w:t>Speculate on the future course of interest rates.</w:t>
      </w:r>
      <w:r>
        <w:rPr>
          <w:rFonts w:ascii="Times New Roman" w:hAnsi="Times New Roman" w:cs="Times New Roman"/>
          <w:sz w:val="16"/>
          <w:szCs w:val="16"/>
        </w:rPr>
        <w:t xml:space="preserve"> </w:t>
      </w:r>
      <w:proofErr w:type="spellStart"/>
      <w:r w:rsidRPr="00A05D40">
        <w:rPr>
          <w:rFonts w:ascii="Times New Roman" w:hAnsi="Times New Roman" w:cs="Times New Roman"/>
          <w:b/>
          <w:sz w:val="16"/>
          <w:szCs w:val="16"/>
        </w:rPr>
        <w:t>Euronotes</w:t>
      </w:r>
      <w:proofErr w:type="spellEnd"/>
      <w:r w:rsidRPr="00A05D40">
        <w:rPr>
          <w:rFonts w:ascii="Times New Roman" w:hAnsi="Times New Roman" w:cs="Times New Roman"/>
          <w:sz w:val="16"/>
          <w:szCs w:val="16"/>
        </w:rPr>
        <w:t xml:space="preserve"> are short-term notes underwritten by a group of international investment banks or international commercial banks.</w:t>
      </w:r>
      <w:r>
        <w:rPr>
          <w:rFonts w:ascii="Times New Roman" w:hAnsi="Times New Roman" w:cs="Times New Roman"/>
          <w:sz w:val="16"/>
          <w:szCs w:val="16"/>
        </w:rPr>
        <w:t xml:space="preserve"> </w:t>
      </w:r>
      <w:proofErr w:type="gramStart"/>
      <w:r w:rsidRPr="00A05D40">
        <w:rPr>
          <w:rFonts w:ascii="Times New Roman" w:hAnsi="Times New Roman" w:cs="Times New Roman"/>
          <w:b/>
          <w:sz w:val="16"/>
          <w:szCs w:val="16"/>
        </w:rPr>
        <w:t>1980</w:t>
      </w:r>
      <w:proofErr w:type="gramEnd"/>
      <w:r w:rsidRPr="00A05D40">
        <w:rPr>
          <w:rFonts w:ascii="Times New Roman" w:hAnsi="Times New Roman" w:cs="Times New Roman"/>
          <w:b/>
          <w:sz w:val="16"/>
          <w:szCs w:val="16"/>
        </w:rPr>
        <w:t>’s Latin American Debt</w:t>
      </w:r>
      <w:r>
        <w:rPr>
          <w:rFonts w:ascii="Times New Roman" w:hAnsi="Times New Roman" w:cs="Times New Roman"/>
          <w:b/>
          <w:sz w:val="16"/>
          <w:szCs w:val="16"/>
        </w:rPr>
        <w:t>:</w:t>
      </w:r>
      <w:r w:rsidRPr="00A05D40">
        <w:rPr>
          <w:rFonts w:ascii="Times New Roman" w:hAnsi="Times New Roman" w:cs="Times New Roman"/>
          <w:sz w:val="16"/>
          <w:szCs w:val="16"/>
        </w:rPr>
        <w:t xml:space="preserve"> Some of the largest banks in the world were endangered when loans to sovereign governments of some less-developed countries.</w:t>
      </w:r>
      <w:r>
        <w:rPr>
          <w:rFonts w:ascii="Times New Roman" w:hAnsi="Times New Roman" w:cs="Times New Roman"/>
          <w:sz w:val="16"/>
          <w:szCs w:val="16"/>
        </w:rPr>
        <w:t xml:space="preserve"> </w:t>
      </w:r>
      <w:r w:rsidRPr="00D80B23">
        <w:rPr>
          <w:rFonts w:ascii="Times New Roman" w:hAnsi="Times New Roman" w:cs="Times New Roman"/>
          <w:b/>
          <w:sz w:val="16"/>
          <w:szCs w:val="16"/>
        </w:rPr>
        <w:t>Debt-for-Equity Swaps</w:t>
      </w:r>
      <w:r>
        <w:rPr>
          <w:rFonts w:ascii="Times New Roman" w:hAnsi="Times New Roman" w:cs="Times New Roman"/>
          <w:b/>
          <w:sz w:val="16"/>
          <w:szCs w:val="16"/>
        </w:rPr>
        <w:t xml:space="preserve"> </w:t>
      </w:r>
      <w:r w:rsidRPr="00D80B23">
        <w:rPr>
          <w:rFonts w:ascii="Times New Roman" w:hAnsi="Times New Roman" w:cs="Times New Roman"/>
          <w:sz w:val="16"/>
          <w:szCs w:val="16"/>
        </w:rPr>
        <w:t>As part of debt rescheduling agreements among the bank lending syndicates and the debtor nations, creditor banks would sell their loans for U.S. dollars at discounts from face value to MNCs desiring to make equity investment in subsidiaries or local firms in the LDCs.</w:t>
      </w:r>
      <w:r>
        <w:rPr>
          <w:rFonts w:ascii="Times New Roman" w:hAnsi="Times New Roman" w:cs="Times New Roman"/>
          <w:sz w:val="16"/>
          <w:szCs w:val="16"/>
        </w:rPr>
        <w:t xml:space="preserve"> </w:t>
      </w:r>
      <w:r w:rsidRPr="00D80B23">
        <w:rPr>
          <w:rFonts w:ascii="Times New Roman" w:hAnsi="Times New Roman" w:cs="Times New Roman"/>
          <w:sz w:val="16"/>
          <w:szCs w:val="16"/>
        </w:rPr>
        <w:t>A LDC central bank would buy the bank debt from a MNC at a smaller discount than the MNC paid, but in local currency.</w:t>
      </w:r>
      <w:r>
        <w:rPr>
          <w:rFonts w:ascii="Times New Roman" w:hAnsi="Times New Roman" w:cs="Times New Roman"/>
          <w:sz w:val="16"/>
          <w:szCs w:val="16"/>
        </w:rPr>
        <w:t xml:space="preserve"> </w:t>
      </w:r>
      <w:r w:rsidRPr="00D80B23">
        <w:rPr>
          <w:rFonts w:ascii="Times New Roman" w:hAnsi="Times New Roman" w:cs="Times New Roman"/>
          <w:sz w:val="16"/>
          <w:szCs w:val="16"/>
        </w:rPr>
        <w:t xml:space="preserve">The MNC would use the local currency to </w:t>
      </w:r>
      <w:proofErr w:type="gramStart"/>
      <w:r w:rsidRPr="00D80B23">
        <w:rPr>
          <w:rFonts w:ascii="Times New Roman" w:hAnsi="Times New Roman" w:cs="Times New Roman"/>
          <w:sz w:val="16"/>
          <w:szCs w:val="16"/>
        </w:rPr>
        <w:t>make  pre</w:t>
      </w:r>
      <w:proofErr w:type="gramEnd"/>
      <w:r w:rsidRPr="00D80B23">
        <w:rPr>
          <w:rFonts w:ascii="Times New Roman" w:hAnsi="Times New Roman" w:cs="Times New Roman"/>
          <w:sz w:val="16"/>
          <w:szCs w:val="16"/>
        </w:rPr>
        <w:t>-approved new investment in the LDC that was economically or socially beneficial to the LDC.</w:t>
      </w:r>
      <w:r>
        <w:rPr>
          <w:rFonts w:ascii="Times New Roman" w:hAnsi="Times New Roman" w:cs="Times New Roman"/>
          <w:sz w:val="16"/>
          <w:szCs w:val="16"/>
        </w:rPr>
        <w:t xml:space="preserve"> </w:t>
      </w:r>
    </w:p>
    <w:p w:rsidR="00F10365" w:rsidRPr="00221D55" w:rsidRDefault="00F10365" w:rsidP="00F10365">
      <w:pPr>
        <w:rPr>
          <w:rFonts w:ascii="Times New Roman" w:hAnsi="Times New Roman" w:cs="Times New Roman"/>
          <w:sz w:val="16"/>
          <w:szCs w:val="16"/>
        </w:rPr>
      </w:pPr>
      <w:proofErr w:type="gramStart"/>
      <w:r>
        <w:rPr>
          <w:rFonts w:ascii="Times New Roman" w:hAnsi="Times New Roman" w:cs="Times New Roman"/>
          <w:sz w:val="16"/>
          <w:szCs w:val="16"/>
        </w:rPr>
        <w:t>[</w:t>
      </w:r>
      <w:r>
        <w:rPr>
          <w:rFonts w:ascii="Times New Roman" w:hAnsi="Times New Roman" w:cs="Times New Roman" w:hint="eastAsia"/>
          <w:sz w:val="16"/>
          <w:szCs w:val="16"/>
        </w:rPr>
        <w:t xml:space="preserve"> </w:t>
      </w:r>
      <w:r>
        <w:rPr>
          <w:rFonts w:ascii="Times New Roman" w:hAnsi="Times New Roman" w:cs="Times New Roman"/>
          <w:b/>
          <w:sz w:val="16"/>
          <w:szCs w:val="16"/>
        </w:rPr>
        <w:t>CH</w:t>
      </w:r>
      <w:proofErr w:type="gramEnd"/>
      <w:r>
        <w:rPr>
          <w:rFonts w:ascii="Times New Roman" w:hAnsi="Times New Roman" w:cs="Times New Roman"/>
          <w:b/>
          <w:sz w:val="16"/>
          <w:szCs w:val="16"/>
        </w:rPr>
        <w:t xml:space="preserve"> 7] Foreign bond</w:t>
      </w:r>
      <w:r>
        <w:rPr>
          <w:rFonts w:ascii="Times New Roman" w:hAnsi="Times New Roman" w:cs="Times New Roman"/>
          <w:sz w:val="16"/>
          <w:szCs w:val="16"/>
        </w:rPr>
        <w:t xml:space="preserve">: </w:t>
      </w:r>
      <w:r w:rsidRPr="00221D55">
        <w:rPr>
          <w:rFonts w:ascii="Times New Roman" w:hAnsi="Times New Roman" w:cs="Times New Roman"/>
          <w:sz w:val="16"/>
          <w:szCs w:val="16"/>
        </w:rPr>
        <w:t>one offered by a foreign borrower to investors in a national market and denominated in that nation's currency</w:t>
      </w:r>
      <w:r>
        <w:rPr>
          <w:rFonts w:ascii="Times New Roman" w:hAnsi="Times New Roman" w:cs="Times New Roman"/>
          <w:sz w:val="16"/>
          <w:szCs w:val="16"/>
        </w:rPr>
        <w:t xml:space="preserve">. </w:t>
      </w:r>
      <w:r>
        <w:rPr>
          <w:rFonts w:ascii="Times New Roman" w:hAnsi="Times New Roman" w:cs="Times New Roman"/>
          <w:b/>
          <w:sz w:val="16"/>
          <w:szCs w:val="16"/>
        </w:rPr>
        <w:t>Eurobond</w:t>
      </w:r>
      <w:r>
        <w:rPr>
          <w:rFonts w:ascii="Times New Roman" w:hAnsi="Times New Roman" w:cs="Times New Roman"/>
          <w:sz w:val="16"/>
          <w:szCs w:val="16"/>
        </w:rPr>
        <w:t xml:space="preserve">: </w:t>
      </w:r>
      <w:r w:rsidRPr="00221D55">
        <w:rPr>
          <w:rFonts w:ascii="Times New Roman" w:hAnsi="Times New Roman" w:cs="Times New Roman"/>
          <w:sz w:val="16"/>
          <w:szCs w:val="16"/>
        </w:rPr>
        <w:t>one denominated in a particular currency but sold to investors in national capital markets other than the country that i</w:t>
      </w:r>
      <w:r>
        <w:rPr>
          <w:rFonts w:ascii="Times New Roman" w:hAnsi="Times New Roman" w:cs="Times New Roman"/>
          <w:sz w:val="16"/>
          <w:szCs w:val="16"/>
        </w:rPr>
        <w:t xml:space="preserve">ssued the denominating currency. </w:t>
      </w:r>
      <w:proofErr w:type="gramStart"/>
      <w:r>
        <w:rPr>
          <w:rFonts w:ascii="Times New Roman" w:hAnsi="Times New Roman" w:cs="Times New Roman"/>
          <w:sz w:val="16"/>
          <w:szCs w:val="16"/>
        </w:rPr>
        <w:t>AND</w:t>
      </w:r>
      <w:proofErr w:type="gramEnd"/>
      <w:r>
        <w:rPr>
          <w:rFonts w:ascii="Times New Roman" w:hAnsi="Times New Roman" w:cs="Times New Roman"/>
          <w:sz w:val="16"/>
          <w:szCs w:val="16"/>
        </w:rPr>
        <w:t xml:space="preserve"> </w:t>
      </w:r>
      <w:r w:rsidRPr="00221D55">
        <w:rPr>
          <w:rFonts w:ascii="Times New Roman" w:hAnsi="Times New Roman" w:cs="Times New Roman"/>
          <w:sz w:val="16"/>
          <w:szCs w:val="16"/>
        </w:rPr>
        <w:t>usually a bearer bond.</w:t>
      </w:r>
      <w:r>
        <w:rPr>
          <w:rFonts w:ascii="Times New Roman" w:hAnsi="Times New Roman" w:cs="Times New Roman"/>
          <w:sz w:val="16"/>
          <w:szCs w:val="16"/>
        </w:rPr>
        <w:t xml:space="preserve"> </w:t>
      </w:r>
      <w:r>
        <w:rPr>
          <w:rFonts w:ascii="Times New Roman" w:hAnsi="Times New Roman" w:cs="Times New Roman" w:hint="eastAsia"/>
          <w:sz w:val="16"/>
          <w:szCs w:val="16"/>
        </w:rPr>
        <w:t>모두포함</w:t>
      </w:r>
      <w:r>
        <w:rPr>
          <w:rFonts w:ascii="Times New Roman" w:hAnsi="Times New Roman" w:cs="Times New Roman" w:hint="eastAsia"/>
          <w:sz w:val="16"/>
          <w:szCs w:val="16"/>
        </w:rPr>
        <w:t xml:space="preserve"> [80% </w:t>
      </w:r>
      <w:r>
        <w:rPr>
          <w:rFonts w:ascii="Times New Roman" w:hAnsi="Times New Roman" w:cs="Times New Roman" w:hint="eastAsia"/>
          <w:sz w:val="16"/>
          <w:szCs w:val="16"/>
        </w:rPr>
        <w:t>유로본드</w:t>
      </w:r>
      <w:r>
        <w:rPr>
          <w:rFonts w:ascii="Times New Roman" w:hAnsi="Times New Roman" w:cs="Times New Roman" w:hint="eastAsia"/>
          <w:sz w:val="16"/>
          <w:szCs w:val="16"/>
        </w:rPr>
        <w:t>].</w:t>
      </w:r>
      <w:r>
        <w:rPr>
          <w:rFonts w:ascii="Times New Roman" w:hAnsi="Times New Roman" w:cs="Times New Roman"/>
          <w:sz w:val="16"/>
          <w:szCs w:val="16"/>
        </w:rPr>
        <w:t xml:space="preserve"> </w:t>
      </w:r>
      <w:r w:rsidRPr="00221D55">
        <w:rPr>
          <w:rFonts w:ascii="Times New Roman" w:hAnsi="Times New Roman" w:cs="Times New Roman"/>
          <w:b/>
          <w:sz w:val="16"/>
          <w:szCs w:val="16"/>
        </w:rPr>
        <w:t xml:space="preserve">Bearer bond </w:t>
      </w:r>
      <w:r>
        <w:rPr>
          <w:rFonts w:ascii="Times New Roman" w:hAnsi="Times New Roman" w:cs="Times New Roman"/>
          <w:sz w:val="16"/>
          <w:szCs w:val="16"/>
        </w:rPr>
        <w:t xml:space="preserve">is </w:t>
      </w:r>
      <w:r w:rsidRPr="00221D55">
        <w:rPr>
          <w:rFonts w:ascii="Times New Roman" w:hAnsi="Times New Roman" w:cs="Times New Roman"/>
          <w:sz w:val="16"/>
          <w:szCs w:val="16"/>
        </w:rPr>
        <w:t>which mere possession is an evidence of the ownership</w:t>
      </w:r>
      <w:r>
        <w:rPr>
          <w:rFonts w:ascii="Times New Roman" w:hAnsi="Times New Roman" w:cs="Times New Roman"/>
          <w:sz w:val="16"/>
          <w:szCs w:val="16"/>
        </w:rPr>
        <w:t xml:space="preserve">. </w:t>
      </w:r>
      <w:r>
        <w:rPr>
          <w:rFonts w:ascii="Times New Roman" w:hAnsi="Times New Roman" w:cs="Times New Roman"/>
          <w:b/>
          <w:sz w:val="16"/>
          <w:szCs w:val="16"/>
        </w:rPr>
        <w:t xml:space="preserve">Global bond is </w:t>
      </w:r>
      <w:r w:rsidRPr="00221D55">
        <w:rPr>
          <w:rFonts w:ascii="Times New Roman" w:hAnsi="Times New Roman" w:cs="Times New Roman"/>
          <w:sz w:val="16"/>
          <w:szCs w:val="16"/>
        </w:rPr>
        <w:t xml:space="preserve">a very large international bond offering by a single borrower that </w:t>
      </w:r>
      <w:proofErr w:type="gramStart"/>
      <w:r w:rsidRPr="00221D55">
        <w:rPr>
          <w:rFonts w:ascii="Times New Roman" w:hAnsi="Times New Roman" w:cs="Times New Roman"/>
          <w:sz w:val="16"/>
          <w:szCs w:val="16"/>
        </w:rPr>
        <w:t>is simultaneously sold</w:t>
      </w:r>
      <w:proofErr w:type="gramEnd"/>
      <w:r w:rsidRPr="00221D55">
        <w:rPr>
          <w:rFonts w:ascii="Times New Roman" w:hAnsi="Times New Roman" w:cs="Times New Roman"/>
          <w:sz w:val="16"/>
          <w:szCs w:val="16"/>
        </w:rPr>
        <w:t xml:space="preserve"> in several national bond markets.</w:t>
      </w:r>
      <w:r>
        <w:rPr>
          <w:rFonts w:ascii="Times New Roman" w:hAnsi="Times New Roman" w:cs="Times New Roman"/>
          <w:sz w:val="16"/>
          <w:szCs w:val="16"/>
        </w:rPr>
        <w:t xml:space="preserve"> </w:t>
      </w:r>
      <w:r w:rsidRPr="00221D55">
        <w:rPr>
          <w:rFonts w:ascii="Times New Roman" w:hAnsi="Times New Roman" w:cs="Times New Roman"/>
          <w:b/>
          <w:sz w:val="16"/>
          <w:szCs w:val="16"/>
        </w:rPr>
        <w:t>Eurobond</w:t>
      </w:r>
      <w:r>
        <w:rPr>
          <w:rFonts w:ascii="Times New Roman" w:hAnsi="Times New Roman" w:cs="Times New Roman"/>
          <w:sz w:val="16"/>
          <w:szCs w:val="16"/>
        </w:rPr>
        <w:t xml:space="preserve"> can be denominated by any currency. </w:t>
      </w:r>
      <w:r>
        <w:rPr>
          <w:rFonts w:ascii="Times New Roman" w:hAnsi="Times New Roman" w:cs="Times New Roman"/>
          <w:b/>
          <w:sz w:val="16"/>
          <w:szCs w:val="16"/>
        </w:rPr>
        <w:t xml:space="preserve">Shelf </w:t>
      </w:r>
      <w:proofErr w:type="gramStart"/>
      <w:r>
        <w:rPr>
          <w:rFonts w:ascii="Times New Roman" w:hAnsi="Times New Roman" w:cs="Times New Roman"/>
          <w:b/>
          <w:sz w:val="16"/>
          <w:szCs w:val="16"/>
        </w:rPr>
        <w:t>registration</w:t>
      </w:r>
      <w:proofErr w:type="gramEnd"/>
      <w:r>
        <w:rPr>
          <w:rFonts w:ascii="Times New Roman" w:hAnsi="Times New Roman" w:cs="Times New Roman"/>
          <w:sz w:val="16"/>
          <w:szCs w:val="16"/>
        </w:rPr>
        <w:t xml:space="preserve"> is </w:t>
      </w:r>
      <w:proofErr w:type="gramStart"/>
      <w:r>
        <w:rPr>
          <w:rFonts w:ascii="Times New Roman" w:hAnsi="Times New Roman" w:cs="Times New Roman"/>
          <w:sz w:val="16"/>
          <w:szCs w:val="16"/>
        </w:rPr>
        <w:t>when</w:t>
      </w:r>
      <w:proofErr w:type="gramEnd"/>
      <w:r>
        <w:rPr>
          <w:rFonts w:ascii="Times New Roman" w:hAnsi="Times New Roman" w:cs="Times New Roman"/>
          <w:sz w:val="16"/>
          <w:szCs w:val="16"/>
        </w:rPr>
        <w:t xml:space="preserve"> an issuer allows preregistration of securities issue and then shelve the securities for later sale. </w:t>
      </w:r>
      <w:r>
        <w:rPr>
          <w:rFonts w:ascii="Times New Roman" w:hAnsi="Times New Roman" w:cs="Times New Roman"/>
          <w:b/>
          <w:sz w:val="16"/>
          <w:szCs w:val="16"/>
        </w:rPr>
        <w:t>Withholding taxes</w:t>
      </w:r>
      <w:r>
        <w:rPr>
          <w:rFonts w:ascii="Times New Roman" w:hAnsi="Times New Roman" w:cs="Times New Roman"/>
          <w:sz w:val="16"/>
          <w:szCs w:val="16"/>
        </w:rPr>
        <w:t xml:space="preserve"> are taxes on interest paid by nonresidents. </w:t>
      </w:r>
      <w:r>
        <w:rPr>
          <w:rFonts w:ascii="Times New Roman" w:hAnsi="Times New Roman" w:cs="Times New Roman"/>
          <w:b/>
          <w:sz w:val="16"/>
          <w:szCs w:val="16"/>
        </w:rPr>
        <w:t>Straight-fixed rate bonds</w:t>
      </w:r>
      <w:r>
        <w:rPr>
          <w:rFonts w:ascii="Times New Roman" w:hAnsi="Times New Roman" w:cs="Times New Roman"/>
          <w:sz w:val="16"/>
          <w:szCs w:val="16"/>
        </w:rPr>
        <w:t xml:space="preserve"> are bonds with fixed coupon payments in regular intervals and with designated maturity dates. </w:t>
      </w:r>
      <w:r>
        <w:rPr>
          <w:rFonts w:ascii="Times New Roman" w:hAnsi="Times New Roman" w:cs="Times New Roman"/>
          <w:b/>
          <w:sz w:val="16"/>
          <w:szCs w:val="16"/>
        </w:rPr>
        <w:t>Floating rate notes are b</w:t>
      </w:r>
      <w:r w:rsidRPr="00221D55">
        <w:rPr>
          <w:rFonts w:ascii="Times New Roman" w:hAnsi="Times New Roman" w:cs="Times New Roman"/>
          <w:sz w:val="16"/>
          <w:szCs w:val="16"/>
        </w:rPr>
        <w:t xml:space="preserve">onds with coupon payments </w:t>
      </w:r>
      <w:r>
        <w:rPr>
          <w:rFonts w:ascii="Times New Roman" w:hAnsi="Times New Roman" w:cs="Times New Roman"/>
          <w:sz w:val="16"/>
          <w:szCs w:val="16"/>
        </w:rPr>
        <w:t xml:space="preserve">indexed to some reference rates. </w:t>
      </w:r>
      <w:r w:rsidRPr="00221D55">
        <w:rPr>
          <w:rFonts w:ascii="Times New Roman" w:hAnsi="Times New Roman" w:cs="Times New Roman"/>
          <w:b/>
          <w:sz w:val="16"/>
          <w:szCs w:val="16"/>
        </w:rPr>
        <w:t>Equity-related bonds</w:t>
      </w:r>
      <w:r>
        <w:rPr>
          <w:rFonts w:ascii="Times New Roman" w:hAnsi="Times New Roman" w:cs="Times New Roman"/>
          <w:sz w:val="16"/>
          <w:szCs w:val="16"/>
        </w:rPr>
        <w:t xml:space="preserve"> are type of convertible bonds. </w:t>
      </w:r>
      <w:r>
        <w:rPr>
          <w:rFonts w:ascii="Times New Roman" w:hAnsi="Times New Roman" w:cs="Times New Roman"/>
          <w:b/>
          <w:sz w:val="16"/>
          <w:szCs w:val="16"/>
        </w:rPr>
        <w:t xml:space="preserve">Floating-rate </w:t>
      </w:r>
      <w:proofErr w:type="gramStart"/>
      <w:r>
        <w:rPr>
          <w:rFonts w:ascii="Times New Roman" w:hAnsi="Times New Roman" w:cs="Times New Roman"/>
          <w:b/>
          <w:sz w:val="16"/>
          <w:szCs w:val="16"/>
        </w:rPr>
        <w:t>notes(</w:t>
      </w:r>
      <w:proofErr w:type="gramEnd"/>
      <w:r>
        <w:rPr>
          <w:rFonts w:ascii="Times New Roman" w:hAnsi="Times New Roman" w:cs="Times New Roman"/>
          <w:b/>
          <w:sz w:val="16"/>
          <w:szCs w:val="16"/>
        </w:rPr>
        <w:t xml:space="preserve">FRN) </w:t>
      </w:r>
      <w:r>
        <w:rPr>
          <w:rFonts w:ascii="Times New Roman" w:hAnsi="Times New Roman" w:cs="Times New Roman"/>
          <w:sz w:val="16"/>
          <w:szCs w:val="16"/>
        </w:rPr>
        <w:t>are medium-term bonds with coupon payments indexed to some reference rate similar to LIBOR</w:t>
      </w:r>
    </w:p>
    <w:p w:rsidR="00F10365" w:rsidRPr="003863E7" w:rsidRDefault="00F10365" w:rsidP="00F10365">
      <w:pPr>
        <w:rPr>
          <w:rFonts w:ascii="Times New Roman" w:hAnsi="Times New Roman" w:cs="Times New Roman"/>
          <w:sz w:val="16"/>
          <w:szCs w:val="16"/>
        </w:rPr>
      </w:pPr>
      <w:r>
        <w:rPr>
          <w:rFonts w:ascii="Times New Roman" w:hAnsi="Times New Roman" w:cs="Times New Roman"/>
          <w:b/>
          <w:sz w:val="16"/>
          <w:szCs w:val="16"/>
        </w:rPr>
        <w:t xml:space="preserve">[CH 8] Primary equity market: </w:t>
      </w:r>
      <w:r w:rsidRPr="003863E7">
        <w:rPr>
          <w:rFonts w:ascii="Times New Roman" w:hAnsi="Times New Roman" w:cs="Times New Roman"/>
          <w:sz w:val="16"/>
          <w:szCs w:val="16"/>
        </w:rPr>
        <w:t>the process by which the firm issues its first publicly traded shares</w:t>
      </w:r>
      <w:r w:rsidRPr="003863E7">
        <w:rPr>
          <w:rFonts w:ascii="Times New Roman" w:hAnsi="Times New Roman" w:cs="Times New Roman"/>
          <w:b/>
          <w:sz w:val="16"/>
          <w:szCs w:val="16"/>
        </w:rPr>
        <w:t>. American Depository Receipts</w:t>
      </w:r>
      <w:r>
        <w:rPr>
          <w:rFonts w:ascii="Times New Roman" w:hAnsi="Times New Roman" w:cs="Times New Roman"/>
          <w:b/>
          <w:sz w:val="16"/>
          <w:szCs w:val="16"/>
        </w:rPr>
        <w:t xml:space="preserve">: </w:t>
      </w:r>
      <w:r w:rsidRPr="003863E7">
        <w:rPr>
          <w:rFonts w:ascii="Times New Roman" w:hAnsi="Times New Roman" w:cs="Times New Roman"/>
          <w:sz w:val="16"/>
          <w:szCs w:val="16"/>
        </w:rPr>
        <w:t>Foreign stocks often trade on</w:t>
      </w:r>
      <w:r w:rsidRPr="003863E7">
        <w:rPr>
          <w:rFonts w:ascii="Times New Roman" w:hAnsi="Times New Roman" w:cs="Times New Roman"/>
          <w:b/>
          <w:sz w:val="16"/>
          <w:szCs w:val="16"/>
        </w:rPr>
        <w:t xml:space="preserve"> </w:t>
      </w:r>
      <w:r>
        <w:rPr>
          <w:rFonts w:ascii="Times New Roman" w:hAnsi="Times New Roman" w:cs="Times New Roman"/>
          <w:sz w:val="16"/>
          <w:szCs w:val="16"/>
        </w:rPr>
        <w:t>U.S. exchanges as ADRs.</w:t>
      </w:r>
      <w:r>
        <w:rPr>
          <w:rFonts w:ascii="Times New Roman" w:hAnsi="Times New Roman" w:cs="Times New Roman" w:hint="eastAsia"/>
          <w:sz w:val="16"/>
          <w:szCs w:val="16"/>
        </w:rPr>
        <w:t xml:space="preserve"> </w:t>
      </w:r>
      <w:proofErr w:type="gramStart"/>
      <w:r>
        <w:rPr>
          <w:rFonts w:ascii="Times New Roman" w:hAnsi="Times New Roman" w:cs="Times New Roman"/>
          <w:sz w:val="16"/>
          <w:szCs w:val="16"/>
        </w:rPr>
        <w:t>And</w:t>
      </w:r>
      <w:proofErr w:type="gramEnd"/>
      <w:r>
        <w:rPr>
          <w:rFonts w:ascii="Times New Roman" w:hAnsi="Times New Roman" w:cs="Times New Roman"/>
          <w:sz w:val="16"/>
          <w:szCs w:val="16"/>
        </w:rPr>
        <w:t xml:space="preserve"> </w:t>
      </w:r>
      <w:r w:rsidRPr="003863E7">
        <w:rPr>
          <w:rFonts w:ascii="Times New Roman" w:hAnsi="Times New Roman" w:cs="Times New Roman"/>
          <w:sz w:val="16"/>
          <w:szCs w:val="16"/>
        </w:rPr>
        <w:t>It is a receipt that represents the number of foreign shares tha</w:t>
      </w:r>
      <w:r>
        <w:rPr>
          <w:rFonts w:ascii="Times New Roman" w:hAnsi="Times New Roman" w:cs="Times New Roman"/>
          <w:sz w:val="16"/>
          <w:szCs w:val="16"/>
        </w:rPr>
        <w:t>t are deposited at a U.S. bank.</w:t>
      </w:r>
      <w:r>
        <w:rPr>
          <w:rFonts w:ascii="Times New Roman" w:hAnsi="Times New Roman" w:cs="Times New Roman" w:hint="eastAsia"/>
          <w:sz w:val="16"/>
          <w:szCs w:val="16"/>
        </w:rPr>
        <w:t xml:space="preserve"> </w:t>
      </w:r>
      <w:proofErr w:type="gramStart"/>
      <w:r>
        <w:rPr>
          <w:rFonts w:ascii="Times New Roman" w:hAnsi="Times New Roman" w:cs="Times New Roman"/>
          <w:sz w:val="16"/>
          <w:szCs w:val="16"/>
        </w:rPr>
        <w:t>And</w:t>
      </w:r>
      <w:proofErr w:type="gramEnd"/>
      <w:r>
        <w:rPr>
          <w:rFonts w:ascii="Times New Roman" w:hAnsi="Times New Roman" w:cs="Times New Roman"/>
          <w:sz w:val="16"/>
          <w:szCs w:val="16"/>
        </w:rPr>
        <w:t xml:space="preserve"> </w:t>
      </w:r>
      <w:r w:rsidRPr="003863E7">
        <w:rPr>
          <w:rFonts w:ascii="Times New Roman" w:hAnsi="Times New Roman" w:cs="Times New Roman"/>
          <w:sz w:val="16"/>
          <w:szCs w:val="16"/>
        </w:rPr>
        <w:t>The bank serves as a transfer agent for the ADRs</w:t>
      </w:r>
      <w:r>
        <w:rPr>
          <w:rFonts w:ascii="Times New Roman" w:hAnsi="Times New Roman" w:cs="Times New Roman"/>
          <w:sz w:val="16"/>
          <w:szCs w:val="16"/>
        </w:rPr>
        <w:t xml:space="preserve">. </w:t>
      </w:r>
      <w:r>
        <w:rPr>
          <w:rFonts w:ascii="Times New Roman" w:hAnsi="Times New Roman" w:cs="Times New Roman"/>
          <w:b/>
          <w:sz w:val="16"/>
          <w:szCs w:val="16"/>
        </w:rPr>
        <w:t>ADVANTAGES OF ADR</w:t>
      </w:r>
      <w:r>
        <w:rPr>
          <w:rFonts w:ascii="Times New Roman" w:hAnsi="Times New Roman" w:cs="Times New Roman"/>
          <w:sz w:val="16"/>
          <w:szCs w:val="16"/>
        </w:rPr>
        <w:t xml:space="preserve"> </w:t>
      </w:r>
      <w:r w:rsidRPr="003863E7">
        <w:rPr>
          <w:rFonts w:ascii="Times New Roman" w:hAnsi="Times New Roman" w:cs="Times New Roman"/>
          <w:sz w:val="16"/>
          <w:szCs w:val="16"/>
        </w:rPr>
        <w:t>ADRs are denominated in U.S. dollars, trade on U.S. exchanges and can be</w:t>
      </w:r>
      <w:r>
        <w:rPr>
          <w:rFonts w:ascii="Times New Roman" w:hAnsi="Times New Roman" w:cs="Times New Roman"/>
          <w:sz w:val="16"/>
          <w:szCs w:val="16"/>
        </w:rPr>
        <w:t xml:space="preserve"> bought through any broker.</w:t>
      </w:r>
      <w:r w:rsidRPr="003863E7">
        <w:rPr>
          <w:rFonts w:ascii="Times New Roman" w:hAnsi="Times New Roman" w:cs="Times New Roman"/>
          <w:sz w:val="16"/>
          <w:szCs w:val="16"/>
        </w:rPr>
        <w:t xml:space="preserve"> Div</w:t>
      </w:r>
      <w:r>
        <w:rPr>
          <w:rFonts w:ascii="Times New Roman" w:hAnsi="Times New Roman" w:cs="Times New Roman"/>
          <w:sz w:val="16"/>
          <w:szCs w:val="16"/>
        </w:rPr>
        <w:t xml:space="preserve">idends </w:t>
      </w:r>
      <w:proofErr w:type="gramStart"/>
      <w:r>
        <w:rPr>
          <w:rFonts w:ascii="Times New Roman" w:hAnsi="Times New Roman" w:cs="Times New Roman"/>
          <w:sz w:val="16"/>
          <w:szCs w:val="16"/>
        </w:rPr>
        <w:t>are paid</w:t>
      </w:r>
      <w:proofErr w:type="gramEnd"/>
      <w:r>
        <w:rPr>
          <w:rFonts w:ascii="Times New Roman" w:hAnsi="Times New Roman" w:cs="Times New Roman"/>
          <w:sz w:val="16"/>
          <w:szCs w:val="16"/>
        </w:rPr>
        <w:t xml:space="preserve"> in U.S. dollars.</w:t>
      </w:r>
      <w:r>
        <w:rPr>
          <w:rFonts w:ascii="Times New Roman" w:hAnsi="Times New Roman" w:cs="Times New Roman" w:hint="eastAsia"/>
          <w:sz w:val="16"/>
          <w:szCs w:val="16"/>
        </w:rPr>
        <w:t xml:space="preserve"> </w:t>
      </w:r>
      <w:proofErr w:type="gramStart"/>
      <w:r w:rsidRPr="003863E7">
        <w:rPr>
          <w:rFonts w:ascii="Times New Roman" w:hAnsi="Times New Roman" w:cs="Times New Roman"/>
          <w:sz w:val="16"/>
          <w:szCs w:val="16"/>
        </w:rPr>
        <w:t>Most underlying stocks are bearer securities</w:t>
      </w:r>
      <w:proofErr w:type="gramEnd"/>
      <w:r w:rsidRPr="003863E7">
        <w:rPr>
          <w:rFonts w:ascii="Times New Roman" w:hAnsi="Times New Roman" w:cs="Times New Roman"/>
          <w:sz w:val="16"/>
          <w:szCs w:val="16"/>
        </w:rPr>
        <w:t xml:space="preserve">, </w:t>
      </w:r>
      <w:proofErr w:type="gramStart"/>
      <w:r w:rsidRPr="003863E7">
        <w:rPr>
          <w:rFonts w:ascii="Times New Roman" w:hAnsi="Times New Roman" w:cs="Times New Roman"/>
          <w:sz w:val="16"/>
          <w:szCs w:val="16"/>
        </w:rPr>
        <w:t>the ADRs are registered</w:t>
      </w:r>
      <w:proofErr w:type="gramEnd"/>
      <w:r w:rsidRPr="003863E7">
        <w:rPr>
          <w:rFonts w:ascii="Times New Roman" w:hAnsi="Times New Roman" w:cs="Times New Roman"/>
          <w:sz w:val="16"/>
          <w:szCs w:val="16"/>
        </w:rPr>
        <w:t>.</w:t>
      </w:r>
    </w:p>
    <w:p w:rsidR="00F10365" w:rsidRPr="003863E7" w:rsidRDefault="00F10365" w:rsidP="00F10365">
      <w:pPr>
        <w:rPr>
          <w:rFonts w:ascii="Times New Roman" w:hAnsi="Times New Roman" w:cs="Times New Roman"/>
          <w:b/>
          <w:sz w:val="16"/>
          <w:szCs w:val="16"/>
        </w:rPr>
      </w:pPr>
    </w:p>
    <w:p w:rsidR="00F10365" w:rsidRPr="00F10365" w:rsidRDefault="00F10365" w:rsidP="00221F02">
      <w:pPr>
        <w:rPr>
          <w:rFonts w:ascii="Times New Roman" w:hAnsi="Times New Roman" w:cs="Times New Roman" w:hint="eastAsia"/>
          <w:sz w:val="16"/>
          <w:szCs w:val="16"/>
        </w:rPr>
      </w:pPr>
    </w:p>
    <w:sectPr w:rsidR="00F10365" w:rsidRPr="00F10365" w:rsidSect="00FE56B5">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5E9"/>
    <w:rsid w:val="00221F02"/>
    <w:rsid w:val="00410129"/>
    <w:rsid w:val="007732D8"/>
    <w:rsid w:val="00795AF6"/>
    <w:rsid w:val="009575E9"/>
    <w:rsid w:val="009B4AA1"/>
    <w:rsid w:val="009D4363"/>
    <w:rsid w:val="00F10365"/>
    <w:rsid w:val="00FE56B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6D39B4-698D-473F-8029-DC53E5BC2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56B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4363">
      <w:bodyDiv w:val="1"/>
      <w:marLeft w:val="0"/>
      <w:marRight w:val="0"/>
      <w:marTop w:val="0"/>
      <w:marBottom w:val="0"/>
      <w:divBdr>
        <w:top w:val="none" w:sz="0" w:space="0" w:color="auto"/>
        <w:left w:val="none" w:sz="0" w:space="0" w:color="auto"/>
        <w:bottom w:val="none" w:sz="0" w:space="0" w:color="auto"/>
        <w:right w:val="none" w:sz="0" w:space="0" w:color="auto"/>
      </w:divBdr>
      <w:divsChild>
        <w:div w:id="1760979955">
          <w:marLeft w:val="475"/>
          <w:marRight w:val="0"/>
          <w:marTop w:val="96"/>
          <w:marBottom w:val="0"/>
          <w:divBdr>
            <w:top w:val="none" w:sz="0" w:space="0" w:color="auto"/>
            <w:left w:val="none" w:sz="0" w:space="0" w:color="auto"/>
            <w:bottom w:val="none" w:sz="0" w:space="0" w:color="auto"/>
            <w:right w:val="none" w:sz="0" w:space="0" w:color="auto"/>
          </w:divBdr>
        </w:div>
      </w:divsChild>
    </w:div>
    <w:div w:id="93289263">
      <w:bodyDiv w:val="1"/>
      <w:marLeft w:val="0"/>
      <w:marRight w:val="0"/>
      <w:marTop w:val="0"/>
      <w:marBottom w:val="0"/>
      <w:divBdr>
        <w:top w:val="none" w:sz="0" w:space="0" w:color="auto"/>
        <w:left w:val="none" w:sz="0" w:space="0" w:color="auto"/>
        <w:bottom w:val="none" w:sz="0" w:space="0" w:color="auto"/>
        <w:right w:val="none" w:sz="0" w:space="0" w:color="auto"/>
      </w:divBdr>
      <w:divsChild>
        <w:div w:id="484014447">
          <w:marLeft w:val="475"/>
          <w:marRight w:val="0"/>
          <w:marTop w:val="96"/>
          <w:marBottom w:val="0"/>
          <w:divBdr>
            <w:top w:val="none" w:sz="0" w:space="0" w:color="auto"/>
            <w:left w:val="none" w:sz="0" w:space="0" w:color="auto"/>
            <w:bottom w:val="none" w:sz="0" w:space="0" w:color="auto"/>
            <w:right w:val="none" w:sz="0" w:space="0" w:color="auto"/>
          </w:divBdr>
        </w:div>
        <w:div w:id="290285425">
          <w:marLeft w:val="475"/>
          <w:marRight w:val="0"/>
          <w:marTop w:val="96"/>
          <w:marBottom w:val="0"/>
          <w:divBdr>
            <w:top w:val="none" w:sz="0" w:space="0" w:color="auto"/>
            <w:left w:val="none" w:sz="0" w:space="0" w:color="auto"/>
            <w:bottom w:val="none" w:sz="0" w:space="0" w:color="auto"/>
            <w:right w:val="none" w:sz="0" w:space="0" w:color="auto"/>
          </w:divBdr>
        </w:div>
      </w:divsChild>
    </w:div>
    <w:div w:id="248470846">
      <w:bodyDiv w:val="1"/>
      <w:marLeft w:val="0"/>
      <w:marRight w:val="0"/>
      <w:marTop w:val="0"/>
      <w:marBottom w:val="0"/>
      <w:divBdr>
        <w:top w:val="none" w:sz="0" w:space="0" w:color="auto"/>
        <w:left w:val="none" w:sz="0" w:space="0" w:color="auto"/>
        <w:bottom w:val="none" w:sz="0" w:space="0" w:color="auto"/>
        <w:right w:val="none" w:sz="0" w:space="0" w:color="auto"/>
      </w:divBdr>
    </w:div>
    <w:div w:id="377750077">
      <w:bodyDiv w:val="1"/>
      <w:marLeft w:val="0"/>
      <w:marRight w:val="0"/>
      <w:marTop w:val="0"/>
      <w:marBottom w:val="0"/>
      <w:divBdr>
        <w:top w:val="none" w:sz="0" w:space="0" w:color="auto"/>
        <w:left w:val="none" w:sz="0" w:space="0" w:color="auto"/>
        <w:bottom w:val="none" w:sz="0" w:space="0" w:color="auto"/>
        <w:right w:val="none" w:sz="0" w:space="0" w:color="auto"/>
      </w:divBdr>
      <w:divsChild>
        <w:div w:id="1929195864">
          <w:marLeft w:val="475"/>
          <w:marRight w:val="0"/>
          <w:marTop w:val="96"/>
          <w:marBottom w:val="0"/>
          <w:divBdr>
            <w:top w:val="none" w:sz="0" w:space="0" w:color="auto"/>
            <w:left w:val="none" w:sz="0" w:space="0" w:color="auto"/>
            <w:bottom w:val="none" w:sz="0" w:space="0" w:color="auto"/>
            <w:right w:val="none" w:sz="0" w:space="0" w:color="auto"/>
          </w:divBdr>
        </w:div>
      </w:divsChild>
    </w:div>
    <w:div w:id="433945576">
      <w:bodyDiv w:val="1"/>
      <w:marLeft w:val="0"/>
      <w:marRight w:val="0"/>
      <w:marTop w:val="0"/>
      <w:marBottom w:val="0"/>
      <w:divBdr>
        <w:top w:val="none" w:sz="0" w:space="0" w:color="auto"/>
        <w:left w:val="none" w:sz="0" w:space="0" w:color="auto"/>
        <w:bottom w:val="none" w:sz="0" w:space="0" w:color="auto"/>
        <w:right w:val="none" w:sz="0" w:space="0" w:color="auto"/>
      </w:divBdr>
      <w:divsChild>
        <w:div w:id="2042388908">
          <w:marLeft w:val="475"/>
          <w:marRight w:val="0"/>
          <w:marTop w:val="96"/>
          <w:marBottom w:val="0"/>
          <w:divBdr>
            <w:top w:val="none" w:sz="0" w:space="0" w:color="auto"/>
            <w:left w:val="none" w:sz="0" w:space="0" w:color="auto"/>
            <w:bottom w:val="none" w:sz="0" w:space="0" w:color="auto"/>
            <w:right w:val="none" w:sz="0" w:space="0" w:color="auto"/>
          </w:divBdr>
        </w:div>
      </w:divsChild>
    </w:div>
    <w:div w:id="443575071">
      <w:bodyDiv w:val="1"/>
      <w:marLeft w:val="0"/>
      <w:marRight w:val="0"/>
      <w:marTop w:val="0"/>
      <w:marBottom w:val="0"/>
      <w:divBdr>
        <w:top w:val="none" w:sz="0" w:space="0" w:color="auto"/>
        <w:left w:val="none" w:sz="0" w:space="0" w:color="auto"/>
        <w:bottom w:val="none" w:sz="0" w:space="0" w:color="auto"/>
        <w:right w:val="none" w:sz="0" w:space="0" w:color="auto"/>
      </w:divBdr>
      <w:divsChild>
        <w:div w:id="1981108026">
          <w:marLeft w:val="475"/>
          <w:marRight w:val="0"/>
          <w:marTop w:val="96"/>
          <w:marBottom w:val="0"/>
          <w:divBdr>
            <w:top w:val="none" w:sz="0" w:space="0" w:color="auto"/>
            <w:left w:val="none" w:sz="0" w:space="0" w:color="auto"/>
            <w:bottom w:val="none" w:sz="0" w:space="0" w:color="auto"/>
            <w:right w:val="none" w:sz="0" w:space="0" w:color="auto"/>
          </w:divBdr>
        </w:div>
        <w:div w:id="583729373">
          <w:marLeft w:val="475"/>
          <w:marRight w:val="0"/>
          <w:marTop w:val="96"/>
          <w:marBottom w:val="0"/>
          <w:divBdr>
            <w:top w:val="none" w:sz="0" w:space="0" w:color="auto"/>
            <w:left w:val="none" w:sz="0" w:space="0" w:color="auto"/>
            <w:bottom w:val="none" w:sz="0" w:space="0" w:color="auto"/>
            <w:right w:val="none" w:sz="0" w:space="0" w:color="auto"/>
          </w:divBdr>
        </w:div>
      </w:divsChild>
    </w:div>
    <w:div w:id="459342572">
      <w:bodyDiv w:val="1"/>
      <w:marLeft w:val="0"/>
      <w:marRight w:val="0"/>
      <w:marTop w:val="0"/>
      <w:marBottom w:val="0"/>
      <w:divBdr>
        <w:top w:val="none" w:sz="0" w:space="0" w:color="auto"/>
        <w:left w:val="none" w:sz="0" w:space="0" w:color="auto"/>
        <w:bottom w:val="none" w:sz="0" w:space="0" w:color="auto"/>
        <w:right w:val="none" w:sz="0" w:space="0" w:color="auto"/>
      </w:divBdr>
      <w:divsChild>
        <w:div w:id="639309513">
          <w:marLeft w:val="475"/>
          <w:marRight w:val="0"/>
          <w:marTop w:val="96"/>
          <w:marBottom w:val="0"/>
          <w:divBdr>
            <w:top w:val="none" w:sz="0" w:space="0" w:color="auto"/>
            <w:left w:val="none" w:sz="0" w:space="0" w:color="auto"/>
            <w:bottom w:val="none" w:sz="0" w:space="0" w:color="auto"/>
            <w:right w:val="none" w:sz="0" w:space="0" w:color="auto"/>
          </w:divBdr>
        </w:div>
        <w:div w:id="1967197436">
          <w:marLeft w:val="1037"/>
          <w:marRight w:val="0"/>
          <w:marTop w:val="86"/>
          <w:marBottom w:val="0"/>
          <w:divBdr>
            <w:top w:val="none" w:sz="0" w:space="0" w:color="auto"/>
            <w:left w:val="none" w:sz="0" w:space="0" w:color="auto"/>
            <w:bottom w:val="none" w:sz="0" w:space="0" w:color="auto"/>
            <w:right w:val="none" w:sz="0" w:space="0" w:color="auto"/>
          </w:divBdr>
        </w:div>
        <w:div w:id="1325357783">
          <w:marLeft w:val="1037"/>
          <w:marRight w:val="0"/>
          <w:marTop w:val="86"/>
          <w:marBottom w:val="0"/>
          <w:divBdr>
            <w:top w:val="none" w:sz="0" w:space="0" w:color="auto"/>
            <w:left w:val="none" w:sz="0" w:space="0" w:color="auto"/>
            <w:bottom w:val="none" w:sz="0" w:space="0" w:color="auto"/>
            <w:right w:val="none" w:sz="0" w:space="0" w:color="auto"/>
          </w:divBdr>
        </w:div>
        <w:div w:id="1258903890">
          <w:marLeft w:val="475"/>
          <w:marRight w:val="0"/>
          <w:marTop w:val="96"/>
          <w:marBottom w:val="0"/>
          <w:divBdr>
            <w:top w:val="none" w:sz="0" w:space="0" w:color="auto"/>
            <w:left w:val="none" w:sz="0" w:space="0" w:color="auto"/>
            <w:bottom w:val="none" w:sz="0" w:space="0" w:color="auto"/>
            <w:right w:val="none" w:sz="0" w:space="0" w:color="auto"/>
          </w:divBdr>
        </w:div>
        <w:div w:id="346559693">
          <w:marLeft w:val="1037"/>
          <w:marRight w:val="0"/>
          <w:marTop w:val="86"/>
          <w:marBottom w:val="0"/>
          <w:divBdr>
            <w:top w:val="none" w:sz="0" w:space="0" w:color="auto"/>
            <w:left w:val="none" w:sz="0" w:space="0" w:color="auto"/>
            <w:bottom w:val="none" w:sz="0" w:space="0" w:color="auto"/>
            <w:right w:val="none" w:sz="0" w:space="0" w:color="auto"/>
          </w:divBdr>
        </w:div>
        <w:div w:id="523251622">
          <w:marLeft w:val="1037"/>
          <w:marRight w:val="0"/>
          <w:marTop w:val="86"/>
          <w:marBottom w:val="0"/>
          <w:divBdr>
            <w:top w:val="none" w:sz="0" w:space="0" w:color="auto"/>
            <w:left w:val="none" w:sz="0" w:space="0" w:color="auto"/>
            <w:bottom w:val="none" w:sz="0" w:space="0" w:color="auto"/>
            <w:right w:val="none" w:sz="0" w:space="0" w:color="auto"/>
          </w:divBdr>
        </w:div>
      </w:divsChild>
    </w:div>
    <w:div w:id="833956956">
      <w:bodyDiv w:val="1"/>
      <w:marLeft w:val="0"/>
      <w:marRight w:val="0"/>
      <w:marTop w:val="0"/>
      <w:marBottom w:val="0"/>
      <w:divBdr>
        <w:top w:val="none" w:sz="0" w:space="0" w:color="auto"/>
        <w:left w:val="none" w:sz="0" w:space="0" w:color="auto"/>
        <w:bottom w:val="none" w:sz="0" w:space="0" w:color="auto"/>
        <w:right w:val="none" w:sz="0" w:space="0" w:color="auto"/>
      </w:divBdr>
      <w:divsChild>
        <w:div w:id="716121365">
          <w:marLeft w:val="475"/>
          <w:marRight w:val="0"/>
          <w:marTop w:val="96"/>
          <w:marBottom w:val="0"/>
          <w:divBdr>
            <w:top w:val="none" w:sz="0" w:space="0" w:color="auto"/>
            <w:left w:val="none" w:sz="0" w:space="0" w:color="auto"/>
            <w:bottom w:val="none" w:sz="0" w:space="0" w:color="auto"/>
            <w:right w:val="none" w:sz="0" w:space="0" w:color="auto"/>
          </w:divBdr>
        </w:div>
      </w:divsChild>
    </w:div>
    <w:div w:id="958417707">
      <w:bodyDiv w:val="1"/>
      <w:marLeft w:val="0"/>
      <w:marRight w:val="0"/>
      <w:marTop w:val="0"/>
      <w:marBottom w:val="0"/>
      <w:divBdr>
        <w:top w:val="none" w:sz="0" w:space="0" w:color="auto"/>
        <w:left w:val="none" w:sz="0" w:space="0" w:color="auto"/>
        <w:bottom w:val="none" w:sz="0" w:space="0" w:color="auto"/>
        <w:right w:val="none" w:sz="0" w:space="0" w:color="auto"/>
      </w:divBdr>
      <w:divsChild>
        <w:div w:id="1802574253">
          <w:marLeft w:val="475"/>
          <w:marRight w:val="0"/>
          <w:marTop w:val="96"/>
          <w:marBottom w:val="0"/>
          <w:divBdr>
            <w:top w:val="none" w:sz="0" w:space="0" w:color="auto"/>
            <w:left w:val="none" w:sz="0" w:space="0" w:color="auto"/>
            <w:bottom w:val="none" w:sz="0" w:space="0" w:color="auto"/>
            <w:right w:val="none" w:sz="0" w:space="0" w:color="auto"/>
          </w:divBdr>
        </w:div>
        <w:div w:id="1947536175">
          <w:marLeft w:val="1037"/>
          <w:marRight w:val="0"/>
          <w:marTop w:val="86"/>
          <w:marBottom w:val="0"/>
          <w:divBdr>
            <w:top w:val="none" w:sz="0" w:space="0" w:color="auto"/>
            <w:left w:val="none" w:sz="0" w:space="0" w:color="auto"/>
            <w:bottom w:val="none" w:sz="0" w:space="0" w:color="auto"/>
            <w:right w:val="none" w:sz="0" w:space="0" w:color="auto"/>
          </w:divBdr>
        </w:div>
        <w:div w:id="579100968">
          <w:marLeft w:val="1037"/>
          <w:marRight w:val="0"/>
          <w:marTop w:val="86"/>
          <w:marBottom w:val="0"/>
          <w:divBdr>
            <w:top w:val="none" w:sz="0" w:space="0" w:color="auto"/>
            <w:left w:val="none" w:sz="0" w:space="0" w:color="auto"/>
            <w:bottom w:val="none" w:sz="0" w:space="0" w:color="auto"/>
            <w:right w:val="none" w:sz="0" w:space="0" w:color="auto"/>
          </w:divBdr>
        </w:div>
        <w:div w:id="2088111200">
          <w:marLeft w:val="1037"/>
          <w:marRight w:val="0"/>
          <w:marTop w:val="86"/>
          <w:marBottom w:val="0"/>
          <w:divBdr>
            <w:top w:val="none" w:sz="0" w:space="0" w:color="auto"/>
            <w:left w:val="none" w:sz="0" w:space="0" w:color="auto"/>
            <w:bottom w:val="none" w:sz="0" w:space="0" w:color="auto"/>
            <w:right w:val="none" w:sz="0" w:space="0" w:color="auto"/>
          </w:divBdr>
        </w:div>
      </w:divsChild>
    </w:div>
    <w:div w:id="1114985945">
      <w:bodyDiv w:val="1"/>
      <w:marLeft w:val="0"/>
      <w:marRight w:val="0"/>
      <w:marTop w:val="0"/>
      <w:marBottom w:val="0"/>
      <w:divBdr>
        <w:top w:val="none" w:sz="0" w:space="0" w:color="auto"/>
        <w:left w:val="none" w:sz="0" w:space="0" w:color="auto"/>
        <w:bottom w:val="none" w:sz="0" w:space="0" w:color="auto"/>
        <w:right w:val="none" w:sz="0" w:space="0" w:color="auto"/>
      </w:divBdr>
      <w:divsChild>
        <w:div w:id="996615216">
          <w:marLeft w:val="475"/>
          <w:marRight w:val="0"/>
          <w:marTop w:val="96"/>
          <w:marBottom w:val="0"/>
          <w:divBdr>
            <w:top w:val="none" w:sz="0" w:space="0" w:color="auto"/>
            <w:left w:val="none" w:sz="0" w:space="0" w:color="auto"/>
            <w:bottom w:val="none" w:sz="0" w:space="0" w:color="auto"/>
            <w:right w:val="none" w:sz="0" w:space="0" w:color="auto"/>
          </w:divBdr>
        </w:div>
        <w:div w:id="1305505406">
          <w:marLeft w:val="1037"/>
          <w:marRight w:val="0"/>
          <w:marTop w:val="86"/>
          <w:marBottom w:val="0"/>
          <w:divBdr>
            <w:top w:val="none" w:sz="0" w:space="0" w:color="auto"/>
            <w:left w:val="none" w:sz="0" w:space="0" w:color="auto"/>
            <w:bottom w:val="none" w:sz="0" w:space="0" w:color="auto"/>
            <w:right w:val="none" w:sz="0" w:space="0" w:color="auto"/>
          </w:divBdr>
        </w:div>
        <w:div w:id="1593315591">
          <w:marLeft w:val="1037"/>
          <w:marRight w:val="0"/>
          <w:marTop w:val="86"/>
          <w:marBottom w:val="0"/>
          <w:divBdr>
            <w:top w:val="none" w:sz="0" w:space="0" w:color="auto"/>
            <w:left w:val="none" w:sz="0" w:space="0" w:color="auto"/>
            <w:bottom w:val="none" w:sz="0" w:space="0" w:color="auto"/>
            <w:right w:val="none" w:sz="0" w:space="0" w:color="auto"/>
          </w:divBdr>
        </w:div>
        <w:div w:id="448279483">
          <w:marLeft w:val="1037"/>
          <w:marRight w:val="0"/>
          <w:marTop w:val="86"/>
          <w:marBottom w:val="0"/>
          <w:divBdr>
            <w:top w:val="none" w:sz="0" w:space="0" w:color="auto"/>
            <w:left w:val="none" w:sz="0" w:space="0" w:color="auto"/>
            <w:bottom w:val="none" w:sz="0" w:space="0" w:color="auto"/>
            <w:right w:val="none" w:sz="0" w:space="0" w:color="auto"/>
          </w:divBdr>
        </w:div>
        <w:div w:id="1561478764">
          <w:marLeft w:val="1037"/>
          <w:marRight w:val="0"/>
          <w:marTop w:val="86"/>
          <w:marBottom w:val="0"/>
          <w:divBdr>
            <w:top w:val="none" w:sz="0" w:space="0" w:color="auto"/>
            <w:left w:val="none" w:sz="0" w:space="0" w:color="auto"/>
            <w:bottom w:val="none" w:sz="0" w:space="0" w:color="auto"/>
            <w:right w:val="none" w:sz="0" w:space="0" w:color="auto"/>
          </w:divBdr>
        </w:div>
      </w:divsChild>
    </w:div>
    <w:div w:id="1183864087">
      <w:bodyDiv w:val="1"/>
      <w:marLeft w:val="0"/>
      <w:marRight w:val="0"/>
      <w:marTop w:val="0"/>
      <w:marBottom w:val="0"/>
      <w:divBdr>
        <w:top w:val="none" w:sz="0" w:space="0" w:color="auto"/>
        <w:left w:val="none" w:sz="0" w:space="0" w:color="auto"/>
        <w:bottom w:val="none" w:sz="0" w:space="0" w:color="auto"/>
        <w:right w:val="none" w:sz="0" w:space="0" w:color="auto"/>
      </w:divBdr>
      <w:divsChild>
        <w:div w:id="1802262970">
          <w:marLeft w:val="475"/>
          <w:marRight w:val="0"/>
          <w:marTop w:val="96"/>
          <w:marBottom w:val="0"/>
          <w:divBdr>
            <w:top w:val="none" w:sz="0" w:space="0" w:color="auto"/>
            <w:left w:val="none" w:sz="0" w:space="0" w:color="auto"/>
            <w:bottom w:val="none" w:sz="0" w:space="0" w:color="auto"/>
            <w:right w:val="none" w:sz="0" w:space="0" w:color="auto"/>
          </w:divBdr>
        </w:div>
      </w:divsChild>
    </w:div>
    <w:div w:id="1354116575">
      <w:bodyDiv w:val="1"/>
      <w:marLeft w:val="0"/>
      <w:marRight w:val="0"/>
      <w:marTop w:val="0"/>
      <w:marBottom w:val="0"/>
      <w:divBdr>
        <w:top w:val="none" w:sz="0" w:space="0" w:color="auto"/>
        <w:left w:val="none" w:sz="0" w:space="0" w:color="auto"/>
        <w:bottom w:val="none" w:sz="0" w:space="0" w:color="auto"/>
        <w:right w:val="none" w:sz="0" w:space="0" w:color="auto"/>
      </w:divBdr>
      <w:divsChild>
        <w:div w:id="1428620414">
          <w:marLeft w:val="475"/>
          <w:marRight w:val="0"/>
          <w:marTop w:val="96"/>
          <w:marBottom w:val="0"/>
          <w:divBdr>
            <w:top w:val="none" w:sz="0" w:space="0" w:color="auto"/>
            <w:left w:val="none" w:sz="0" w:space="0" w:color="auto"/>
            <w:bottom w:val="none" w:sz="0" w:space="0" w:color="auto"/>
            <w:right w:val="none" w:sz="0" w:space="0" w:color="auto"/>
          </w:divBdr>
        </w:div>
      </w:divsChild>
    </w:div>
    <w:div w:id="1568761971">
      <w:bodyDiv w:val="1"/>
      <w:marLeft w:val="0"/>
      <w:marRight w:val="0"/>
      <w:marTop w:val="0"/>
      <w:marBottom w:val="0"/>
      <w:divBdr>
        <w:top w:val="none" w:sz="0" w:space="0" w:color="auto"/>
        <w:left w:val="none" w:sz="0" w:space="0" w:color="auto"/>
        <w:bottom w:val="none" w:sz="0" w:space="0" w:color="auto"/>
        <w:right w:val="none" w:sz="0" w:space="0" w:color="auto"/>
      </w:divBdr>
      <w:divsChild>
        <w:div w:id="1370908385">
          <w:marLeft w:val="475"/>
          <w:marRight w:val="0"/>
          <w:marTop w:val="96"/>
          <w:marBottom w:val="0"/>
          <w:divBdr>
            <w:top w:val="none" w:sz="0" w:space="0" w:color="auto"/>
            <w:left w:val="none" w:sz="0" w:space="0" w:color="auto"/>
            <w:bottom w:val="none" w:sz="0" w:space="0" w:color="auto"/>
            <w:right w:val="none" w:sz="0" w:space="0" w:color="auto"/>
          </w:divBdr>
        </w:div>
      </w:divsChild>
    </w:div>
    <w:div w:id="1736128487">
      <w:bodyDiv w:val="1"/>
      <w:marLeft w:val="0"/>
      <w:marRight w:val="0"/>
      <w:marTop w:val="0"/>
      <w:marBottom w:val="0"/>
      <w:divBdr>
        <w:top w:val="none" w:sz="0" w:space="0" w:color="auto"/>
        <w:left w:val="none" w:sz="0" w:space="0" w:color="auto"/>
        <w:bottom w:val="none" w:sz="0" w:space="0" w:color="auto"/>
        <w:right w:val="none" w:sz="0" w:space="0" w:color="auto"/>
      </w:divBdr>
      <w:divsChild>
        <w:div w:id="788083277">
          <w:marLeft w:val="475"/>
          <w:marRight w:val="0"/>
          <w:marTop w:val="96"/>
          <w:marBottom w:val="0"/>
          <w:divBdr>
            <w:top w:val="none" w:sz="0" w:space="0" w:color="auto"/>
            <w:left w:val="none" w:sz="0" w:space="0" w:color="auto"/>
            <w:bottom w:val="none" w:sz="0" w:space="0" w:color="auto"/>
            <w:right w:val="none" w:sz="0" w:space="0" w:color="auto"/>
          </w:divBdr>
        </w:div>
        <w:div w:id="348872897">
          <w:marLeft w:val="475"/>
          <w:marRight w:val="0"/>
          <w:marTop w:val="96"/>
          <w:marBottom w:val="0"/>
          <w:divBdr>
            <w:top w:val="none" w:sz="0" w:space="0" w:color="auto"/>
            <w:left w:val="none" w:sz="0" w:space="0" w:color="auto"/>
            <w:bottom w:val="none" w:sz="0" w:space="0" w:color="auto"/>
            <w:right w:val="none" w:sz="0" w:space="0" w:color="auto"/>
          </w:divBdr>
        </w:div>
        <w:div w:id="454568341">
          <w:marLeft w:val="1037"/>
          <w:marRight w:val="0"/>
          <w:marTop w:val="0"/>
          <w:marBottom w:val="0"/>
          <w:divBdr>
            <w:top w:val="none" w:sz="0" w:space="0" w:color="auto"/>
            <w:left w:val="none" w:sz="0" w:space="0" w:color="auto"/>
            <w:bottom w:val="none" w:sz="0" w:space="0" w:color="auto"/>
            <w:right w:val="none" w:sz="0" w:space="0" w:color="auto"/>
          </w:divBdr>
        </w:div>
        <w:div w:id="586963196">
          <w:marLeft w:val="1037"/>
          <w:marRight w:val="0"/>
          <w:marTop w:val="0"/>
          <w:marBottom w:val="0"/>
          <w:divBdr>
            <w:top w:val="none" w:sz="0" w:space="0" w:color="auto"/>
            <w:left w:val="none" w:sz="0" w:space="0" w:color="auto"/>
            <w:bottom w:val="none" w:sz="0" w:space="0" w:color="auto"/>
            <w:right w:val="none" w:sz="0" w:space="0" w:color="auto"/>
          </w:divBdr>
        </w:div>
      </w:divsChild>
    </w:div>
    <w:div w:id="1800608112">
      <w:bodyDiv w:val="1"/>
      <w:marLeft w:val="0"/>
      <w:marRight w:val="0"/>
      <w:marTop w:val="0"/>
      <w:marBottom w:val="0"/>
      <w:divBdr>
        <w:top w:val="none" w:sz="0" w:space="0" w:color="auto"/>
        <w:left w:val="none" w:sz="0" w:space="0" w:color="auto"/>
        <w:bottom w:val="none" w:sz="0" w:space="0" w:color="auto"/>
        <w:right w:val="none" w:sz="0" w:space="0" w:color="auto"/>
      </w:divBdr>
      <w:divsChild>
        <w:div w:id="75246321">
          <w:marLeft w:val="475"/>
          <w:marRight w:val="0"/>
          <w:marTop w:val="96"/>
          <w:marBottom w:val="0"/>
          <w:divBdr>
            <w:top w:val="none" w:sz="0" w:space="0" w:color="auto"/>
            <w:left w:val="none" w:sz="0" w:space="0" w:color="auto"/>
            <w:bottom w:val="none" w:sz="0" w:space="0" w:color="auto"/>
            <w:right w:val="none" w:sz="0" w:space="0" w:color="auto"/>
          </w:divBdr>
        </w:div>
      </w:divsChild>
    </w:div>
    <w:div w:id="1826437389">
      <w:bodyDiv w:val="1"/>
      <w:marLeft w:val="0"/>
      <w:marRight w:val="0"/>
      <w:marTop w:val="0"/>
      <w:marBottom w:val="0"/>
      <w:divBdr>
        <w:top w:val="none" w:sz="0" w:space="0" w:color="auto"/>
        <w:left w:val="none" w:sz="0" w:space="0" w:color="auto"/>
        <w:bottom w:val="none" w:sz="0" w:space="0" w:color="auto"/>
        <w:right w:val="none" w:sz="0" w:space="0" w:color="auto"/>
      </w:divBdr>
      <w:divsChild>
        <w:div w:id="140315154">
          <w:marLeft w:val="475"/>
          <w:marRight w:val="0"/>
          <w:marTop w:val="96"/>
          <w:marBottom w:val="0"/>
          <w:divBdr>
            <w:top w:val="none" w:sz="0" w:space="0" w:color="auto"/>
            <w:left w:val="none" w:sz="0" w:space="0" w:color="auto"/>
            <w:bottom w:val="none" w:sz="0" w:space="0" w:color="auto"/>
            <w:right w:val="none" w:sz="0" w:space="0" w:color="auto"/>
          </w:divBdr>
        </w:div>
      </w:divsChild>
    </w:div>
    <w:div w:id="1863858256">
      <w:bodyDiv w:val="1"/>
      <w:marLeft w:val="0"/>
      <w:marRight w:val="0"/>
      <w:marTop w:val="0"/>
      <w:marBottom w:val="0"/>
      <w:divBdr>
        <w:top w:val="none" w:sz="0" w:space="0" w:color="auto"/>
        <w:left w:val="none" w:sz="0" w:space="0" w:color="auto"/>
        <w:bottom w:val="none" w:sz="0" w:space="0" w:color="auto"/>
        <w:right w:val="none" w:sz="0" w:space="0" w:color="auto"/>
      </w:divBdr>
      <w:divsChild>
        <w:div w:id="540825269">
          <w:marLeft w:val="1037"/>
          <w:marRight w:val="0"/>
          <w:marTop w:val="86"/>
          <w:marBottom w:val="0"/>
          <w:divBdr>
            <w:top w:val="none" w:sz="0" w:space="0" w:color="auto"/>
            <w:left w:val="none" w:sz="0" w:space="0" w:color="auto"/>
            <w:bottom w:val="none" w:sz="0" w:space="0" w:color="auto"/>
            <w:right w:val="none" w:sz="0" w:space="0" w:color="auto"/>
          </w:divBdr>
        </w:div>
      </w:divsChild>
    </w:div>
    <w:div w:id="1987080071">
      <w:bodyDiv w:val="1"/>
      <w:marLeft w:val="0"/>
      <w:marRight w:val="0"/>
      <w:marTop w:val="0"/>
      <w:marBottom w:val="0"/>
      <w:divBdr>
        <w:top w:val="none" w:sz="0" w:space="0" w:color="auto"/>
        <w:left w:val="none" w:sz="0" w:space="0" w:color="auto"/>
        <w:bottom w:val="none" w:sz="0" w:space="0" w:color="auto"/>
        <w:right w:val="none" w:sz="0" w:space="0" w:color="auto"/>
      </w:divBdr>
      <w:divsChild>
        <w:div w:id="360084004">
          <w:marLeft w:val="475"/>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2</Pages>
  <Words>1277</Words>
  <Characters>7280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Timmy</dc:creator>
  <cp:keywords/>
  <dc:description/>
  <cp:lastModifiedBy>Timmy</cp:lastModifiedBy>
  <cp:revision>3</cp:revision>
  <dcterms:created xsi:type="dcterms:W3CDTF">2016-03-14T01:07:00Z</dcterms:created>
  <dcterms:modified xsi:type="dcterms:W3CDTF">2016-03-15T03:42:00Z</dcterms:modified>
</cp:coreProperties>
</file>