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FB9373" w14:textId="77777777" w:rsidR="00E01BC0" w:rsidRDefault="00E01BC0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 xml:space="preserve">LEC 1 </w:t>
      </w:r>
      <w:bookmarkStart w:id="0" w:name="_GoBack"/>
      <w:bookmarkEnd w:id="0"/>
    </w:p>
    <w:p w14:paraId="265487A2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Learning Objectives</w:t>
      </w:r>
    </w:p>
    <w:p w14:paraId="13E4181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>
        <w:rPr>
          <w:rFonts w:ascii="Calibri" w:hAnsi="Calibri" w:cs="Calibri"/>
          <w:color w:val="9BCC38"/>
          <w:sz w:val="14"/>
          <w:szCs w:val="14"/>
        </w:rPr>
        <w:t>1</w:t>
      </w:r>
      <w:r w:rsidRPr="003530CE">
        <w:rPr>
          <w:rFonts w:ascii="Calibri" w:hAnsi="Calibri" w:cs="Calibri"/>
          <w:color w:val="9BCC38"/>
          <w:sz w:val="24"/>
          <w:szCs w:val="24"/>
        </w:rPr>
        <w:t xml:space="preserve">. </w:t>
      </w:r>
      <w:r w:rsidRPr="003530CE">
        <w:rPr>
          <w:rFonts w:ascii="Calibri" w:hAnsi="Calibri" w:cs="Calibri"/>
          <w:color w:val="404040"/>
          <w:sz w:val="24"/>
          <w:szCs w:val="24"/>
        </w:rPr>
        <w:t>Discuss the state of world health</w:t>
      </w:r>
    </w:p>
    <w:p w14:paraId="307BD8D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9BCC38"/>
          <w:sz w:val="24"/>
          <w:szCs w:val="24"/>
        </w:rPr>
        <w:t xml:space="preserve">2. </w:t>
      </w:r>
      <w:r w:rsidRPr="003530CE">
        <w:rPr>
          <w:rFonts w:ascii="Calibri" w:hAnsi="Calibri" w:cs="Calibri"/>
          <w:color w:val="404040"/>
          <w:sz w:val="24"/>
          <w:szCs w:val="24"/>
        </w:rPr>
        <w:t xml:space="preserve">Explain the differences between communicable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disease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, </w:t>
      </w:r>
      <w:proofErr w:type="spellStart"/>
      <w:r w:rsidRPr="003530CE">
        <w:rPr>
          <w:rFonts w:ascii="Calibri" w:hAnsi="Calibri" w:cs="Calibri"/>
          <w:color w:val="404040"/>
          <w:sz w:val="24"/>
          <w:szCs w:val="24"/>
        </w:rPr>
        <w:t>noncommunicable</w:t>
      </w:r>
      <w:proofErr w:type="spellEnd"/>
    </w:p>
    <w:p w14:paraId="1A3B287F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disease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and injury and give examples for each</w:t>
      </w:r>
    </w:p>
    <w:p w14:paraId="6A8D48E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9BCC38"/>
          <w:sz w:val="24"/>
          <w:szCs w:val="24"/>
        </w:rPr>
        <w:t xml:space="preserve">3. </w:t>
      </w:r>
      <w:r w:rsidRPr="003530CE">
        <w:rPr>
          <w:rFonts w:ascii="Calibri" w:hAnsi="Calibri" w:cs="Calibri"/>
          <w:color w:val="404040"/>
          <w:sz w:val="24"/>
          <w:szCs w:val="24"/>
        </w:rPr>
        <w:t xml:space="preserve">Explain differences between global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health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>, international</w:t>
      </w:r>
    </w:p>
    <w:p w14:paraId="4933C68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health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and public health</w:t>
      </w:r>
    </w:p>
    <w:p w14:paraId="6253EA61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9BCC38"/>
          <w:sz w:val="24"/>
          <w:szCs w:val="24"/>
        </w:rPr>
        <w:t xml:space="preserve">4. </w:t>
      </w:r>
      <w:r w:rsidRPr="003530CE">
        <w:rPr>
          <w:rFonts w:ascii="Calibri" w:hAnsi="Calibri" w:cs="Calibri"/>
          <w:color w:val="404040"/>
          <w:sz w:val="24"/>
          <w:szCs w:val="24"/>
        </w:rPr>
        <w:t>List the current priorities of the WHO</w:t>
      </w:r>
    </w:p>
    <w:p w14:paraId="48537410" w14:textId="77777777" w:rsidR="001719F9" w:rsidRPr="003530CE" w:rsidRDefault="001719F9" w:rsidP="001719F9">
      <w:pPr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9BCC38"/>
          <w:sz w:val="24"/>
          <w:szCs w:val="24"/>
        </w:rPr>
        <w:t xml:space="preserve">5. </w:t>
      </w:r>
      <w:r w:rsidRPr="003530CE">
        <w:rPr>
          <w:rFonts w:ascii="Calibri" w:hAnsi="Calibri" w:cs="Calibri"/>
          <w:color w:val="404040"/>
          <w:sz w:val="24"/>
          <w:szCs w:val="24"/>
        </w:rPr>
        <w:t>Describe the successes of the MDG</w:t>
      </w:r>
    </w:p>
    <w:p w14:paraId="44986813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</w:rPr>
      </w:pPr>
      <w:r>
        <w:rPr>
          <w:rFonts w:ascii="Calibri-Light" w:hAnsi="Calibri-Light" w:cs="Calibri-Light"/>
          <w:color w:val="FF0000"/>
        </w:rPr>
        <w:t>Classification of Diseases and Conditions</w:t>
      </w:r>
    </w:p>
    <w:p w14:paraId="25DD67B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404040"/>
          <w:sz w:val="24"/>
          <w:szCs w:val="24"/>
        </w:rPr>
        <w:t xml:space="preserve">Communicable </w:t>
      </w:r>
      <w:r w:rsidRPr="003530CE">
        <w:rPr>
          <w:rFonts w:ascii="Calibri" w:hAnsi="Calibri" w:cs="Calibri"/>
          <w:color w:val="404040"/>
          <w:sz w:val="24"/>
          <w:szCs w:val="24"/>
        </w:rPr>
        <w:t>disease is an illness caused by an infectious agent or its</w:t>
      </w:r>
    </w:p>
    <w:p w14:paraId="39E07D8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toxins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that occurs through the direct or indirect transmission of the</w:t>
      </w:r>
    </w:p>
    <w:p w14:paraId="743D21D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infectious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agent or its products from an infected individual or via an</w:t>
      </w:r>
    </w:p>
    <w:p w14:paraId="68477DC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animal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>, vector or the inanimate environment to a susceptible animal or</w:t>
      </w:r>
    </w:p>
    <w:p w14:paraId="19B2463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human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host</w:t>
      </w:r>
    </w:p>
    <w:p w14:paraId="673D7C6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404040"/>
          <w:sz w:val="24"/>
          <w:szCs w:val="24"/>
        </w:rPr>
        <w:t>Non</w:t>
      </w:r>
      <w:r w:rsidRPr="003530CE">
        <w:rPr>
          <w:rFonts w:ascii="Cambria Math" w:hAnsi="Cambria Math" w:cs="Cambria Math"/>
          <w:b/>
          <w:bCs/>
          <w:color w:val="404040"/>
          <w:sz w:val="24"/>
          <w:szCs w:val="24"/>
        </w:rPr>
        <w:t>‐</w:t>
      </w:r>
      <w:r w:rsidRPr="003530CE">
        <w:rPr>
          <w:rFonts w:ascii="Calibri-Bold" w:hAnsi="Calibri-Bold" w:cs="Calibri-Bold"/>
          <w:b/>
          <w:bCs/>
          <w:color w:val="404040"/>
          <w:sz w:val="24"/>
          <w:szCs w:val="24"/>
        </w:rPr>
        <w:t xml:space="preserve">communicable </w:t>
      </w:r>
      <w:r w:rsidRPr="003530CE">
        <w:rPr>
          <w:rFonts w:ascii="Calibri" w:hAnsi="Calibri" w:cs="Calibri"/>
          <w:color w:val="404040"/>
          <w:sz w:val="24"/>
          <w:szCs w:val="24"/>
        </w:rPr>
        <w:t>disease (NCDs) are not passed from person to</w:t>
      </w:r>
    </w:p>
    <w:p w14:paraId="3CDA915A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person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>. They are of long duration and generally slow progression. The</w:t>
      </w:r>
    </w:p>
    <w:p w14:paraId="2806EEE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four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main types of non‐communicable diseases are cardiovascular</w:t>
      </w:r>
    </w:p>
    <w:p w14:paraId="2D08F40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diseases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>, cancers, chronic respiratory diseases and metabolic diseases</w:t>
      </w:r>
    </w:p>
    <w:p w14:paraId="4B85B88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404040"/>
          <w:sz w:val="24"/>
          <w:szCs w:val="24"/>
        </w:rPr>
        <w:t xml:space="preserve">Injuries </w:t>
      </w:r>
      <w:r w:rsidRPr="003530CE">
        <w:rPr>
          <w:rFonts w:ascii="Calibri" w:hAnsi="Calibri" w:cs="Calibri"/>
          <w:color w:val="404040"/>
          <w:sz w:val="24"/>
          <w:szCs w:val="24"/>
        </w:rPr>
        <w:t>is defined as damage or harm to the body resulting in</w:t>
      </w:r>
    </w:p>
    <w:p w14:paraId="64042D83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impairment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or destruction of health; specifically, any unintentional and</w:t>
      </w:r>
    </w:p>
    <w:p w14:paraId="0F52F613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intentional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damage to the body resulting from acute exposure to</w:t>
      </w:r>
    </w:p>
    <w:p w14:paraId="7CB6F79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thermal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>, mechanical, electrical, or chemical energy that exceeds a</w:t>
      </w:r>
    </w:p>
    <w:p w14:paraId="12444627" w14:textId="77777777" w:rsidR="001719F9" w:rsidRPr="003530CE" w:rsidRDefault="001719F9" w:rsidP="001719F9">
      <w:pPr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threshold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of tolerance in the body or from</w:t>
      </w:r>
    </w:p>
    <w:p w14:paraId="6043FCF0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20"/>
          <w:szCs w:val="20"/>
        </w:rPr>
      </w:pPr>
      <w:r>
        <w:rPr>
          <w:rFonts w:ascii="Calibri-Light" w:hAnsi="Calibri-Light" w:cs="Calibri-Light"/>
          <w:color w:val="FF0000"/>
          <w:sz w:val="20"/>
          <w:szCs w:val="20"/>
        </w:rPr>
        <w:t>Communicable disease (Infectious diseases)</w:t>
      </w:r>
    </w:p>
    <w:p w14:paraId="2B4B7AE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Approximately 10 million people around the world died from</w:t>
      </w:r>
    </w:p>
    <w:p w14:paraId="09B7939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communicable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diseases in 2010</w:t>
      </w:r>
    </w:p>
    <w:p w14:paraId="62A6CCB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Most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deaths occur in low‐income countries</w:t>
      </w:r>
    </w:p>
    <w:p w14:paraId="340985A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Low respiratory infections (2.8 million/year), HIV/AIDS (1.5</w:t>
      </w:r>
    </w:p>
    <w:p w14:paraId="6C58BEA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million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>/year), diarrheal diseases (1.4 million/year), Tuberculosis</w:t>
      </w:r>
    </w:p>
    <w:p w14:paraId="2396802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(1.2 million/year), and Malaria (1.1 million/year) account for</w:t>
      </w:r>
    </w:p>
    <w:p w14:paraId="5FBF4BA1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80% of all deaths from communicable diseases</w:t>
      </w:r>
    </w:p>
    <w:p w14:paraId="48C55C2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Despite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global decrease, new and re‐emerging </w:t>
      </w:r>
      <w:r w:rsidRPr="003530CE">
        <w:rPr>
          <w:rFonts w:ascii="Calibri" w:hAnsi="Calibri" w:cs="Calibri"/>
          <w:sz w:val="24"/>
          <w:szCs w:val="24"/>
        </w:rPr>
        <w:t>communicable</w:t>
      </w:r>
    </w:p>
    <w:p w14:paraId="566DC10D" w14:textId="77777777" w:rsidR="001719F9" w:rsidRPr="003530CE" w:rsidRDefault="001719F9" w:rsidP="001719F9">
      <w:pPr>
        <w:rPr>
          <w:rFonts w:ascii="Calibri" w:hAnsi="Calibri" w:cs="Calibri"/>
          <w:sz w:val="24"/>
          <w:szCs w:val="24"/>
        </w:rPr>
      </w:pPr>
      <w:proofErr w:type="gramStart"/>
      <w:r w:rsidRPr="003530CE">
        <w:rPr>
          <w:rFonts w:ascii="Calibri" w:hAnsi="Calibri" w:cs="Calibri"/>
          <w:sz w:val="24"/>
          <w:szCs w:val="24"/>
        </w:rPr>
        <w:t>diseases</w:t>
      </w:r>
      <w:proofErr w:type="gramEnd"/>
      <w:r w:rsidRPr="003530CE">
        <w:rPr>
          <w:rFonts w:ascii="Calibri" w:hAnsi="Calibri" w:cs="Calibri"/>
          <w:sz w:val="24"/>
          <w:szCs w:val="24"/>
        </w:rPr>
        <w:t xml:space="preserve"> remain a significant problem</w:t>
      </w:r>
    </w:p>
    <w:p w14:paraId="4B93EAFC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Non</w:t>
      </w:r>
      <w:r>
        <w:rPr>
          <w:rFonts w:ascii="Cambria Math" w:hAnsi="Cambria Math" w:cs="Cambria Math"/>
          <w:color w:val="FF0000"/>
          <w:sz w:val="30"/>
          <w:szCs w:val="30"/>
        </w:rPr>
        <w:t>‐</w:t>
      </w:r>
      <w:r>
        <w:rPr>
          <w:rFonts w:ascii="Calibri-Light" w:hAnsi="Calibri-Light" w:cs="Calibri-Light"/>
          <w:color w:val="FF0000"/>
          <w:sz w:val="30"/>
          <w:szCs w:val="30"/>
        </w:rPr>
        <w:t>communicable disease</w:t>
      </w:r>
    </w:p>
    <w:p w14:paraId="04AAA88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8"/>
          <w:szCs w:val="28"/>
        </w:rPr>
      </w:pPr>
      <w:r w:rsidRPr="003530CE">
        <w:rPr>
          <w:rFonts w:ascii="ArialMT" w:hAnsi="ArialMT" w:cs="ArialMT"/>
          <w:color w:val="9BCC38"/>
          <w:sz w:val="28"/>
          <w:szCs w:val="28"/>
        </w:rPr>
        <w:t xml:space="preserve">• </w:t>
      </w:r>
      <w:r w:rsidRPr="003530CE">
        <w:rPr>
          <w:rFonts w:ascii="Calibri" w:hAnsi="Calibri" w:cs="Calibri"/>
          <w:color w:val="404040"/>
          <w:sz w:val="28"/>
          <w:szCs w:val="28"/>
        </w:rPr>
        <w:t>NCD kill more than 36 million people each year</w:t>
      </w:r>
    </w:p>
    <w:p w14:paraId="22101ADC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8"/>
          <w:szCs w:val="28"/>
        </w:rPr>
      </w:pPr>
      <w:r w:rsidRPr="003530CE">
        <w:rPr>
          <w:rFonts w:ascii="ArialMT" w:hAnsi="ArialMT" w:cs="ArialMT"/>
          <w:color w:val="9BCC38"/>
          <w:sz w:val="28"/>
          <w:szCs w:val="28"/>
        </w:rPr>
        <w:t xml:space="preserve">• </w:t>
      </w:r>
      <w:r w:rsidRPr="003530CE">
        <w:rPr>
          <w:rFonts w:ascii="Calibri" w:hAnsi="Calibri" w:cs="Calibri"/>
          <w:color w:val="404040"/>
          <w:sz w:val="28"/>
          <w:szCs w:val="28"/>
        </w:rPr>
        <w:t>Nearly 80% of NCD deaths occur in low‐ and middle‐income countries</w:t>
      </w:r>
    </w:p>
    <w:p w14:paraId="5EE33F43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8"/>
          <w:szCs w:val="28"/>
        </w:rPr>
      </w:pPr>
      <w:r w:rsidRPr="003530CE">
        <w:rPr>
          <w:rFonts w:ascii="ArialMT" w:hAnsi="ArialMT" w:cs="ArialMT"/>
          <w:color w:val="9BCC38"/>
          <w:sz w:val="28"/>
          <w:szCs w:val="28"/>
        </w:rPr>
        <w:t xml:space="preserve">• </w:t>
      </w:r>
      <w:r w:rsidRPr="003530CE">
        <w:rPr>
          <w:rFonts w:ascii="Calibri" w:hAnsi="Calibri" w:cs="Calibri"/>
          <w:color w:val="404040"/>
          <w:sz w:val="28"/>
          <w:szCs w:val="28"/>
        </w:rPr>
        <w:t xml:space="preserve">More than 9 million of these deaths occur before the age of 60 – </w:t>
      </w:r>
      <w:r w:rsidRPr="003530CE">
        <w:rPr>
          <w:rFonts w:ascii="Calibri" w:hAnsi="Calibri" w:cs="Calibri"/>
          <w:color w:val="FF0000"/>
          <w:sz w:val="28"/>
          <w:szCs w:val="28"/>
        </w:rPr>
        <w:t>All</w:t>
      </w:r>
    </w:p>
    <w:p w14:paraId="4EFEE94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8"/>
          <w:szCs w:val="28"/>
        </w:rPr>
      </w:pPr>
      <w:proofErr w:type="gramStart"/>
      <w:r w:rsidRPr="003530CE">
        <w:rPr>
          <w:rFonts w:ascii="Calibri" w:hAnsi="Calibri" w:cs="Calibri"/>
          <w:color w:val="FF0000"/>
          <w:sz w:val="28"/>
          <w:szCs w:val="28"/>
        </w:rPr>
        <w:t>age</w:t>
      </w:r>
      <w:proofErr w:type="gramEnd"/>
      <w:r w:rsidRPr="003530CE">
        <w:rPr>
          <w:rFonts w:ascii="Calibri" w:hAnsi="Calibri" w:cs="Calibri"/>
          <w:color w:val="FF0000"/>
          <w:sz w:val="28"/>
          <w:szCs w:val="28"/>
        </w:rPr>
        <w:t xml:space="preserve"> groups are at risk!</w:t>
      </w:r>
    </w:p>
    <w:p w14:paraId="2447E68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8"/>
          <w:szCs w:val="28"/>
        </w:rPr>
      </w:pPr>
      <w:r w:rsidRPr="003530CE">
        <w:rPr>
          <w:rFonts w:ascii="ArialMT" w:hAnsi="ArialMT" w:cs="ArialMT"/>
          <w:color w:val="9BCC38"/>
          <w:sz w:val="28"/>
          <w:szCs w:val="28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8"/>
          <w:szCs w:val="28"/>
        </w:rPr>
        <w:t>Cardiovascular</w:t>
      </w:r>
      <w:proofErr w:type="gramEnd"/>
      <w:r w:rsidRPr="003530CE">
        <w:rPr>
          <w:rFonts w:ascii="Calibri" w:hAnsi="Calibri" w:cs="Calibri"/>
          <w:color w:val="404040"/>
          <w:sz w:val="28"/>
          <w:szCs w:val="28"/>
        </w:rPr>
        <w:t xml:space="preserve"> diseases (17.3 million/year), cancers (7.6 million/year),</w:t>
      </w:r>
    </w:p>
    <w:p w14:paraId="75641A3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8"/>
          <w:szCs w:val="28"/>
        </w:rPr>
      </w:pPr>
      <w:proofErr w:type="gramStart"/>
      <w:r w:rsidRPr="003530CE">
        <w:rPr>
          <w:rFonts w:ascii="Calibri" w:hAnsi="Calibri" w:cs="Calibri"/>
          <w:color w:val="404040"/>
          <w:sz w:val="28"/>
          <w:szCs w:val="28"/>
        </w:rPr>
        <w:t>respiratory</w:t>
      </w:r>
      <w:proofErr w:type="gramEnd"/>
      <w:r w:rsidRPr="003530CE">
        <w:rPr>
          <w:rFonts w:ascii="Calibri" w:hAnsi="Calibri" w:cs="Calibri"/>
          <w:color w:val="404040"/>
          <w:sz w:val="28"/>
          <w:szCs w:val="28"/>
        </w:rPr>
        <w:t xml:space="preserve"> diseases (4.2 million/year) and diabetes (1.3 million/year)</w:t>
      </w:r>
    </w:p>
    <w:p w14:paraId="1C4F9BC3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8"/>
          <w:szCs w:val="28"/>
        </w:rPr>
      </w:pPr>
      <w:proofErr w:type="gramStart"/>
      <w:r w:rsidRPr="003530CE">
        <w:rPr>
          <w:rFonts w:ascii="Calibri" w:hAnsi="Calibri" w:cs="Calibri"/>
          <w:color w:val="404040"/>
          <w:sz w:val="28"/>
          <w:szCs w:val="28"/>
        </w:rPr>
        <w:t>account</w:t>
      </w:r>
      <w:proofErr w:type="gramEnd"/>
      <w:r w:rsidRPr="003530CE">
        <w:rPr>
          <w:rFonts w:ascii="Calibri" w:hAnsi="Calibri" w:cs="Calibri"/>
          <w:color w:val="404040"/>
          <w:sz w:val="28"/>
          <w:szCs w:val="28"/>
        </w:rPr>
        <w:t xml:space="preserve"> for approximately 80% of all NCD deaths</w:t>
      </w:r>
    </w:p>
    <w:p w14:paraId="3517363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8"/>
          <w:szCs w:val="28"/>
        </w:rPr>
      </w:pPr>
      <w:r w:rsidRPr="003530CE">
        <w:rPr>
          <w:rFonts w:ascii="ArialMT" w:hAnsi="ArialMT" w:cs="ArialMT"/>
          <w:color w:val="9BCC38"/>
          <w:sz w:val="28"/>
          <w:szCs w:val="28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8"/>
          <w:szCs w:val="28"/>
        </w:rPr>
        <w:t>All</w:t>
      </w:r>
      <w:proofErr w:type="gramEnd"/>
      <w:r w:rsidRPr="003530CE">
        <w:rPr>
          <w:rFonts w:ascii="Calibri" w:hAnsi="Calibri" w:cs="Calibri"/>
          <w:color w:val="404040"/>
          <w:sz w:val="28"/>
          <w:szCs w:val="28"/>
        </w:rPr>
        <w:t xml:space="preserve"> share four risk factors: tobacco use, physical inactivity, the harmful</w:t>
      </w:r>
    </w:p>
    <w:p w14:paraId="5687ECE4" w14:textId="77777777" w:rsidR="001719F9" w:rsidRPr="003530CE" w:rsidRDefault="001719F9" w:rsidP="001719F9">
      <w:pPr>
        <w:rPr>
          <w:rFonts w:ascii="Calibri" w:hAnsi="Calibri" w:cs="Calibri"/>
          <w:color w:val="404040"/>
          <w:sz w:val="28"/>
          <w:szCs w:val="28"/>
        </w:rPr>
      </w:pPr>
      <w:proofErr w:type="gramStart"/>
      <w:r w:rsidRPr="003530CE">
        <w:rPr>
          <w:rFonts w:ascii="Calibri" w:hAnsi="Calibri" w:cs="Calibri"/>
          <w:color w:val="404040"/>
          <w:sz w:val="28"/>
          <w:szCs w:val="28"/>
        </w:rPr>
        <w:lastRenderedPageBreak/>
        <w:t>use</w:t>
      </w:r>
      <w:proofErr w:type="gramEnd"/>
      <w:r w:rsidRPr="003530CE">
        <w:rPr>
          <w:rFonts w:ascii="Calibri" w:hAnsi="Calibri" w:cs="Calibri"/>
          <w:color w:val="404040"/>
          <w:sz w:val="28"/>
          <w:szCs w:val="28"/>
        </w:rPr>
        <w:t xml:space="preserve"> of alcohol and unhealthy diets</w:t>
      </w:r>
    </w:p>
    <w:p w14:paraId="3797CBE8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Injuries</w:t>
      </w:r>
    </w:p>
    <w:p w14:paraId="55765E6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>
        <w:rPr>
          <w:rFonts w:ascii="ArialMT" w:hAnsi="ArialMT" w:cs="ArialMT"/>
          <w:color w:val="9BCC38"/>
          <w:sz w:val="12"/>
          <w:szCs w:val="12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Injuries account for 9% of global mortality and are a threat to every</w:t>
      </w:r>
    </w:p>
    <w:p w14:paraId="39101DBC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country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of the world</w:t>
      </w:r>
    </w:p>
    <w:p w14:paraId="3A51955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For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every death, it is estimated that there are dozens of</w:t>
      </w:r>
    </w:p>
    <w:p w14:paraId="66DB98A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hospitalizations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>, hundreds of emergency department visits and</w:t>
      </w:r>
    </w:p>
    <w:p w14:paraId="117C1B4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thousands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of doctor’s appointments</w:t>
      </w:r>
    </w:p>
    <w:p w14:paraId="612F601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A large proportion of people surviving their injuries incurs temporary or</w:t>
      </w:r>
    </w:p>
    <w:p w14:paraId="718712E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permanent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disabilities</w:t>
      </w:r>
    </w:p>
    <w:p w14:paraId="65ECDDA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Includes traffic collisions, drowning, poisoning, falls, burns, violence</w:t>
      </w:r>
    </w:p>
    <w:p w14:paraId="4AFFBF8F" w14:textId="77777777" w:rsidR="001719F9" w:rsidRPr="003530CE" w:rsidRDefault="001719F9" w:rsidP="001719F9">
      <w:pPr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and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abuse</w:t>
      </w:r>
    </w:p>
    <w:p w14:paraId="5064A8C4" w14:textId="77777777" w:rsidR="001719F9" w:rsidRDefault="001719F9" w:rsidP="001719F9">
      <w:pPr>
        <w:rPr>
          <w:rFonts w:ascii="Calibri" w:hAnsi="Calibri" w:cs="Calibri"/>
          <w:color w:val="FF0000"/>
          <w:sz w:val="25"/>
          <w:szCs w:val="25"/>
        </w:rPr>
      </w:pPr>
      <w:r>
        <w:rPr>
          <w:rFonts w:ascii="Calibri" w:hAnsi="Calibri" w:cs="Calibri"/>
          <w:color w:val="FF0000"/>
          <w:sz w:val="25"/>
          <w:szCs w:val="25"/>
        </w:rPr>
        <w:t>What is Global Health?</w:t>
      </w:r>
    </w:p>
    <w:p w14:paraId="40AB3C8C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Definition</w:t>
      </w:r>
    </w:p>
    <w:p w14:paraId="043E9C6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404040"/>
          <w:sz w:val="24"/>
          <w:szCs w:val="24"/>
        </w:rPr>
        <w:t xml:space="preserve">What is </w:t>
      </w:r>
      <w:r w:rsidRPr="003530CE">
        <w:rPr>
          <w:rFonts w:ascii="Calibri-Bold" w:hAnsi="Calibri-Bold" w:cs="Calibri-Bold"/>
          <w:b/>
          <w:bCs/>
          <w:color w:val="FF0000"/>
          <w:sz w:val="24"/>
          <w:szCs w:val="24"/>
        </w:rPr>
        <w:t>global health</w:t>
      </w:r>
      <w:r w:rsidRPr="003530CE">
        <w:rPr>
          <w:rFonts w:ascii="Calibri" w:hAnsi="Calibri" w:cs="Calibri"/>
          <w:color w:val="404040"/>
          <w:sz w:val="24"/>
          <w:szCs w:val="24"/>
        </w:rPr>
        <w:t>?</w:t>
      </w:r>
    </w:p>
    <w:p w14:paraId="7103EC11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9BCC38"/>
          <w:sz w:val="24"/>
          <w:szCs w:val="24"/>
        </w:rPr>
        <w:t xml:space="preserve">◦ </w:t>
      </w:r>
      <w:r w:rsidRPr="003530CE">
        <w:rPr>
          <w:rFonts w:ascii="Calibri" w:hAnsi="Calibri" w:cs="Calibri"/>
          <w:color w:val="404040"/>
          <w:sz w:val="24"/>
          <w:szCs w:val="24"/>
        </w:rPr>
        <w:t>Health problems, issues, and concerns that transcend</w:t>
      </w:r>
    </w:p>
    <w:p w14:paraId="3E844CA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national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boundaries, which may be influenced by</w:t>
      </w:r>
    </w:p>
    <w:p w14:paraId="747D5B8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circumstances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or experiences in other countries, and which</w:t>
      </w:r>
    </w:p>
    <w:p w14:paraId="082D91C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are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best addressed by cooperative actions and solutions</w:t>
      </w:r>
    </w:p>
    <w:p w14:paraId="573F4933" w14:textId="77777777" w:rsidR="001719F9" w:rsidRPr="003530CE" w:rsidRDefault="001719F9" w:rsidP="001719F9">
      <w:pPr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404040"/>
          <w:sz w:val="24"/>
          <w:szCs w:val="24"/>
        </w:rPr>
        <w:t>(Institute Of Medicine, USA‐ 1997)</w:t>
      </w:r>
    </w:p>
    <w:p w14:paraId="31E820AA" w14:textId="77777777" w:rsidR="001719F9" w:rsidRPr="003530CE" w:rsidRDefault="001719F9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404040"/>
          <w:sz w:val="24"/>
          <w:szCs w:val="24"/>
        </w:rPr>
        <w:t>Global Health is derived from Public Health and International Health</w:t>
      </w:r>
    </w:p>
    <w:p w14:paraId="3139EC41" w14:textId="77777777" w:rsidR="001719F9" w:rsidRPr="003530CE" w:rsidRDefault="001719F9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162952EE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  <w:sz w:val="12"/>
          <w:szCs w:val="12"/>
        </w:rPr>
      </w:pPr>
    </w:p>
    <w:p w14:paraId="4A5F3BB8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  <w:sz w:val="12"/>
          <w:szCs w:val="12"/>
        </w:rPr>
      </w:pPr>
    </w:p>
    <w:p w14:paraId="4282D1B8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  <w:sz w:val="12"/>
          <w:szCs w:val="12"/>
        </w:rPr>
      </w:pPr>
    </w:p>
    <w:p w14:paraId="2FB44B73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</w:rPr>
      </w:pPr>
    </w:p>
    <w:p w14:paraId="32BF38D2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</w:rPr>
      </w:pPr>
    </w:p>
    <w:p w14:paraId="6CF3930C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  <w:r>
        <w:rPr>
          <w:rFonts w:ascii="Calibri-Bold" w:hAnsi="Calibri-Bold" w:cs="Calibri-Bold"/>
          <w:b/>
          <w:bCs/>
          <w:color w:val="404040"/>
        </w:rPr>
        <w:t>Public Health</w:t>
      </w:r>
    </w:p>
    <w:p w14:paraId="575D2D7E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2CA7179C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21419789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6C5F30C4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1ADED2C8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7148F4A1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16DDCA9D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55B2A1E8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40FA15F3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5528EEDB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1E6030C3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6B3B5D36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  <w:r>
        <w:rPr>
          <w:rFonts w:ascii="Calibri-Bold" w:hAnsi="Calibri-Bold" w:cs="Calibri-Bold"/>
          <w:b/>
          <w:bCs/>
          <w:color w:val="404040"/>
        </w:rPr>
        <w:t>International Health</w:t>
      </w:r>
    </w:p>
    <w:p w14:paraId="5F73DF8B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7B53CC4E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58D1D35B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04A63031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76936B04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107D6088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34ED006C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0335FFDC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49A55F7B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684CD33E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6650CF08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</w:rPr>
      </w:pPr>
    </w:p>
    <w:p w14:paraId="45235A1F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  <w:r>
        <w:rPr>
          <w:rFonts w:ascii="Calibri-Bold" w:hAnsi="Calibri-Bold" w:cs="Calibri-Bold"/>
          <w:b/>
          <w:bCs/>
          <w:color w:val="404040"/>
        </w:rPr>
        <w:t>Global Health</w:t>
      </w:r>
    </w:p>
    <w:p w14:paraId="78452688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0FE4365B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4105F9C8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1D4C3464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</w:rPr>
      </w:pPr>
    </w:p>
    <w:p w14:paraId="0F82A5CA" w14:textId="77777777" w:rsidR="001719F9" w:rsidRDefault="001719F9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221EF879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192EF561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39883F4A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3AF0C470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41ACCC43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1D24FC6F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2EF4FCDA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0794F876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790C825B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6FF1E5CD" w14:textId="77777777" w:rsid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2E09D658" w14:textId="77777777" w:rsidR="003530CE" w:rsidRPr="003530CE" w:rsidRDefault="003530CE" w:rsidP="001719F9">
      <w:pPr>
        <w:rPr>
          <w:rFonts w:ascii="Calibri-Bold" w:hAnsi="Calibri-Bold" w:cs="Calibri-Bold"/>
          <w:b/>
          <w:bCs/>
          <w:color w:val="404040"/>
          <w:sz w:val="24"/>
          <w:szCs w:val="24"/>
        </w:rPr>
      </w:pPr>
    </w:p>
    <w:p w14:paraId="4A70C4F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FF000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FF0000"/>
          <w:sz w:val="24"/>
          <w:szCs w:val="24"/>
        </w:rPr>
        <w:lastRenderedPageBreak/>
        <w:t>All three entities share the following characteristics:</w:t>
      </w:r>
    </w:p>
    <w:p w14:paraId="6340E6C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1. Priority on a population‐based and preventative</w:t>
      </w:r>
    </w:p>
    <w:p w14:paraId="4BE2898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focus</w:t>
      </w:r>
      <w:proofErr w:type="gramEnd"/>
    </w:p>
    <w:p w14:paraId="4CC3F2F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2. Concentration on poorer, vulnerable, and</w:t>
      </w:r>
    </w:p>
    <w:p w14:paraId="144BBFA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underserved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populations</w:t>
      </w:r>
    </w:p>
    <w:p w14:paraId="39050533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3. Emphasis on health as a public good and the</w:t>
      </w:r>
    </w:p>
    <w:p w14:paraId="10A5359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importance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of systems and structures</w:t>
      </w:r>
    </w:p>
    <w:p w14:paraId="2D05C74F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4. Involved the participation of several different</w:t>
      </w:r>
    </w:p>
    <w:p w14:paraId="51BBF94A" w14:textId="77777777" w:rsidR="001719F9" w:rsidRPr="003530CE" w:rsidRDefault="001719F9" w:rsidP="001719F9">
      <w:pPr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Stakeholders</w:t>
      </w:r>
    </w:p>
    <w:p w14:paraId="335772AF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The Scope of Global Health</w:t>
      </w:r>
    </w:p>
    <w:p w14:paraId="3CD7858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Calibri" w:hAnsi="Calibri" w:cs="Calibri"/>
          <w:color w:val="FF0000"/>
          <w:sz w:val="24"/>
          <w:szCs w:val="24"/>
        </w:rPr>
        <w:t>Non‐Communicable Disease Environmental Health</w:t>
      </w:r>
    </w:p>
    <w:p w14:paraId="33298F3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Calibri" w:hAnsi="Calibri" w:cs="Calibri"/>
          <w:color w:val="FF0000"/>
          <w:sz w:val="24"/>
          <w:szCs w:val="24"/>
        </w:rPr>
        <w:t>Nutrition and Food Systems Mental Health</w:t>
      </w:r>
    </w:p>
    <w:p w14:paraId="5C67F34A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Calibri" w:hAnsi="Calibri" w:cs="Calibri"/>
          <w:color w:val="FF0000"/>
          <w:sz w:val="24"/>
          <w:szCs w:val="24"/>
        </w:rPr>
        <w:t>Unintentional Injuries Disability</w:t>
      </w:r>
    </w:p>
    <w:p w14:paraId="1AED549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Calibri" w:hAnsi="Calibri" w:cs="Calibri"/>
          <w:color w:val="FF0000"/>
          <w:sz w:val="24"/>
          <w:szCs w:val="24"/>
        </w:rPr>
        <w:t>Global Population Dynamics Natural disasters</w:t>
      </w:r>
    </w:p>
    <w:p w14:paraId="1DD2341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Calibri" w:hAnsi="Calibri" w:cs="Calibri"/>
          <w:color w:val="FF0000"/>
          <w:sz w:val="24"/>
          <w:szCs w:val="24"/>
        </w:rPr>
        <w:t>War and Complex Emergencies</w:t>
      </w:r>
    </w:p>
    <w:p w14:paraId="2425220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Most people think that global health is mainly directed at infectious disease</w:t>
      </w:r>
    </w:p>
    <w:p w14:paraId="3F97784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and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maternal and child health issues but it also covers issues related to:</w:t>
      </w:r>
    </w:p>
    <w:p w14:paraId="30EE20CC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The global in Global Health refers to the scope of</w:t>
      </w:r>
    </w:p>
    <w:p w14:paraId="3A6D0641" w14:textId="77777777" w:rsidR="001719F9" w:rsidRPr="003530CE" w:rsidRDefault="001719F9" w:rsidP="001719F9">
      <w:pPr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the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problem not the location</w:t>
      </w:r>
    </w:p>
    <w:p w14:paraId="0395C4C8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Current Global Health Trends</w:t>
      </w:r>
    </w:p>
    <w:p w14:paraId="23AAE5FA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Wingdings-Regular" w:eastAsia="Wingdings-Regular" w:hAnsi="Calibri-Light" w:cs="Wingdings-Regular" w:hint="eastAsia"/>
          <w:color w:val="9BCC38"/>
          <w:sz w:val="24"/>
          <w:szCs w:val="24"/>
        </w:rPr>
        <w:t></w:t>
      </w:r>
      <w:r w:rsidRPr="003530CE">
        <w:rPr>
          <w:rFonts w:ascii="Wingdings-Regular" w:eastAsia="Wingdings-Regular" w:hAnsi="Calibri-Light" w:cs="Wingdings-Regular"/>
          <w:color w:val="9BCC38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Growing population</w:t>
      </w:r>
    </w:p>
    <w:p w14:paraId="6E457FEF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Wingdings-Regular" w:eastAsia="Wingdings-Regular" w:hAnsi="Calibri-Light" w:cs="Wingdings-Regular" w:hint="eastAsia"/>
          <w:color w:val="9BCC38"/>
          <w:sz w:val="24"/>
          <w:szCs w:val="24"/>
        </w:rPr>
        <w:t></w:t>
      </w:r>
      <w:r w:rsidRPr="003530CE">
        <w:rPr>
          <w:rFonts w:ascii="Wingdings-Regular" w:eastAsia="Wingdings-Regular" w:hAnsi="Calibri-Light" w:cs="Wingdings-Regular"/>
          <w:color w:val="9BCC38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Increasing Aging population</w:t>
      </w:r>
    </w:p>
    <w:p w14:paraId="7B49E50A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Wingdings-Regular" w:eastAsia="Wingdings-Regular" w:hAnsi="Calibri-Light" w:cs="Wingdings-Regular" w:hint="eastAsia"/>
          <w:color w:val="9BCC38"/>
          <w:sz w:val="24"/>
          <w:szCs w:val="24"/>
        </w:rPr>
        <w:t></w:t>
      </w:r>
      <w:r w:rsidRPr="003530CE">
        <w:rPr>
          <w:rFonts w:ascii="Wingdings-Regular" w:eastAsia="Wingdings-Regular" w:hAnsi="Calibri-Light" w:cs="Wingdings-Regular"/>
          <w:color w:val="9BCC38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Urbanization</w:t>
      </w:r>
    </w:p>
    <w:p w14:paraId="5CE49C2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Wingdings-Regular" w:eastAsia="Wingdings-Regular" w:hAnsi="Calibri-Light" w:cs="Wingdings-Regular" w:hint="eastAsia"/>
          <w:color w:val="9BCC38"/>
          <w:sz w:val="24"/>
          <w:szCs w:val="24"/>
        </w:rPr>
        <w:t></w:t>
      </w:r>
      <w:r w:rsidRPr="003530CE">
        <w:rPr>
          <w:rFonts w:ascii="Wingdings-Regular" w:eastAsia="Wingdings-Regular" w:hAnsi="Calibri-Light" w:cs="Wingdings-Regular"/>
          <w:color w:val="9BCC38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Globalization</w:t>
      </w:r>
    </w:p>
    <w:p w14:paraId="4947772F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Wingdings-Regular" w:eastAsia="Wingdings-Regular" w:hAnsi="Calibri-Light" w:cs="Wingdings-Regular" w:hint="eastAsia"/>
          <w:color w:val="9BCC38"/>
          <w:sz w:val="24"/>
          <w:szCs w:val="24"/>
        </w:rPr>
        <w:t></w:t>
      </w:r>
      <w:r w:rsidRPr="003530CE">
        <w:rPr>
          <w:rFonts w:ascii="Wingdings-Regular" w:eastAsia="Wingdings-Regular" w:hAnsi="Calibri-Light" w:cs="Wingdings-Regular"/>
          <w:color w:val="9BCC38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Global spread of tobacco</w:t>
      </w:r>
    </w:p>
    <w:p w14:paraId="55B418F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Wingdings-Regular" w:eastAsia="Wingdings-Regular" w:hAnsi="Calibri-Light" w:cs="Wingdings-Regular" w:hint="eastAsia"/>
          <w:color w:val="9BCC38"/>
          <w:sz w:val="24"/>
          <w:szCs w:val="24"/>
        </w:rPr>
        <w:t></w:t>
      </w:r>
      <w:r w:rsidRPr="003530CE">
        <w:rPr>
          <w:rFonts w:ascii="Wingdings-Regular" w:eastAsia="Wingdings-Regular" w:hAnsi="Calibri-Light" w:cs="Wingdings-Regular"/>
          <w:color w:val="9BCC38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Diets high in sugar, fat, salt</w:t>
      </w:r>
    </w:p>
    <w:p w14:paraId="792DD1B4" w14:textId="77777777" w:rsidR="001719F9" w:rsidRPr="003530CE" w:rsidRDefault="001719F9" w:rsidP="001719F9">
      <w:pPr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Wingdings-Regular" w:eastAsia="Wingdings-Regular" w:hAnsi="Calibri-Light" w:cs="Wingdings-Regular" w:hint="eastAsia"/>
          <w:color w:val="9BCC38"/>
          <w:sz w:val="24"/>
          <w:szCs w:val="24"/>
        </w:rPr>
        <w:t></w:t>
      </w:r>
      <w:r w:rsidRPr="003530CE">
        <w:rPr>
          <w:rFonts w:ascii="Wingdings-Regular" w:eastAsia="Wingdings-Regular" w:hAnsi="Calibri-Light" w:cs="Wingdings-Regular"/>
          <w:color w:val="9BCC38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Physical inactivity</w:t>
      </w:r>
    </w:p>
    <w:p w14:paraId="6DD2E5C4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</w:rPr>
      </w:pPr>
      <w:r>
        <w:rPr>
          <w:rFonts w:ascii="Calibri-Light" w:hAnsi="Calibri-Light" w:cs="Calibri-Light"/>
          <w:color w:val="FF0000"/>
        </w:rPr>
        <w:t>The World Health Organization (WHO)</w:t>
      </w:r>
    </w:p>
    <w:p w14:paraId="4EC5885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Forefront of improving health around the world since 1948</w:t>
      </w:r>
    </w:p>
    <w:p w14:paraId="0B0B458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>•</w:t>
      </w:r>
      <w:r w:rsidRPr="003530CE">
        <w:rPr>
          <w:rFonts w:ascii="Calibri" w:hAnsi="Calibri" w:cs="Calibri"/>
          <w:color w:val="404040"/>
          <w:sz w:val="24"/>
          <w:szCs w:val="24"/>
        </w:rPr>
        <w:t>Specialized agency of the United Nations with headquarters in Geneva</w:t>
      </w:r>
    </w:p>
    <w:p w14:paraId="4A75EA3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404040"/>
          <w:sz w:val="24"/>
          <w:szCs w:val="24"/>
        </w:rPr>
        <w:t>Switzerland</w:t>
      </w:r>
    </w:p>
    <w:p w14:paraId="28A6E1A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Composed of 195 members, one country one vote</w:t>
      </w:r>
    </w:p>
    <w:p w14:paraId="252A7FF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Responsible for:</w:t>
      </w:r>
    </w:p>
    <w:p w14:paraId="6A7BA2C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providing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leadership on global health matters</w:t>
      </w:r>
    </w:p>
    <w:p w14:paraId="241FD4A1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shaping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the health research agenda</w:t>
      </w:r>
    </w:p>
    <w:p w14:paraId="742CEA6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setting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norms and standards for health</w:t>
      </w:r>
    </w:p>
    <w:p w14:paraId="7A29109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articulating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evidence‐based policy options</w:t>
      </w:r>
    </w:p>
    <w:p w14:paraId="146E39EA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providing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technical support to countries</w:t>
      </w:r>
    </w:p>
    <w:p w14:paraId="63B07D61" w14:textId="77777777" w:rsidR="001719F9" w:rsidRPr="003530CE" w:rsidRDefault="001719F9" w:rsidP="001719F9">
      <w:pPr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monitoring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and assessing health trends</w:t>
      </w:r>
    </w:p>
    <w:p w14:paraId="04C6D4FF" w14:textId="77777777" w:rsidR="001719F9" w:rsidRDefault="001719F9" w:rsidP="001719F9">
      <w:pPr>
        <w:rPr>
          <w:rFonts w:ascii="Calibri" w:hAnsi="Calibri" w:cs="Calibri"/>
          <w:color w:val="404040"/>
          <w:sz w:val="10"/>
          <w:szCs w:val="10"/>
        </w:rPr>
      </w:pPr>
    </w:p>
    <w:p w14:paraId="5AE5FD8C" w14:textId="77777777" w:rsidR="003530CE" w:rsidRDefault="003530CE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</w:p>
    <w:p w14:paraId="443CC591" w14:textId="77777777" w:rsidR="003530CE" w:rsidRDefault="003530CE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</w:p>
    <w:p w14:paraId="6A74201E" w14:textId="77777777" w:rsidR="003530CE" w:rsidRDefault="003530CE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</w:p>
    <w:p w14:paraId="040113F1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lastRenderedPageBreak/>
        <w:t>Current Priorities of the WHO</w:t>
      </w:r>
    </w:p>
    <w:p w14:paraId="3866AD63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(2014</w:t>
      </w:r>
      <w:r>
        <w:rPr>
          <w:rFonts w:ascii="Cambria Math" w:hAnsi="Cambria Math" w:cs="Cambria Math"/>
          <w:color w:val="FF0000"/>
          <w:sz w:val="30"/>
          <w:szCs w:val="30"/>
        </w:rPr>
        <w:t>‐</w:t>
      </w:r>
      <w:r>
        <w:rPr>
          <w:rFonts w:ascii="Calibri-Light" w:hAnsi="Calibri-Light" w:cs="Calibri-Light"/>
          <w:color w:val="FF0000"/>
          <w:sz w:val="30"/>
          <w:szCs w:val="30"/>
        </w:rPr>
        <w:t>2019)</w:t>
      </w:r>
    </w:p>
    <w:p w14:paraId="5616889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1. Universal Health Coverage</w:t>
      </w:r>
    </w:p>
    <w:p w14:paraId="398278E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2. The International Health Regulations</w:t>
      </w:r>
    </w:p>
    <w:p w14:paraId="5D64CEF1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3. Increasing access to medical products</w:t>
      </w:r>
    </w:p>
    <w:p w14:paraId="7F63E703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4. Social, economic and environmental</w:t>
      </w:r>
    </w:p>
    <w:p w14:paraId="36A25AC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determinant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of health</w:t>
      </w:r>
    </w:p>
    <w:p w14:paraId="0D811B0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 xml:space="preserve">5. </w:t>
      </w:r>
      <w:proofErr w:type="spellStart"/>
      <w:r w:rsidRPr="003530CE">
        <w:rPr>
          <w:rFonts w:ascii="Calibri" w:hAnsi="Calibri" w:cs="Calibri"/>
          <w:color w:val="000000"/>
          <w:sz w:val="24"/>
          <w:szCs w:val="24"/>
        </w:rPr>
        <w:t>Noncommunicable</w:t>
      </w:r>
      <w:proofErr w:type="spellEnd"/>
      <w:r w:rsidRPr="003530CE">
        <w:rPr>
          <w:rFonts w:ascii="Calibri" w:hAnsi="Calibri" w:cs="Calibri"/>
          <w:color w:val="000000"/>
          <w:sz w:val="24"/>
          <w:szCs w:val="24"/>
        </w:rPr>
        <w:t xml:space="preserve"> diseases and mental</w:t>
      </w:r>
    </w:p>
    <w:p w14:paraId="2CF583E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health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>, violence and injuries and</w:t>
      </w:r>
    </w:p>
    <w:p w14:paraId="61D1F18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disabilities</w:t>
      </w:r>
      <w:proofErr w:type="gramEnd"/>
    </w:p>
    <w:p w14:paraId="4E2BEC9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FF000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FF0000"/>
          <w:sz w:val="24"/>
          <w:szCs w:val="24"/>
        </w:rPr>
        <w:t>6. Health</w:t>
      </w:r>
      <w:r w:rsidRPr="003530CE">
        <w:rPr>
          <w:rFonts w:ascii="Cambria Math" w:hAnsi="Cambria Math" w:cs="Cambria Math"/>
          <w:b/>
          <w:bCs/>
          <w:color w:val="FF0000"/>
          <w:sz w:val="24"/>
          <w:szCs w:val="24"/>
        </w:rPr>
        <w:t>‐</w:t>
      </w:r>
      <w:r w:rsidRPr="003530CE">
        <w:rPr>
          <w:rFonts w:ascii="Calibri-Bold" w:hAnsi="Calibri-Bold" w:cs="Calibri-Bold"/>
          <w:b/>
          <w:bCs/>
          <w:color w:val="FF0000"/>
          <w:sz w:val="24"/>
          <w:szCs w:val="24"/>
        </w:rPr>
        <w:t>related Millennium Development</w:t>
      </w:r>
    </w:p>
    <w:p w14:paraId="06200BD7" w14:textId="77777777" w:rsidR="001719F9" w:rsidRPr="003530CE" w:rsidRDefault="001719F9" w:rsidP="001719F9">
      <w:pPr>
        <w:rPr>
          <w:rFonts w:ascii="Calibri-Bold" w:hAnsi="Calibri-Bold" w:cs="Calibri-Bold"/>
          <w:b/>
          <w:bCs/>
          <w:color w:val="FF000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FF0000"/>
          <w:sz w:val="24"/>
          <w:szCs w:val="24"/>
        </w:rPr>
        <w:t>Goals</w:t>
      </w:r>
    </w:p>
    <w:p w14:paraId="1672E650" w14:textId="77777777" w:rsidR="001719F9" w:rsidRDefault="001719F9" w:rsidP="001719F9">
      <w:pPr>
        <w:rPr>
          <w:rFonts w:ascii="Calibri-Bold" w:hAnsi="Calibri-Bold" w:cs="Calibri-Bold"/>
          <w:b/>
          <w:bCs/>
          <w:color w:val="FF0000"/>
          <w:sz w:val="11"/>
          <w:szCs w:val="11"/>
        </w:rPr>
      </w:pPr>
    </w:p>
    <w:p w14:paraId="50FA4F2C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25"/>
          <w:szCs w:val="25"/>
        </w:rPr>
      </w:pPr>
      <w:r>
        <w:rPr>
          <w:rFonts w:ascii="Calibri-Light" w:hAnsi="Calibri-Light" w:cs="Calibri-Light"/>
          <w:color w:val="FF0000"/>
          <w:sz w:val="25"/>
          <w:szCs w:val="25"/>
        </w:rPr>
        <w:t>UN Millennium Development Goals</w:t>
      </w:r>
    </w:p>
    <w:p w14:paraId="2DBC291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In September 2000 the largest gathering of world</w:t>
      </w:r>
    </w:p>
    <w:p w14:paraId="26815CF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leaders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in history adopted the UN Millennium</w:t>
      </w:r>
    </w:p>
    <w:p w14:paraId="4BD7D14F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Calibri" w:hAnsi="Calibri" w:cs="Calibri"/>
          <w:color w:val="000000"/>
          <w:sz w:val="24"/>
          <w:szCs w:val="24"/>
        </w:rPr>
        <w:t>Declaration</w:t>
      </w:r>
    </w:p>
    <w:p w14:paraId="3185A74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New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global partnership to reduce extreme</w:t>
      </w:r>
    </w:p>
    <w:p w14:paraId="6F6F37F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poverty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and setting out a series of time‐bound</w:t>
      </w:r>
    </w:p>
    <w:p w14:paraId="18C3E60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000000"/>
          <w:sz w:val="24"/>
          <w:szCs w:val="24"/>
        </w:rPr>
        <w:t>targets</w:t>
      </w:r>
      <w:proofErr w:type="gramEnd"/>
      <w:r w:rsidRPr="003530CE">
        <w:rPr>
          <w:rFonts w:ascii="Calibri" w:hAnsi="Calibri" w:cs="Calibri"/>
          <w:color w:val="000000"/>
          <w:sz w:val="24"/>
          <w:szCs w:val="24"/>
        </w:rPr>
        <w:t xml:space="preserve"> (by 2015)</w:t>
      </w:r>
    </w:p>
    <w:p w14:paraId="2E5BD9B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Many dimensions:</w:t>
      </w:r>
    </w:p>
    <w:p w14:paraId="14BCB03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Income poverty</w:t>
      </w:r>
    </w:p>
    <w:p w14:paraId="25C0897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Hunger</w:t>
      </w:r>
    </w:p>
    <w:p w14:paraId="66676F01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Disease</w:t>
      </w:r>
    </w:p>
    <w:p w14:paraId="291A571A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Lack of adequate shelter</w:t>
      </w:r>
    </w:p>
    <w:p w14:paraId="728C3CD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Gender equality</w:t>
      </w:r>
    </w:p>
    <w:p w14:paraId="0906C70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Education</w:t>
      </w:r>
    </w:p>
    <w:p w14:paraId="640DC63C" w14:textId="77777777" w:rsidR="001719F9" w:rsidRPr="003530CE" w:rsidRDefault="001719F9" w:rsidP="001719F9">
      <w:pPr>
        <w:rPr>
          <w:rFonts w:ascii="Calibri" w:hAnsi="Calibri" w:cs="Calibri"/>
          <w:color w:val="000000"/>
          <w:sz w:val="24"/>
          <w:szCs w:val="24"/>
        </w:rPr>
      </w:pPr>
      <w:r w:rsidRPr="003530CE">
        <w:rPr>
          <w:rFonts w:ascii="ArialMT" w:hAnsi="ArialMT" w:cs="ArialMT"/>
          <w:color w:val="000000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000000"/>
          <w:sz w:val="24"/>
          <w:szCs w:val="24"/>
        </w:rPr>
        <w:t>Environmental sustainability</w:t>
      </w:r>
    </w:p>
    <w:p w14:paraId="7F7AC735" w14:textId="77777777" w:rsidR="001719F9" w:rsidRDefault="001719F9" w:rsidP="001719F9">
      <w:pPr>
        <w:rPr>
          <w:rFonts w:ascii="Calibri" w:hAnsi="Calibri" w:cs="Calibri"/>
          <w:color w:val="000000"/>
          <w:sz w:val="11"/>
          <w:szCs w:val="11"/>
        </w:rPr>
      </w:pPr>
    </w:p>
    <w:p w14:paraId="24392D2C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404040"/>
          <w:sz w:val="30"/>
          <w:szCs w:val="30"/>
        </w:rPr>
      </w:pPr>
      <w:r>
        <w:rPr>
          <w:rFonts w:ascii="Calibri-Light" w:hAnsi="Calibri-Light" w:cs="Calibri-Light"/>
          <w:color w:val="404040"/>
          <w:sz w:val="30"/>
          <w:szCs w:val="30"/>
        </w:rPr>
        <w:t>Poorest and most vulnerable</w:t>
      </w:r>
      <w:r w:rsidR="003530CE">
        <w:rPr>
          <w:rFonts w:ascii="Calibri-Light" w:hAnsi="Calibri-Light" w:cs="Calibri-Light"/>
          <w:color w:val="404040"/>
          <w:sz w:val="30"/>
          <w:szCs w:val="30"/>
        </w:rPr>
        <w:t xml:space="preserve"> </w:t>
      </w:r>
      <w:r>
        <w:rPr>
          <w:rFonts w:ascii="Calibri-Light" w:hAnsi="Calibri-Light" w:cs="Calibri-Light"/>
          <w:color w:val="404040"/>
          <w:sz w:val="30"/>
          <w:szCs w:val="30"/>
        </w:rPr>
        <w:t>are still being left behind</w:t>
      </w:r>
    </w:p>
    <w:p w14:paraId="4086C0A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Gender inequality still persists</w:t>
      </w:r>
    </w:p>
    <w:p w14:paraId="0C98E3EA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Big gaps between the poorest and richest households, and between</w:t>
      </w:r>
    </w:p>
    <w:p w14:paraId="606C526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rural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and urban areas</w:t>
      </w:r>
    </w:p>
    <w:p w14:paraId="36A26E2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Climate change and environmental degradation undermine progress</w:t>
      </w:r>
    </w:p>
    <w:p w14:paraId="10685FC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achieved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>, and poor people suffer the most</w:t>
      </w:r>
    </w:p>
    <w:p w14:paraId="0F2F2312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Conflict remains the biggest threat to human development</w:t>
      </w:r>
    </w:p>
    <w:p w14:paraId="1E6131D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Millions of poor people still live in poverty and hunger, without access</w:t>
      </w:r>
    </w:p>
    <w:p w14:paraId="11C2102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to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basic services</w:t>
      </w:r>
    </w:p>
    <w:p w14:paraId="5CF3469E" w14:textId="77777777" w:rsidR="001719F9" w:rsidRPr="003530CE" w:rsidRDefault="001719F9" w:rsidP="001719F9">
      <w:pPr>
        <w:rPr>
          <w:rFonts w:ascii="Calibri-Bold" w:hAnsi="Calibri-Bold" w:cs="Calibri-Bold"/>
          <w:b/>
          <w:bCs/>
          <w:color w:val="FF0000"/>
          <w:sz w:val="24"/>
          <w:szCs w:val="24"/>
        </w:rPr>
      </w:pPr>
      <w:r w:rsidRPr="003530CE">
        <w:rPr>
          <w:rFonts w:ascii="Calibri-Bold" w:hAnsi="Calibri-Bold" w:cs="Calibri-Bold"/>
          <w:b/>
          <w:bCs/>
          <w:color w:val="FF0000"/>
          <w:sz w:val="24"/>
          <w:szCs w:val="24"/>
        </w:rPr>
        <w:t>SUCCESSES OF MDG PROVE GLOBAL ACTION WORKS</w:t>
      </w:r>
    </w:p>
    <w:p w14:paraId="7BE9050B" w14:textId="77777777" w:rsidR="001719F9" w:rsidRDefault="001719F9" w:rsidP="001719F9">
      <w:pPr>
        <w:rPr>
          <w:rFonts w:ascii="Calibri-Bold" w:hAnsi="Calibri-Bold" w:cs="Calibri-Bold"/>
          <w:b/>
          <w:bCs/>
          <w:color w:val="FF0000"/>
          <w:sz w:val="15"/>
          <w:szCs w:val="15"/>
        </w:rPr>
      </w:pPr>
    </w:p>
    <w:p w14:paraId="35737B8C" w14:textId="77777777" w:rsidR="003530CE" w:rsidRDefault="003530CE" w:rsidP="001719F9">
      <w:pPr>
        <w:rPr>
          <w:rFonts w:ascii="Calibri-Bold" w:hAnsi="Calibri-Bold" w:cs="Calibri-Bold"/>
          <w:b/>
          <w:bCs/>
          <w:color w:val="FF0000"/>
          <w:sz w:val="15"/>
          <w:szCs w:val="15"/>
        </w:rPr>
      </w:pPr>
    </w:p>
    <w:p w14:paraId="2A5769C6" w14:textId="77777777" w:rsidR="003530CE" w:rsidRDefault="003530CE" w:rsidP="001719F9">
      <w:pPr>
        <w:rPr>
          <w:rFonts w:ascii="Calibri-Bold" w:hAnsi="Calibri-Bold" w:cs="Calibri-Bold"/>
          <w:b/>
          <w:bCs/>
          <w:color w:val="FF0000"/>
          <w:sz w:val="15"/>
          <w:szCs w:val="15"/>
        </w:rPr>
      </w:pPr>
    </w:p>
    <w:p w14:paraId="7681A871" w14:textId="77777777" w:rsidR="003530CE" w:rsidRDefault="003530CE" w:rsidP="001719F9">
      <w:pPr>
        <w:rPr>
          <w:rFonts w:ascii="Calibri-Bold" w:hAnsi="Calibri-Bold" w:cs="Calibri-Bold"/>
          <w:b/>
          <w:bCs/>
          <w:color w:val="FF0000"/>
          <w:sz w:val="15"/>
          <w:szCs w:val="15"/>
        </w:rPr>
      </w:pPr>
    </w:p>
    <w:p w14:paraId="6727FD3F" w14:textId="77777777" w:rsidR="001719F9" w:rsidRPr="003530CE" w:rsidRDefault="001719F9" w:rsidP="003530C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FF0000"/>
          <w:sz w:val="28"/>
          <w:szCs w:val="28"/>
        </w:rPr>
      </w:pPr>
      <w:r w:rsidRPr="003530CE">
        <w:rPr>
          <w:rFonts w:ascii="Calibri-Bold" w:hAnsi="Calibri-Bold" w:cs="Calibri-Bold"/>
          <w:b/>
          <w:bCs/>
          <w:color w:val="FF0000"/>
          <w:sz w:val="28"/>
          <w:szCs w:val="28"/>
        </w:rPr>
        <w:lastRenderedPageBreak/>
        <w:t>Are People Living Longer</w:t>
      </w:r>
      <w:r w:rsidR="003530CE" w:rsidRPr="003530CE">
        <w:rPr>
          <w:rFonts w:ascii="Calibri-Bold" w:hAnsi="Calibri-Bold" w:cs="Calibri-Bold"/>
          <w:b/>
          <w:bCs/>
          <w:color w:val="FF0000"/>
          <w:sz w:val="28"/>
          <w:szCs w:val="28"/>
        </w:rPr>
        <w:t xml:space="preserve"> </w:t>
      </w:r>
      <w:r w:rsidRPr="003530CE">
        <w:rPr>
          <w:rFonts w:ascii="Calibri-Bold" w:hAnsi="Calibri-Bold" w:cs="Calibri-Bold"/>
          <w:b/>
          <w:bCs/>
          <w:color w:val="FF0000"/>
          <w:sz w:val="28"/>
          <w:szCs w:val="28"/>
        </w:rPr>
        <w:t>But Getting Sicker?</w:t>
      </w:r>
    </w:p>
    <w:p w14:paraId="042B4005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404040"/>
          <w:sz w:val="30"/>
          <w:szCs w:val="30"/>
        </w:rPr>
      </w:pPr>
      <w:r>
        <w:rPr>
          <w:rFonts w:ascii="Calibri-Light" w:hAnsi="Calibri-Light" w:cs="Calibri-Light"/>
          <w:color w:val="404040"/>
          <w:sz w:val="30"/>
          <w:szCs w:val="30"/>
        </w:rPr>
        <w:t>Health Transition Theories</w:t>
      </w:r>
    </w:p>
    <w:p w14:paraId="0A43A30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Epidemiological Transition</w:t>
      </w:r>
    </w:p>
    <w:p w14:paraId="5FD251F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FF0000"/>
          <w:sz w:val="24"/>
          <w:szCs w:val="24"/>
        </w:rPr>
        <w:t>Complex change in patterns of health and disease</w:t>
      </w:r>
    </w:p>
    <w:p w14:paraId="229FEF7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FF0000"/>
          <w:sz w:val="24"/>
          <w:szCs w:val="24"/>
        </w:rPr>
        <w:t>Interactions between demographic, economic and</w:t>
      </w:r>
    </w:p>
    <w:p w14:paraId="6CB3581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FF0000"/>
          <w:sz w:val="24"/>
          <w:szCs w:val="24"/>
        </w:rPr>
        <w:t>sociological</w:t>
      </w:r>
      <w:proofErr w:type="gramEnd"/>
      <w:r w:rsidRPr="003530CE">
        <w:rPr>
          <w:rFonts w:ascii="Calibri" w:hAnsi="Calibri" w:cs="Calibri"/>
          <w:color w:val="FF0000"/>
          <w:sz w:val="24"/>
          <w:szCs w:val="24"/>
        </w:rPr>
        <w:t xml:space="preserve"> determinants and consequences</w:t>
      </w:r>
    </w:p>
    <w:p w14:paraId="37464CD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Demographic Transition</w:t>
      </w:r>
    </w:p>
    <w:p w14:paraId="1EFF4EE5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FF0000"/>
          <w:sz w:val="24"/>
          <w:szCs w:val="24"/>
        </w:rPr>
        <w:t>Change in birth and death rates</w:t>
      </w:r>
    </w:p>
    <w:p w14:paraId="438258C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Risk Transition</w:t>
      </w:r>
    </w:p>
    <w:p w14:paraId="7A954706" w14:textId="77777777" w:rsidR="003530CE" w:rsidRPr="003530CE" w:rsidRDefault="001719F9" w:rsidP="003530CE">
      <w:pPr>
        <w:rPr>
          <w:rFonts w:ascii="Calibri" w:hAnsi="Calibri" w:cs="Calibri"/>
          <w:color w:val="FF000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FF0000"/>
          <w:sz w:val="24"/>
          <w:szCs w:val="24"/>
        </w:rPr>
        <w:t>Complex change in risk factors associated with disease</w:t>
      </w:r>
    </w:p>
    <w:p w14:paraId="4BD2A4DE" w14:textId="77777777" w:rsidR="003530CE" w:rsidRDefault="003530CE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</w:p>
    <w:p w14:paraId="6B0BC3DE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Global HALE</w:t>
      </w:r>
    </w:p>
    <w:p w14:paraId="3D661914" w14:textId="77777777" w:rsidR="003530CE" w:rsidRPr="003530CE" w:rsidRDefault="003530CE" w:rsidP="003530CE">
      <w:pPr>
        <w:spacing w:after="0" w:line="240" w:lineRule="auto"/>
        <w:rPr>
          <w:rFonts w:ascii="Times" w:eastAsia="Times New Roman" w:hAnsi="Times" w:cs="Times New Roman"/>
          <w:sz w:val="20"/>
          <w:szCs w:val="20"/>
          <w:lang w:val="en-US"/>
        </w:rPr>
      </w:pPr>
      <w:r w:rsidRPr="003530CE">
        <w:rPr>
          <w:rFonts w:ascii="Times" w:eastAsia="Times New Roman" w:hAnsi="Times" w:cs="Times New Roman"/>
          <w:sz w:val="20"/>
          <w:szCs w:val="20"/>
          <w:lang w:val="en-US"/>
        </w:rPr>
        <w:t>Health Adjusted Life Expectancy (HALE): Average number of years that a person can expect to live in "full health" by taking into account years lived in less than full health due to disease and/or injury</w:t>
      </w:r>
    </w:p>
    <w:p w14:paraId="10DCF0CE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</w:rPr>
      </w:pPr>
      <w:r w:rsidRPr="003530CE">
        <w:rPr>
          <w:rFonts w:ascii="ArialMT" w:hAnsi="ArialMT" w:cs="ArialMT"/>
          <w:color w:val="9BCC38"/>
        </w:rPr>
        <w:t xml:space="preserve">• </w:t>
      </w:r>
      <w:r w:rsidRPr="003530CE">
        <w:rPr>
          <w:rFonts w:ascii="Calibri" w:hAnsi="Calibri" w:cs="Calibri"/>
          <w:color w:val="404040"/>
        </w:rPr>
        <w:t>Global male HALE at birth was 59 years; global female HALE at birth</w:t>
      </w:r>
    </w:p>
    <w:p w14:paraId="070ECED4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</w:rPr>
      </w:pPr>
      <w:proofErr w:type="gramStart"/>
      <w:r w:rsidRPr="003530CE">
        <w:rPr>
          <w:rFonts w:ascii="Calibri" w:hAnsi="Calibri" w:cs="Calibri"/>
          <w:color w:val="404040"/>
        </w:rPr>
        <w:t>was</w:t>
      </w:r>
      <w:proofErr w:type="gramEnd"/>
      <w:r w:rsidRPr="003530CE">
        <w:rPr>
          <w:rFonts w:ascii="Calibri" w:hAnsi="Calibri" w:cs="Calibri"/>
          <w:color w:val="404040"/>
        </w:rPr>
        <w:t xml:space="preserve"> 63.2 years</w:t>
      </w:r>
    </w:p>
    <w:p w14:paraId="5E215323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</w:rPr>
      </w:pPr>
      <w:r w:rsidRPr="003530CE">
        <w:rPr>
          <w:rFonts w:ascii="ArialMT" w:hAnsi="ArialMT" w:cs="ArialMT"/>
          <w:color w:val="9BCC38"/>
        </w:rPr>
        <w:t xml:space="preserve">• </w:t>
      </w:r>
      <w:r w:rsidRPr="003530CE">
        <w:rPr>
          <w:rFonts w:ascii="Calibri" w:hAnsi="Calibri" w:cs="Calibri"/>
          <w:color w:val="404040"/>
        </w:rPr>
        <w:t>HALE increased more slowly over past 20 years</w:t>
      </w:r>
    </w:p>
    <w:p w14:paraId="3F7F416D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</w:rPr>
      </w:pPr>
      <w:r w:rsidRPr="003530CE">
        <w:rPr>
          <w:rFonts w:ascii="ArialMT" w:hAnsi="ArialMT" w:cs="ArialMT"/>
          <w:color w:val="9BCC38"/>
        </w:rPr>
        <w:t xml:space="preserve">• </w:t>
      </w:r>
      <w:r w:rsidRPr="003530CE">
        <w:rPr>
          <w:rFonts w:ascii="Calibri" w:hAnsi="Calibri" w:cs="Calibri"/>
          <w:color w:val="404040"/>
        </w:rPr>
        <w:t>HALE differs significantly between countries</w:t>
      </w:r>
    </w:p>
    <w:p w14:paraId="0FFDD90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</w:rPr>
      </w:pPr>
      <w:r w:rsidRPr="003530CE">
        <w:rPr>
          <w:rFonts w:ascii="ArialMT" w:hAnsi="ArialMT" w:cs="ArialMT"/>
          <w:color w:val="9BCC38"/>
        </w:rPr>
        <w:t xml:space="preserve">• </w:t>
      </w:r>
      <w:r w:rsidRPr="003530CE">
        <w:rPr>
          <w:rFonts w:ascii="Calibri" w:hAnsi="Calibri" w:cs="Calibri"/>
          <w:color w:val="404040"/>
        </w:rPr>
        <w:t>Haiti: Male 27.8 years, Female 37.1 years</w:t>
      </w:r>
    </w:p>
    <w:p w14:paraId="187BA0A3" w14:textId="77777777" w:rsidR="001719F9" w:rsidRPr="003530CE" w:rsidRDefault="001719F9" w:rsidP="001719F9">
      <w:pPr>
        <w:rPr>
          <w:rFonts w:ascii="Calibri" w:hAnsi="Calibri" w:cs="Calibri"/>
          <w:color w:val="404040"/>
        </w:rPr>
      </w:pPr>
      <w:r w:rsidRPr="003530CE">
        <w:rPr>
          <w:rFonts w:ascii="ArialMT" w:hAnsi="ArialMT" w:cs="ArialMT"/>
          <w:color w:val="9BCC38"/>
        </w:rPr>
        <w:t xml:space="preserve">• </w:t>
      </w:r>
      <w:r w:rsidRPr="003530CE">
        <w:rPr>
          <w:rFonts w:ascii="Calibri" w:hAnsi="Calibri" w:cs="Calibri"/>
          <w:color w:val="404040"/>
        </w:rPr>
        <w:t>Japan: Male 70.6 years, Female 75.5 years</w:t>
      </w:r>
    </w:p>
    <w:p w14:paraId="59CE3E71" w14:textId="77777777" w:rsidR="001719F9" w:rsidRDefault="001719F9" w:rsidP="001719F9">
      <w:pPr>
        <w:rPr>
          <w:rFonts w:ascii="Calibri" w:hAnsi="Calibri" w:cs="Calibri"/>
          <w:color w:val="404040"/>
          <w:sz w:val="11"/>
          <w:szCs w:val="11"/>
        </w:rPr>
      </w:pPr>
    </w:p>
    <w:p w14:paraId="583E5BDA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Global Health Risks</w:t>
      </w:r>
    </w:p>
    <w:p w14:paraId="6B569C2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To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prevent disease and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injury, we need to identify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the health risks that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underlie them</w:t>
      </w:r>
    </w:p>
    <w:p w14:paraId="74B060F9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Each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risk has its own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cause which may result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from a complex chain of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events over time</w:t>
      </w:r>
    </w:p>
    <w:p w14:paraId="2D851948" w14:textId="77777777" w:rsidR="001719F9" w:rsidRPr="003530CE" w:rsidRDefault="001719F9" w:rsidP="003530C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The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causal chain offers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many entry points for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intervention</w:t>
      </w:r>
    </w:p>
    <w:p w14:paraId="6627BD7D" w14:textId="77777777" w:rsidR="001719F9" w:rsidRDefault="001719F9" w:rsidP="001719F9">
      <w:pPr>
        <w:rPr>
          <w:rFonts w:ascii="Calibri" w:hAnsi="Calibri" w:cs="Calibri"/>
          <w:color w:val="404040"/>
          <w:sz w:val="14"/>
          <w:szCs w:val="14"/>
        </w:rPr>
      </w:pPr>
    </w:p>
    <w:p w14:paraId="1D9D588D" w14:textId="77777777" w:rsidR="001719F9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-Light" w:hAnsi="Calibri-Light" w:cs="Calibri-Light"/>
          <w:color w:val="FF0000"/>
          <w:sz w:val="30"/>
          <w:szCs w:val="30"/>
        </w:rPr>
      </w:pPr>
      <w:r>
        <w:rPr>
          <w:rFonts w:ascii="Calibri-Light" w:hAnsi="Calibri-Light" w:cs="Calibri-Light"/>
          <w:color w:val="FF0000"/>
          <w:sz w:val="30"/>
          <w:szCs w:val="30"/>
        </w:rPr>
        <w:t>Summary</w:t>
      </w:r>
    </w:p>
    <w:p w14:paraId="385AE187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Global Health transcends national boundaries and deals with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 xml:space="preserve">health </w:t>
      </w: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problems which may be influenced by circumstances or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experiences in other countries ‐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Disease knows no boundaries!!</w:t>
      </w:r>
    </w:p>
    <w:p w14:paraId="118ADCC0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Progress in drinking‐water, sanitation, development of national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health systems, antib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iotics, </w:t>
      </w:r>
      <w:r w:rsidRPr="003530CE">
        <w:rPr>
          <w:rFonts w:ascii="Calibri" w:hAnsi="Calibri" w:cs="Calibri"/>
          <w:color w:val="404040"/>
          <w:sz w:val="24"/>
          <w:szCs w:val="24"/>
        </w:rPr>
        <w:t>mass immunization and better</w:t>
      </w:r>
      <w:r w:rsidR="003530CE">
        <w:rPr>
          <w:rFonts w:ascii="Calibri" w:hAnsi="Calibri" w:cs="Calibri"/>
          <w:color w:val="404040"/>
          <w:sz w:val="24"/>
          <w:szCs w:val="24"/>
        </w:rPr>
        <w:t xml:space="preserve"> </w:t>
      </w:r>
      <w:r w:rsidRPr="003530CE">
        <w:rPr>
          <w:rFonts w:ascii="Calibri" w:hAnsi="Calibri" w:cs="Calibri"/>
          <w:color w:val="404040"/>
          <w:sz w:val="24"/>
          <w:szCs w:val="24"/>
        </w:rPr>
        <w:t>nutrition have changed the global burden of disease</w:t>
      </w:r>
    </w:p>
    <w:p w14:paraId="17436A06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ArialMT" w:hAnsi="ArialMT" w:cs="ArialMT"/>
          <w:color w:val="9BCC38"/>
          <w:sz w:val="24"/>
          <w:szCs w:val="24"/>
        </w:rPr>
        <w:t xml:space="preserve">• </w:t>
      </w:r>
      <w:r w:rsidRPr="003530CE">
        <w:rPr>
          <w:rFonts w:ascii="Calibri" w:hAnsi="Calibri" w:cs="Calibri"/>
          <w:color w:val="404040"/>
          <w:sz w:val="24"/>
          <w:szCs w:val="24"/>
        </w:rPr>
        <w:t>There is an urgent need to raise the profile of NCDs on the</w:t>
      </w:r>
    </w:p>
    <w:p w14:paraId="10472B78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proofErr w:type="gramStart"/>
      <w:r w:rsidRPr="003530CE">
        <w:rPr>
          <w:rFonts w:ascii="Calibri" w:hAnsi="Calibri" w:cs="Calibri"/>
          <w:color w:val="404040"/>
          <w:sz w:val="24"/>
          <w:szCs w:val="24"/>
        </w:rPr>
        <w:t>international</w:t>
      </w:r>
      <w:proofErr w:type="gramEnd"/>
      <w:r w:rsidRPr="003530CE">
        <w:rPr>
          <w:rFonts w:ascii="Calibri" w:hAnsi="Calibri" w:cs="Calibri"/>
          <w:color w:val="404040"/>
          <w:sz w:val="24"/>
          <w:szCs w:val="24"/>
        </w:rPr>
        <w:t xml:space="preserve"> development agenda (over 75 percent of deaths by</w:t>
      </w:r>
    </w:p>
    <w:p w14:paraId="155B526B" w14:textId="77777777" w:rsidR="001719F9" w:rsidRPr="003530CE" w:rsidRDefault="001719F9" w:rsidP="001719F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404040"/>
          <w:sz w:val="24"/>
          <w:szCs w:val="24"/>
        </w:rPr>
      </w:pPr>
      <w:r w:rsidRPr="003530CE">
        <w:rPr>
          <w:rFonts w:ascii="Calibri" w:hAnsi="Calibri" w:cs="Calibri"/>
          <w:color w:val="404040"/>
          <w:sz w:val="24"/>
          <w:szCs w:val="24"/>
        </w:rPr>
        <w:t>2030)</w:t>
      </w:r>
    </w:p>
    <w:p w14:paraId="6B7592B5" w14:textId="77777777" w:rsidR="001719F9" w:rsidRDefault="001719F9" w:rsidP="001719F9">
      <w:pPr>
        <w:rPr>
          <w:rFonts w:ascii="Calibri" w:hAnsi="Calibri" w:cs="Calibri"/>
          <w:color w:val="000000"/>
          <w:sz w:val="12"/>
          <w:szCs w:val="12"/>
        </w:rPr>
      </w:pPr>
    </w:p>
    <w:p w14:paraId="188A20AB" w14:textId="77777777" w:rsidR="001719F9" w:rsidRDefault="001719F9" w:rsidP="001719F9"/>
    <w:sectPr w:rsidR="001719F9" w:rsidSect="003530CE">
      <w:pgSz w:w="12240" w:h="15840"/>
      <w:pgMar w:top="993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-Light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Wingding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9F9"/>
    <w:rsid w:val="001719F9"/>
    <w:rsid w:val="003530CE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FBF4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6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1128</Words>
  <Characters>6436</Characters>
  <Application>Microsoft Macintosh Word</Application>
  <DocSecurity>0</DocSecurity>
  <Lines>53</Lines>
  <Paragraphs>15</Paragraphs>
  <ScaleCrop>false</ScaleCrop>
  <Company>Carleton University</Company>
  <LinksUpToDate>false</LinksUpToDate>
  <CharactersWithSpaces>7549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Carleton University</dc:creator>
  <cp:keywords/>
  <dc:description/>
  <cp:lastModifiedBy>Zainab Abdulhusein</cp:lastModifiedBy>
  <cp:revision>2</cp:revision>
  <dcterms:created xsi:type="dcterms:W3CDTF">2015-10-05T19:17:00Z</dcterms:created>
  <dcterms:modified xsi:type="dcterms:W3CDTF">2015-10-05T20:30:00Z</dcterms:modified>
</cp:coreProperties>
</file>