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3B7CC3" w:rsidRDefault="003B7CC3" w:rsidP="003B7CC3">
      <w:pPr>
        <w:pStyle w:val="Default"/>
        <w:rPr>
          <w:b/>
          <w:bCs/>
          <w:sz w:val="23"/>
          <w:szCs w:val="23"/>
        </w:rPr>
      </w:pPr>
      <w:r>
        <w:rPr>
          <w:b/>
          <w:bCs/>
          <w:sz w:val="23"/>
          <w:szCs w:val="23"/>
        </w:rPr>
        <w:t>I Write Therefore I am: The “Literary Turn” and Cultural Studies                October 26</w:t>
      </w:r>
      <w:r w:rsidRPr="003B7CC3">
        <w:rPr>
          <w:b/>
          <w:bCs/>
          <w:sz w:val="23"/>
          <w:szCs w:val="23"/>
          <w:vertAlign w:val="superscript"/>
        </w:rPr>
        <w:t>th</w:t>
      </w:r>
      <w:r>
        <w:rPr>
          <w:b/>
          <w:bCs/>
          <w:sz w:val="23"/>
          <w:szCs w:val="23"/>
        </w:rPr>
        <w:t>, 2010</w:t>
      </w:r>
    </w:p>
    <w:p w:rsidR="003B7CC3" w:rsidRDefault="003B7CC3" w:rsidP="003B7CC3">
      <w:pPr>
        <w:pStyle w:val="Default"/>
        <w:rPr>
          <w:b/>
          <w:bCs/>
          <w:sz w:val="23"/>
          <w:szCs w:val="23"/>
        </w:rPr>
      </w:pPr>
    </w:p>
    <w:p w:rsidR="003B7CC3" w:rsidRPr="003B7CC3" w:rsidRDefault="003B7CC3" w:rsidP="003B7CC3">
      <w:pPr>
        <w:pStyle w:val="Default"/>
        <w:rPr>
          <w:sz w:val="23"/>
          <w:szCs w:val="23"/>
          <w:u w:val="single"/>
        </w:rPr>
      </w:pPr>
      <w:r w:rsidRPr="003B7CC3">
        <w:rPr>
          <w:sz w:val="23"/>
          <w:szCs w:val="23"/>
          <w:u w:val="single"/>
        </w:rPr>
        <w:t>Readings:</w:t>
      </w:r>
    </w:p>
    <w:p w:rsidR="003B7CC3" w:rsidRDefault="003B7CC3" w:rsidP="003B7CC3">
      <w:pPr>
        <w:pStyle w:val="Default"/>
        <w:rPr>
          <w:sz w:val="23"/>
          <w:szCs w:val="23"/>
        </w:rPr>
      </w:pPr>
      <w:r>
        <w:rPr>
          <w:b/>
          <w:bCs/>
          <w:sz w:val="23"/>
          <w:szCs w:val="23"/>
        </w:rPr>
        <w:t xml:space="preserve">1. </w:t>
      </w:r>
      <w:r>
        <w:rPr>
          <w:sz w:val="23"/>
          <w:szCs w:val="23"/>
        </w:rPr>
        <w:t xml:space="preserve">Clifford, James. 1983. AOn Ethnographic Authority.@ </w:t>
      </w:r>
      <w:r>
        <w:rPr>
          <w:i/>
          <w:iCs/>
          <w:sz w:val="23"/>
          <w:szCs w:val="23"/>
        </w:rPr>
        <w:t xml:space="preserve">Representations </w:t>
      </w:r>
      <w:r>
        <w:rPr>
          <w:sz w:val="23"/>
          <w:szCs w:val="23"/>
        </w:rPr>
        <w:t xml:space="preserve">1(2):118-146. </w:t>
      </w:r>
    </w:p>
    <w:p w:rsidR="003B7CC3" w:rsidRDefault="003B7CC3" w:rsidP="003B7CC3">
      <w:pPr>
        <w:pStyle w:val="Default"/>
        <w:rPr>
          <w:sz w:val="23"/>
          <w:szCs w:val="23"/>
        </w:rPr>
      </w:pPr>
      <w:r>
        <w:rPr>
          <w:b/>
          <w:bCs/>
          <w:sz w:val="23"/>
          <w:szCs w:val="23"/>
        </w:rPr>
        <w:t xml:space="preserve">2. </w:t>
      </w:r>
      <w:r>
        <w:rPr>
          <w:sz w:val="23"/>
          <w:szCs w:val="23"/>
        </w:rPr>
        <w:t xml:space="preserve">Clifford, James. 1986. “Introduction: Partial Truths.” In James Clifford and George </w:t>
      </w:r>
    </w:p>
    <w:p w:rsidR="003B7CC3" w:rsidRDefault="003B7CC3" w:rsidP="003B7CC3">
      <w:pPr>
        <w:pStyle w:val="Default"/>
        <w:rPr>
          <w:sz w:val="23"/>
          <w:szCs w:val="23"/>
        </w:rPr>
      </w:pPr>
      <w:r>
        <w:rPr>
          <w:sz w:val="23"/>
          <w:szCs w:val="23"/>
        </w:rPr>
        <w:t xml:space="preserve">Marcus (eds) </w:t>
      </w:r>
      <w:r>
        <w:rPr>
          <w:i/>
          <w:iCs/>
          <w:sz w:val="23"/>
          <w:szCs w:val="23"/>
        </w:rPr>
        <w:t>Writing Culture</w:t>
      </w:r>
      <w:r>
        <w:rPr>
          <w:sz w:val="23"/>
          <w:szCs w:val="23"/>
        </w:rPr>
        <w:t xml:space="preserve">. Pp. 1-26. Berkeley: University of California Press. </w:t>
      </w:r>
    </w:p>
    <w:p w:rsidR="003B7CC3" w:rsidRDefault="003B7CC3" w:rsidP="003B7CC3">
      <w:pPr>
        <w:pStyle w:val="Default"/>
        <w:rPr>
          <w:sz w:val="23"/>
          <w:szCs w:val="23"/>
        </w:rPr>
      </w:pPr>
      <w:r w:rsidRPr="003B7CC3">
        <w:rPr>
          <w:b/>
          <w:sz w:val="23"/>
          <w:szCs w:val="23"/>
        </w:rPr>
        <w:t>3.</w:t>
      </w:r>
      <w:r>
        <w:rPr>
          <w:sz w:val="23"/>
          <w:szCs w:val="23"/>
        </w:rPr>
        <w:t xml:space="preserve"> Gordon, Deborah. 1988. "Writing Culture, Writing Feminism: The Poetics and Politics of </w:t>
      </w:r>
    </w:p>
    <w:p w:rsidR="00D47A7F" w:rsidRDefault="003B7CC3" w:rsidP="003B7CC3">
      <w:pPr>
        <w:rPr>
          <w:sz w:val="23"/>
          <w:szCs w:val="23"/>
        </w:rPr>
      </w:pPr>
      <w:r>
        <w:rPr>
          <w:sz w:val="23"/>
          <w:szCs w:val="23"/>
        </w:rPr>
        <w:t xml:space="preserve">Experimental Ethnography." </w:t>
      </w:r>
      <w:r>
        <w:rPr>
          <w:i/>
          <w:iCs/>
          <w:sz w:val="23"/>
          <w:szCs w:val="23"/>
        </w:rPr>
        <w:t xml:space="preserve">Inscriptions </w:t>
      </w:r>
      <w:r>
        <w:rPr>
          <w:sz w:val="23"/>
          <w:szCs w:val="23"/>
        </w:rPr>
        <w:t>3/4: 7-24.</w:t>
      </w:r>
    </w:p>
    <w:p w:rsidR="003B7CC3" w:rsidRPr="00635FD7" w:rsidRDefault="003B7CC3" w:rsidP="003B7CC3">
      <w:pPr>
        <w:rPr>
          <w:b/>
          <w:sz w:val="23"/>
          <w:szCs w:val="23"/>
        </w:rPr>
      </w:pPr>
    </w:p>
    <w:p w:rsidR="00635FD7" w:rsidRPr="00635FD7" w:rsidRDefault="00635FD7" w:rsidP="003B7CC3">
      <w:pPr>
        <w:rPr>
          <w:b/>
          <w:sz w:val="23"/>
          <w:szCs w:val="23"/>
        </w:rPr>
      </w:pPr>
      <w:r w:rsidRPr="00635FD7">
        <w:rPr>
          <w:b/>
          <w:sz w:val="23"/>
          <w:szCs w:val="23"/>
        </w:rPr>
        <w:t>Peer Presentation</w:t>
      </w:r>
      <w:r>
        <w:rPr>
          <w:b/>
          <w:sz w:val="23"/>
          <w:szCs w:val="23"/>
        </w:rPr>
        <w:t>:</w:t>
      </w:r>
    </w:p>
    <w:p w:rsidR="003B7CC3" w:rsidRPr="00A81182" w:rsidRDefault="003B7CC3" w:rsidP="003B7CC3">
      <w:pPr>
        <w:rPr>
          <w:u w:val="single"/>
        </w:rPr>
      </w:pPr>
      <w:r w:rsidRPr="00A81182">
        <w:rPr>
          <w:u w:val="single"/>
        </w:rPr>
        <w:t>Historical Background:</w:t>
      </w:r>
    </w:p>
    <w:p w:rsidR="003B7CC3" w:rsidRDefault="003B7CC3" w:rsidP="003B7CC3">
      <w:r>
        <w:t>Clifford and Gordon were writing in the 1980s, a very self-critical time. Post-modern</w:t>
      </w:r>
      <w:r w:rsidR="00166D37">
        <w:t>ist</w:t>
      </w:r>
      <w:r>
        <w:t>. The validity of the ethnographer and ethnography were questioned regularly. The concept of “ethno</w:t>
      </w:r>
      <w:r w:rsidR="00953E12">
        <w:t xml:space="preserve">graphic </w:t>
      </w:r>
      <w:r>
        <w:t xml:space="preserve">authority” was prominent and referred to how the ethnographer and form of ethnography shaped what was told. </w:t>
      </w:r>
    </w:p>
    <w:p w:rsidR="003B7CC3" w:rsidRDefault="003B7CC3" w:rsidP="003B7CC3">
      <w:r>
        <w:t xml:space="preserve">The </w:t>
      </w:r>
      <w:r w:rsidRPr="00A81182">
        <w:rPr>
          <w:b/>
        </w:rPr>
        <w:t xml:space="preserve">“ethnographic present” </w:t>
      </w:r>
      <w:r>
        <w:t xml:space="preserve">was used. Other major themes include: </w:t>
      </w:r>
      <w:r w:rsidRPr="00A81182">
        <w:rPr>
          <w:b/>
        </w:rPr>
        <w:t xml:space="preserve">“representation of dialogue” </w:t>
      </w:r>
      <w:r>
        <w:t>(interpretation and dialogue with the author) and the “polyphonic novel” (multiple authorshi</w:t>
      </w:r>
      <w:r w:rsidRPr="00A81182">
        <w:t>p).</w:t>
      </w:r>
      <w:r w:rsidRPr="00A81182">
        <w:rPr>
          <w:b/>
        </w:rPr>
        <w:t xml:space="preserve"> “Partial truth” </w:t>
      </w:r>
      <w:r>
        <w:t xml:space="preserve">was also a key concept. Ethnography was complicated at this point by multiple subjectivities and political constraints. </w:t>
      </w:r>
    </w:p>
    <w:p w:rsidR="003B7CC3" w:rsidRDefault="003B7CC3" w:rsidP="003B7CC3">
      <w:r>
        <w:t xml:space="preserve">Other anthropologists in the field at this time included Cushing, Malinowski, and Mead. </w:t>
      </w:r>
      <w:r w:rsidR="00950629">
        <w:t xml:space="preserve">Replaced the </w:t>
      </w:r>
      <w:r w:rsidR="00950629" w:rsidRPr="00A81182">
        <w:rPr>
          <w:b/>
        </w:rPr>
        <w:t>“man on the spot”</w:t>
      </w:r>
      <w:r w:rsidR="00950629">
        <w:t xml:space="preserve"> (amateurs) with university trained people who were organized around fieldwork. They were serious about their reputations and being taken seriously. They did not, however, get seriously into the experience. Malinowski’s Argonauts (Trobriand Islanders) gave new information about ethnographic authority and ethnographic present and was relatable for readers (gave them a sense of what it was like to be there). </w:t>
      </w:r>
    </w:p>
    <w:p w:rsidR="00950629" w:rsidRPr="00A81182" w:rsidRDefault="00950629" w:rsidP="003B7CC3">
      <w:pPr>
        <w:rPr>
          <w:u w:val="single"/>
        </w:rPr>
      </w:pPr>
      <w:r w:rsidRPr="00A81182">
        <w:rPr>
          <w:u w:val="single"/>
        </w:rPr>
        <w:t>Fieldwork in the 1920s: Don’t know all of culture constructions.</w:t>
      </w:r>
    </w:p>
    <w:p w:rsidR="00950629" w:rsidRDefault="00950629" w:rsidP="003B7CC3">
      <w:r w:rsidRPr="00A81182">
        <w:rPr>
          <w:b/>
        </w:rPr>
        <w:t>True fictions:</w:t>
      </w:r>
      <w:r>
        <w:t xml:space="preserve"> historical rhetorical, negotiated </w:t>
      </w:r>
      <w:r w:rsidR="00A81182">
        <w:t>realities</w:t>
      </w:r>
      <w:r>
        <w:t xml:space="preserve"> present in ethnography that can’t be disregarded. </w:t>
      </w:r>
    </w:p>
    <w:p w:rsidR="00950629" w:rsidRDefault="00950629" w:rsidP="003B7CC3">
      <w:r w:rsidRPr="00A81182">
        <w:rPr>
          <w:b/>
        </w:rPr>
        <w:t>In Media Res:</w:t>
      </w:r>
      <w:r>
        <w:t xml:space="preserve"> put text in exotic situation find discursive truth peeling back </w:t>
      </w:r>
      <w:r w:rsidR="00A81182">
        <w:t>lay</w:t>
      </w:r>
      <w:r>
        <w:t xml:space="preserve">ers to see many truths. </w:t>
      </w:r>
    </w:p>
    <w:p w:rsidR="00950629" w:rsidRDefault="00950629" w:rsidP="003B7CC3">
      <w:r w:rsidRPr="00A81182">
        <w:rPr>
          <w:b/>
        </w:rPr>
        <w:t>Discursiveness:</w:t>
      </w:r>
      <w:r>
        <w:t xml:space="preserve"> you can reach the truth in contex</w:t>
      </w:r>
      <w:r w:rsidR="00A81182">
        <w:t>t</w:t>
      </w:r>
      <w:r>
        <w:t xml:space="preserve"> by look</w:t>
      </w:r>
      <w:r w:rsidR="00A81182">
        <w:t xml:space="preserve">ing at a wide range of subjects contained in a culture in a rational manner. Creates the “idea” of a single truth. (Crapanzano proposed that the ethnographer was a trickster – presented systems of truth that the author can’t control). </w:t>
      </w:r>
    </w:p>
    <w:p w:rsidR="00A81182" w:rsidRDefault="00A81182" w:rsidP="003B7CC3">
      <w:r>
        <w:t xml:space="preserve">*There is dominance on the visual sense in the West: Look at the object and this tells you reality. We ought to take a discursive, not a visual perspective. </w:t>
      </w:r>
    </w:p>
    <w:p w:rsidR="00A81182" w:rsidRDefault="00A81182" w:rsidP="003B7CC3"/>
    <w:p w:rsidR="00A81182" w:rsidRDefault="00A81182" w:rsidP="003B7CC3"/>
    <w:p w:rsidR="00A81182" w:rsidRDefault="00A81182" w:rsidP="003B7CC3"/>
    <w:p w:rsidR="00A81182" w:rsidRPr="00A81182" w:rsidRDefault="00A81182" w:rsidP="003B7CC3">
      <w:pPr>
        <w:rPr>
          <w:u w:val="single"/>
        </w:rPr>
      </w:pPr>
      <w:r w:rsidRPr="00A81182">
        <w:rPr>
          <w:u w:val="single"/>
        </w:rPr>
        <w:t>Deborah Gordon (1988):</w:t>
      </w:r>
    </w:p>
    <w:p w:rsidR="00A81182" w:rsidRDefault="00FE3958" w:rsidP="00FE3958">
      <w:pPr>
        <w:pStyle w:val="ListParagraph"/>
        <w:numPr>
          <w:ilvl w:val="0"/>
          <w:numId w:val="1"/>
        </w:numPr>
      </w:pPr>
      <w:r>
        <w:t>Feminism fieldwork + ethnographic writing</w:t>
      </w:r>
    </w:p>
    <w:p w:rsidR="00FE3958" w:rsidRDefault="00FE3958" w:rsidP="00FE3958">
      <w:pPr>
        <w:pStyle w:val="ListParagraph"/>
        <w:numPr>
          <w:ilvl w:val="0"/>
          <w:numId w:val="1"/>
        </w:numPr>
      </w:pPr>
      <w:r>
        <w:t>masculine subjectivity. Male marginalized feminist perspective</w:t>
      </w:r>
    </w:p>
    <w:p w:rsidR="00FE3958" w:rsidRDefault="00FE3958" w:rsidP="00FE3958">
      <w:pPr>
        <w:pStyle w:val="ListParagraph"/>
        <w:numPr>
          <w:ilvl w:val="0"/>
          <w:numId w:val="1"/>
        </w:numPr>
      </w:pPr>
      <w:r>
        <w:t>Form and content</w:t>
      </w:r>
    </w:p>
    <w:p w:rsidR="00FE3958" w:rsidRDefault="00FE3958" w:rsidP="00FE3958">
      <w:pPr>
        <w:pStyle w:val="ListParagraph"/>
        <w:numPr>
          <w:ilvl w:val="0"/>
          <w:numId w:val="1"/>
        </w:numPr>
      </w:pPr>
      <w:r w:rsidRPr="00FE3958">
        <w:rPr>
          <w:b/>
        </w:rPr>
        <w:t>Experimental ethnography: feminist</w:t>
      </w:r>
      <w:r>
        <w:t xml:space="preserve"> perspective accounts for historical processes that have led to muting feminist voices (ex: collaboration with women in the Third world)</w:t>
      </w:r>
    </w:p>
    <w:p w:rsidR="00FE3958" w:rsidRDefault="00FE3958" w:rsidP="00FE3958">
      <w:pPr>
        <w:pStyle w:val="ListParagraph"/>
        <w:numPr>
          <w:ilvl w:val="0"/>
          <w:numId w:val="1"/>
        </w:numPr>
      </w:pPr>
      <w:r>
        <w:t xml:space="preserve">Clifford and Rabinow: Feminism is moral and intellectual. Divide masculine ideas by splitting feminism into good and bad types. Experimental ethnography is linked to art as a process of representation and viewers perspectives. Feminist anthropologists should learn and advance in other fields as well, but this presents Clifford with a double bind, saying that feminism must be innovative but if it is innovative then it isn’t feminism! Gordon believes we should transcend the boundaries cited by Clifford and Rabinow. </w:t>
      </w:r>
    </w:p>
    <w:p w:rsidR="00FE3958" w:rsidRDefault="00FE3958" w:rsidP="00FE3958">
      <w:pPr>
        <w:pStyle w:val="ListParagraph"/>
        <w:numPr>
          <w:ilvl w:val="0"/>
          <w:numId w:val="1"/>
        </w:numPr>
      </w:pPr>
      <w:r>
        <w:t xml:space="preserve">Clifford critiques form and content – Clifford’s critique studies that collaborate between First and Third worlds. Gordon hopes for a reinvented cross of feminist and colonial discourse in the future. </w:t>
      </w:r>
    </w:p>
    <w:p w:rsidR="00FE3958" w:rsidRPr="003521FB" w:rsidRDefault="00FE3958" w:rsidP="00FE3958">
      <w:pPr>
        <w:rPr>
          <w:u w:val="single"/>
        </w:rPr>
      </w:pPr>
      <w:r w:rsidRPr="003521FB">
        <w:rPr>
          <w:u w:val="single"/>
        </w:rPr>
        <w:t>Discussion Questions:</w:t>
      </w:r>
    </w:p>
    <w:p w:rsidR="00FE3958" w:rsidRDefault="00FE3958" w:rsidP="00FE3958">
      <w:pPr>
        <w:pStyle w:val="ListParagraph"/>
        <w:numPr>
          <w:ilvl w:val="0"/>
          <w:numId w:val="2"/>
        </w:numPr>
      </w:pPr>
      <w:r>
        <w:t xml:space="preserve">Clifford </w:t>
      </w:r>
      <w:r w:rsidR="003521FB">
        <w:t>notes in his essay that</w:t>
      </w:r>
      <w:r>
        <w:t xml:space="preserve"> Lewis argues that anthropology is a form of “plagiarism.” How does such a statement make you feel? (Agree/Disagree)</w:t>
      </w:r>
    </w:p>
    <w:p w:rsidR="00FE3958" w:rsidRDefault="003521FB" w:rsidP="00FE3958">
      <w:pPr>
        <w:pStyle w:val="ListParagraph"/>
        <w:numPr>
          <w:ilvl w:val="0"/>
          <w:numId w:val="2"/>
        </w:numPr>
      </w:pPr>
      <w:r>
        <w:t>Although ethnographies don</w:t>
      </w:r>
      <w:r w:rsidR="00FE3958">
        <w:t xml:space="preserve">’t </w:t>
      </w:r>
      <w:r>
        <w:t>display</w:t>
      </w:r>
      <w:r w:rsidR="00FE3958">
        <w:t xml:space="preserve"> ‘complete truths;’</w:t>
      </w:r>
      <w:r>
        <w:t xml:space="preserve"> this is understood as not always being bad. Do you think that “partial truths” may actually be positive in a way? </w:t>
      </w:r>
    </w:p>
    <w:p w:rsidR="003521FB" w:rsidRDefault="003521FB" w:rsidP="00FE3958">
      <w:pPr>
        <w:pStyle w:val="ListParagraph"/>
        <w:numPr>
          <w:ilvl w:val="0"/>
          <w:numId w:val="2"/>
        </w:numPr>
      </w:pPr>
      <w:r>
        <w:t>Is it possible to even know the “whole truth” even from an emic perspective?</w:t>
      </w:r>
    </w:p>
    <w:p w:rsidR="003521FB" w:rsidRDefault="003521FB" w:rsidP="00FE3958">
      <w:pPr>
        <w:pStyle w:val="ListParagraph"/>
        <w:numPr>
          <w:ilvl w:val="0"/>
          <w:numId w:val="2"/>
        </w:numPr>
      </w:pPr>
      <w:r>
        <w:t xml:space="preserve">Have any experimental ethnographies fulfilled Gordon’s hope? </w:t>
      </w:r>
    </w:p>
    <w:p w:rsidR="003521FB" w:rsidRDefault="003521FB" w:rsidP="00FE3958">
      <w:pPr>
        <w:pStyle w:val="ListParagraph"/>
        <w:numPr>
          <w:ilvl w:val="0"/>
          <w:numId w:val="2"/>
        </w:numPr>
      </w:pPr>
      <w:r>
        <w:t xml:space="preserve">How do you think writing about culture has changed since the self-critical period of time Gordon and Clifford were writing in? (i.e. 1980s) </w:t>
      </w:r>
    </w:p>
    <w:p w:rsidR="003521FB" w:rsidRDefault="003521FB" w:rsidP="00FE3958">
      <w:pPr>
        <w:pStyle w:val="ListParagraph"/>
        <w:numPr>
          <w:ilvl w:val="0"/>
          <w:numId w:val="2"/>
        </w:numPr>
      </w:pPr>
      <w:r>
        <w:t xml:space="preserve">Do you feel we have addressed or resolved the issues mentioned by Gordon and Clifford? </w:t>
      </w:r>
    </w:p>
    <w:p w:rsidR="003521FB" w:rsidRPr="003521FB" w:rsidRDefault="003521FB" w:rsidP="003521FB">
      <w:pPr>
        <w:rPr>
          <w:b/>
        </w:rPr>
      </w:pPr>
      <w:r w:rsidRPr="003521FB">
        <w:rPr>
          <w:b/>
        </w:rPr>
        <w:t>End of presentation</w:t>
      </w:r>
    </w:p>
    <w:p w:rsidR="003521FB" w:rsidRDefault="003521FB" w:rsidP="003521FB">
      <w:r>
        <w:t>---Break---</w:t>
      </w:r>
    </w:p>
    <w:p w:rsidR="003521FB" w:rsidRDefault="002658E6" w:rsidP="003521FB">
      <w:r>
        <w:rPr>
          <w:noProof/>
        </w:rPr>
        <w:pict>
          <v:shapetype id="_x0000_t32" coordsize="21600,21600" o:spt="32" o:oned="t" path="m0,0l21600,21600e" filled="f">
            <v:path arrowok="t" fillok="f" o:connecttype="none"/>
            <o:lock v:ext="edit" shapetype="t"/>
          </v:shapetype>
          <v:shape id="_x0000_s1026" type="#_x0000_t32" style="position:absolute;margin-left:87.05pt;margin-top:6.25pt;width:195.3pt;height:1.25pt;z-index:251658240" o:connectortype="straight">
            <v:stroke startarrow="block" endarrow="block"/>
          </v:shape>
        </w:pict>
      </w:r>
      <w:r w:rsidR="0048557E">
        <w:t>Anthropology</w:t>
      </w:r>
      <w:r w:rsidR="00B30EF1">
        <w:t xml:space="preserve">                                                                                                   Folks Studied</w:t>
      </w:r>
    </w:p>
    <w:p w:rsidR="00B30EF1" w:rsidRDefault="00B30EF1" w:rsidP="003521FB">
      <w:r>
        <w:t xml:space="preserve">                                        </w:t>
      </w:r>
      <w:r>
        <w:tab/>
      </w:r>
      <w:r>
        <w:tab/>
        <w:t>Intersubjective Meaning</w:t>
      </w:r>
    </w:p>
    <w:p w:rsidR="00B30EF1" w:rsidRDefault="00B30EF1" w:rsidP="003521FB"/>
    <w:p w:rsidR="00B30EF1" w:rsidRDefault="00B30EF1" w:rsidP="003521FB">
      <w:r>
        <w:t>Intersubjective meaning: Anthropologists look at the intersubjective meaning that is negotiated in the field.</w:t>
      </w:r>
    </w:p>
    <w:p w:rsidR="00B30EF1" w:rsidRDefault="00B30EF1" w:rsidP="00B30EF1">
      <w:pPr>
        <w:pStyle w:val="ListParagraph"/>
        <w:numPr>
          <w:ilvl w:val="0"/>
          <w:numId w:val="3"/>
        </w:numPr>
      </w:pPr>
      <w:r>
        <w:t>Hermeneutics</w:t>
      </w:r>
    </w:p>
    <w:p w:rsidR="00B30EF1" w:rsidRDefault="00B30EF1" w:rsidP="00B30EF1">
      <w:pPr>
        <w:pStyle w:val="ListParagraph"/>
        <w:numPr>
          <w:ilvl w:val="1"/>
          <w:numId w:val="3"/>
        </w:numPr>
      </w:pPr>
      <w:r>
        <w:t>Back and forth – part via whole</w:t>
      </w:r>
    </w:p>
    <w:p w:rsidR="00B30EF1" w:rsidRDefault="00B30EF1" w:rsidP="00B30EF1">
      <w:pPr>
        <w:pStyle w:val="ListParagraph"/>
        <w:numPr>
          <w:ilvl w:val="1"/>
          <w:numId w:val="3"/>
        </w:numPr>
      </w:pPr>
      <w:r>
        <w:t>Anth must interact with people</w:t>
      </w:r>
    </w:p>
    <w:p w:rsidR="00B30EF1" w:rsidRDefault="00B30EF1" w:rsidP="00B30EF1">
      <w:pPr>
        <w:pStyle w:val="ListParagraph"/>
        <w:numPr>
          <w:ilvl w:val="1"/>
          <w:numId w:val="3"/>
        </w:numPr>
      </w:pPr>
      <w:r>
        <w:t>Geertz – “culture” (Balinese cockfight); Person/Personhood in Bali, Indonesia</w:t>
      </w:r>
    </w:p>
    <w:p w:rsidR="00B30EF1" w:rsidRDefault="00B30EF1" w:rsidP="00B30EF1">
      <w:pPr>
        <w:pStyle w:val="ListParagraph"/>
        <w:numPr>
          <w:ilvl w:val="1"/>
          <w:numId w:val="3"/>
        </w:numPr>
      </w:pPr>
      <w:r>
        <w:t xml:space="preserve">Experience – </w:t>
      </w:r>
      <w:r w:rsidR="0048557E">
        <w:t>analyze</w:t>
      </w:r>
      <w:r>
        <w:t xml:space="preserve"> experience of others, understand cultural factions and people’s lives; Embodiment and meaning through textural and body  world</w:t>
      </w:r>
    </w:p>
    <w:p w:rsidR="0048557E" w:rsidRDefault="0048557E" w:rsidP="0048557E">
      <w:pPr>
        <w:pStyle w:val="ListParagraph"/>
        <w:ind w:left="1440"/>
      </w:pPr>
    </w:p>
    <w:p w:rsidR="00B30EF1" w:rsidRDefault="00B30EF1" w:rsidP="00B30EF1">
      <w:pPr>
        <w:pStyle w:val="ListParagraph"/>
        <w:numPr>
          <w:ilvl w:val="0"/>
          <w:numId w:val="3"/>
        </w:numPr>
      </w:pPr>
      <w:r>
        <w:t>Bourdieu</w:t>
      </w:r>
    </w:p>
    <w:p w:rsidR="00B30EF1" w:rsidRDefault="00B30EF1" w:rsidP="00B30EF1">
      <w:pPr>
        <w:pStyle w:val="ListParagraph"/>
        <w:numPr>
          <w:ilvl w:val="1"/>
          <w:numId w:val="3"/>
        </w:numPr>
      </w:pPr>
      <w:r>
        <w:t>Not intersubjective meaning, but what people do and say</w:t>
      </w:r>
    </w:p>
    <w:p w:rsidR="00B30EF1" w:rsidRDefault="00B30EF1" w:rsidP="00B30EF1">
      <w:pPr>
        <w:pStyle w:val="ListParagraph"/>
        <w:numPr>
          <w:ilvl w:val="1"/>
          <w:numId w:val="3"/>
        </w:numPr>
      </w:pPr>
      <w:r>
        <w:t xml:space="preserve">Key work: “habitus” </w:t>
      </w:r>
    </w:p>
    <w:p w:rsidR="00B30EF1" w:rsidRDefault="00B30EF1" w:rsidP="00B30EF1">
      <w:pPr>
        <w:pStyle w:val="ListParagraph"/>
        <w:numPr>
          <w:ilvl w:val="1"/>
          <w:numId w:val="3"/>
        </w:numPr>
      </w:pPr>
      <w:r>
        <w:t xml:space="preserve">Understand person’s subjective experience via objective structures. </w:t>
      </w:r>
    </w:p>
    <w:p w:rsidR="00B30EF1" w:rsidRDefault="00B30EF1" w:rsidP="00B30EF1">
      <w:pPr>
        <w:pStyle w:val="ListParagraph"/>
        <w:numPr>
          <w:ilvl w:val="1"/>
          <w:numId w:val="3"/>
        </w:numPr>
      </w:pPr>
      <w:r>
        <w:t>Folks Studied</w:t>
      </w:r>
    </w:p>
    <w:p w:rsidR="00B30EF1" w:rsidRDefault="00B30EF1" w:rsidP="00B30EF1">
      <w:pPr>
        <w:pStyle w:val="ListParagraph"/>
        <w:numPr>
          <w:ilvl w:val="1"/>
          <w:numId w:val="3"/>
        </w:numPr>
      </w:pPr>
      <w:r>
        <w:t>Bourdieu is more of a sociologist</w:t>
      </w:r>
    </w:p>
    <w:p w:rsidR="0048557E" w:rsidRDefault="0048557E" w:rsidP="0048557E">
      <w:pPr>
        <w:pStyle w:val="ListParagraph"/>
        <w:ind w:left="1440"/>
      </w:pPr>
    </w:p>
    <w:p w:rsidR="00B30EF1" w:rsidRDefault="00B30EF1" w:rsidP="00B30EF1">
      <w:pPr>
        <w:pStyle w:val="ListParagraph"/>
        <w:numPr>
          <w:ilvl w:val="0"/>
          <w:numId w:val="3"/>
        </w:numPr>
      </w:pPr>
      <w:r>
        <w:t>Judith Butler</w:t>
      </w:r>
    </w:p>
    <w:p w:rsidR="00B30EF1" w:rsidRDefault="00B30EF1" w:rsidP="00B30EF1">
      <w:pPr>
        <w:pStyle w:val="ListParagraph"/>
        <w:numPr>
          <w:ilvl w:val="1"/>
          <w:numId w:val="3"/>
        </w:numPr>
      </w:pPr>
      <w:r>
        <w:t>Folks studied</w:t>
      </w:r>
    </w:p>
    <w:p w:rsidR="00B30EF1" w:rsidRDefault="00B30EF1" w:rsidP="00B30EF1">
      <w:pPr>
        <w:pStyle w:val="ListParagraph"/>
        <w:numPr>
          <w:ilvl w:val="1"/>
          <w:numId w:val="3"/>
        </w:numPr>
      </w:pPr>
      <w:r>
        <w:t>Performativity</w:t>
      </w:r>
    </w:p>
    <w:p w:rsidR="00B30EF1" w:rsidRDefault="00B30EF1" w:rsidP="00B30EF1">
      <w:pPr>
        <w:pStyle w:val="ListParagraph"/>
        <w:numPr>
          <w:ilvl w:val="1"/>
          <w:numId w:val="3"/>
        </w:numPr>
      </w:pPr>
      <w:r>
        <w:t>Embodied action</w:t>
      </w:r>
    </w:p>
    <w:p w:rsidR="00B30EF1" w:rsidRDefault="00B30EF1" w:rsidP="00B30EF1">
      <w:pPr>
        <w:pStyle w:val="ListParagraph"/>
        <w:numPr>
          <w:ilvl w:val="1"/>
          <w:numId w:val="3"/>
        </w:numPr>
      </w:pPr>
      <w:r>
        <w:t>Self-identification</w:t>
      </w:r>
    </w:p>
    <w:p w:rsidR="00B30EF1" w:rsidRDefault="00B30EF1" w:rsidP="00B30EF1">
      <w:pPr>
        <w:pStyle w:val="ListParagraph"/>
        <w:numPr>
          <w:ilvl w:val="1"/>
          <w:numId w:val="3"/>
        </w:numPr>
      </w:pPr>
      <w:r>
        <w:t>Not social group (as Bourdieu) but gender via embodied practices and self-understanding</w:t>
      </w:r>
    </w:p>
    <w:p w:rsidR="005420A9" w:rsidRDefault="005420A9" w:rsidP="005420A9">
      <w:pPr>
        <w:pStyle w:val="ListParagraph"/>
        <w:ind w:left="1440"/>
      </w:pPr>
    </w:p>
    <w:p w:rsidR="00B30EF1" w:rsidRDefault="00B30EF1" w:rsidP="00B30EF1">
      <w:pPr>
        <w:pStyle w:val="ListParagraph"/>
        <w:numPr>
          <w:ilvl w:val="0"/>
          <w:numId w:val="3"/>
        </w:numPr>
      </w:pPr>
      <w:r>
        <w:t>Foucault</w:t>
      </w:r>
    </w:p>
    <w:p w:rsidR="00B30EF1" w:rsidRDefault="00B30EF1" w:rsidP="00B30EF1">
      <w:pPr>
        <w:pStyle w:val="ListParagraph"/>
        <w:numPr>
          <w:ilvl w:val="1"/>
          <w:numId w:val="3"/>
        </w:numPr>
      </w:pPr>
      <w:r>
        <w:t>Power as productive</w:t>
      </w:r>
    </w:p>
    <w:p w:rsidR="00B30EF1" w:rsidRDefault="00B30EF1" w:rsidP="00B30EF1">
      <w:pPr>
        <w:pStyle w:val="ListParagraph"/>
        <w:numPr>
          <w:ilvl w:val="1"/>
          <w:numId w:val="3"/>
        </w:numPr>
      </w:pPr>
      <w:r>
        <w:t>Shaping the conduct of people the power relations</w:t>
      </w:r>
    </w:p>
    <w:p w:rsidR="00B30EF1" w:rsidRDefault="00B30EF1" w:rsidP="00B30EF1">
      <w:pPr>
        <w:pStyle w:val="ListParagraph"/>
        <w:numPr>
          <w:ilvl w:val="1"/>
          <w:numId w:val="3"/>
        </w:numPr>
      </w:pPr>
      <w:r>
        <w:t>Larger efforts of shaping conduct by state actors/nonstate actors</w:t>
      </w:r>
    </w:p>
    <w:p w:rsidR="00B30EF1" w:rsidRDefault="00B30EF1" w:rsidP="00B30EF1">
      <w:pPr>
        <w:pStyle w:val="ListParagraph"/>
        <w:numPr>
          <w:ilvl w:val="1"/>
          <w:numId w:val="3"/>
        </w:numPr>
      </w:pPr>
      <w:r>
        <w:t xml:space="preserve">Ways to understand themselves </w:t>
      </w:r>
    </w:p>
    <w:p w:rsidR="00B30EF1" w:rsidRDefault="00B30EF1" w:rsidP="00B30EF1">
      <w:pPr>
        <w:pStyle w:val="ListParagraph"/>
        <w:numPr>
          <w:ilvl w:val="1"/>
          <w:numId w:val="3"/>
        </w:numPr>
      </w:pPr>
      <w:r>
        <w:t>Macro concept</w:t>
      </w:r>
    </w:p>
    <w:p w:rsidR="00B30EF1" w:rsidRDefault="00B30EF1" w:rsidP="00B30EF1">
      <w:pPr>
        <w:pStyle w:val="ListParagraph"/>
        <w:numPr>
          <w:ilvl w:val="1"/>
          <w:numId w:val="3"/>
        </w:numPr>
      </w:pPr>
      <w:r>
        <w:t>Look at experts and forms of expertise – enable interventions for the benefit (scientific and social scientific experts)</w:t>
      </w:r>
    </w:p>
    <w:p w:rsidR="005420A9" w:rsidRDefault="005420A9" w:rsidP="005420A9">
      <w:pPr>
        <w:pStyle w:val="ListParagraph"/>
        <w:ind w:left="1440"/>
      </w:pPr>
    </w:p>
    <w:p w:rsidR="005420A9" w:rsidRDefault="005420A9" w:rsidP="005420A9">
      <w:pPr>
        <w:pStyle w:val="ListParagraph"/>
        <w:numPr>
          <w:ilvl w:val="0"/>
          <w:numId w:val="3"/>
        </w:numPr>
      </w:pPr>
      <w:r>
        <w:t>Post-colonial theorists</w:t>
      </w:r>
    </w:p>
    <w:p w:rsidR="005420A9" w:rsidRDefault="005420A9" w:rsidP="005420A9">
      <w:pPr>
        <w:pStyle w:val="ListParagraph"/>
        <w:numPr>
          <w:ilvl w:val="1"/>
          <w:numId w:val="3"/>
        </w:numPr>
      </w:pPr>
      <w:r>
        <w:t>Antrho AND Folks Studied</w:t>
      </w:r>
    </w:p>
    <w:p w:rsidR="005420A9" w:rsidRDefault="005420A9" w:rsidP="005420A9">
      <w:pPr>
        <w:pStyle w:val="ListParagraph"/>
        <w:numPr>
          <w:ilvl w:val="1"/>
          <w:numId w:val="3"/>
        </w:numPr>
      </w:pPr>
      <w:r>
        <w:t xml:space="preserve">Bourdieu, Butler ignore overall colonialism/West-East shaping. Wolf says they treat culture as a pool ball that bumps into the other balls. </w:t>
      </w:r>
    </w:p>
    <w:p w:rsidR="005420A9" w:rsidRDefault="005420A9" w:rsidP="005420A9">
      <w:pPr>
        <w:pStyle w:val="ListParagraph"/>
        <w:numPr>
          <w:ilvl w:val="2"/>
          <w:numId w:val="3"/>
        </w:numPr>
      </w:pPr>
      <w:r>
        <w:t>Interested in interactions</w:t>
      </w:r>
    </w:p>
    <w:p w:rsidR="005420A9" w:rsidRDefault="005420A9" w:rsidP="005420A9">
      <w:pPr>
        <w:pStyle w:val="ListParagraph"/>
        <w:numPr>
          <w:ilvl w:val="2"/>
          <w:numId w:val="3"/>
        </w:numPr>
      </w:pPr>
      <w:r>
        <w:t>Recreate colonial discourses</w:t>
      </w:r>
    </w:p>
    <w:p w:rsidR="005420A9" w:rsidRDefault="005420A9" w:rsidP="005420A9">
      <w:pPr>
        <w:pStyle w:val="ListParagraph"/>
        <w:numPr>
          <w:ilvl w:val="2"/>
          <w:numId w:val="3"/>
        </w:numPr>
      </w:pPr>
      <w:r>
        <w:t>Uncritically use terms and ignore effects of the colonizers and the historical contexts</w:t>
      </w:r>
    </w:p>
    <w:p w:rsidR="005420A9" w:rsidRDefault="005420A9" w:rsidP="005420A9">
      <w:pPr>
        <w:pStyle w:val="ListParagraph"/>
        <w:numPr>
          <w:ilvl w:val="1"/>
          <w:numId w:val="3"/>
        </w:numPr>
      </w:pPr>
      <w:r>
        <w:t>Critique Feminist: Portray heroic feminist: saving poor brown woman</w:t>
      </w:r>
    </w:p>
    <w:p w:rsidR="005420A9" w:rsidRDefault="005420A9" w:rsidP="005420A9">
      <w:pPr>
        <w:pStyle w:val="ListParagraph"/>
        <w:ind w:left="1440"/>
      </w:pPr>
    </w:p>
    <w:p w:rsidR="00B30EF1" w:rsidRDefault="00B30EF1" w:rsidP="00B30EF1">
      <w:pPr>
        <w:pStyle w:val="ListParagraph"/>
        <w:numPr>
          <w:ilvl w:val="0"/>
          <w:numId w:val="3"/>
        </w:numPr>
      </w:pPr>
      <w:r>
        <w:t>Political economists</w:t>
      </w:r>
    </w:p>
    <w:p w:rsidR="00B30EF1" w:rsidRDefault="00B30EF1" w:rsidP="00B30EF1">
      <w:pPr>
        <w:pStyle w:val="ListParagraph"/>
        <w:numPr>
          <w:ilvl w:val="1"/>
          <w:numId w:val="3"/>
        </w:numPr>
      </w:pPr>
      <w:r>
        <w:t xml:space="preserve">Know the bigger economic relationship sand </w:t>
      </w:r>
      <w:r w:rsidR="0048557E">
        <w:t>arrangements</w:t>
      </w:r>
    </w:p>
    <w:p w:rsidR="00B30EF1" w:rsidRDefault="00B30EF1" w:rsidP="00B30EF1">
      <w:pPr>
        <w:pStyle w:val="ListParagraph"/>
        <w:numPr>
          <w:ilvl w:val="1"/>
          <w:numId w:val="3"/>
        </w:numPr>
      </w:pPr>
      <w:r>
        <w:t>Culture (</w:t>
      </w:r>
      <w:r w:rsidR="0048557E">
        <w:t>e.g.</w:t>
      </w:r>
      <w:r>
        <w:t xml:space="preserve"> Roseberry) says “hegemony” – a conspiratorial term – ruling class shapes the rest of society</w:t>
      </w:r>
    </w:p>
    <w:p w:rsidR="00B30EF1" w:rsidRDefault="005420A9" w:rsidP="005420A9">
      <w:pPr>
        <w:pStyle w:val="ListParagraph"/>
        <w:numPr>
          <w:ilvl w:val="0"/>
          <w:numId w:val="3"/>
        </w:numPr>
      </w:pPr>
      <w:r>
        <w:t>Literary Turn</w:t>
      </w:r>
    </w:p>
    <w:p w:rsidR="005420A9" w:rsidRDefault="005420A9" w:rsidP="005420A9">
      <w:pPr>
        <w:pStyle w:val="ListParagraph"/>
        <w:numPr>
          <w:ilvl w:val="1"/>
          <w:numId w:val="3"/>
        </w:numPr>
      </w:pPr>
      <w:r>
        <w:t>Positionality</w:t>
      </w:r>
    </w:p>
    <w:p w:rsidR="005420A9" w:rsidRDefault="005420A9" w:rsidP="005420A9">
      <w:pPr>
        <w:pStyle w:val="ListParagraph"/>
        <w:numPr>
          <w:ilvl w:val="1"/>
          <w:numId w:val="3"/>
        </w:numPr>
      </w:pPr>
      <w:r>
        <w:t>Constitutes subjects and objects</w:t>
      </w:r>
    </w:p>
    <w:p w:rsidR="005420A9" w:rsidRDefault="005420A9" w:rsidP="005420A9">
      <w:pPr>
        <w:pStyle w:val="ListParagraph"/>
        <w:numPr>
          <w:ilvl w:val="1"/>
          <w:numId w:val="3"/>
        </w:numPr>
      </w:pPr>
      <w:r>
        <w:t xml:space="preserve">Folks </w:t>
      </w:r>
      <w:r w:rsidR="0048557E">
        <w:t>studied</w:t>
      </w:r>
      <w:r>
        <w:t xml:space="preserve"> and anthropology</w:t>
      </w:r>
    </w:p>
    <w:p w:rsidR="005420A9" w:rsidRDefault="0048557E" w:rsidP="005420A9">
      <w:pPr>
        <w:pStyle w:val="ListParagraph"/>
        <w:numPr>
          <w:ilvl w:val="1"/>
          <w:numId w:val="3"/>
        </w:numPr>
      </w:pPr>
      <w:r>
        <w:t>Individually</w:t>
      </w:r>
      <w:r w:rsidR="005420A9">
        <w:t xml:space="preserve"> and broad disciplines</w:t>
      </w:r>
    </w:p>
    <w:p w:rsidR="005420A9" w:rsidRDefault="005420A9" w:rsidP="005420A9">
      <w:pPr>
        <w:pStyle w:val="ListParagraph"/>
        <w:numPr>
          <w:ilvl w:val="1"/>
          <w:numId w:val="3"/>
        </w:numPr>
      </w:pPr>
      <w:r>
        <w:t>Constituted through writing</w:t>
      </w:r>
    </w:p>
    <w:p w:rsidR="005420A9" w:rsidRDefault="005420A9" w:rsidP="005420A9">
      <w:pPr>
        <w:pStyle w:val="ListParagraph"/>
        <w:numPr>
          <w:ilvl w:val="1"/>
          <w:numId w:val="3"/>
        </w:numPr>
      </w:pPr>
      <w:r>
        <w:t>People understand through the writing process (process of creating ethnography)</w:t>
      </w:r>
    </w:p>
    <w:p w:rsidR="005420A9" w:rsidRDefault="005420A9" w:rsidP="005420A9">
      <w:pPr>
        <w:pStyle w:val="ListParagraph"/>
        <w:numPr>
          <w:ilvl w:val="0"/>
          <w:numId w:val="3"/>
        </w:numPr>
      </w:pPr>
      <w:r>
        <w:t>Literary Turn – Poetics</w:t>
      </w:r>
    </w:p>
    <w:p w:rsidR="005420A9" w:rsidRDefault="005420A9" w:rsidP="005420A9">
      <w:pPr>
        <w:pStyle w:val="ListParagraph"/>
        <w:numPr>
          <w:ilvl w:val="1"/>
          <w:numId w:val="3"/>
        </w:numPr>
      </w:pPr>
      <w:r>
        <w:t>Clifford Geertz is postmodern</w:t>
      </w:r>
    </w:p>
    <w:p w:rsidR="005420A9" w:rsidRDefault="005420A9" w:rsidP="005420A9">
      <w:pPr>
        <w:pStyle w:val="ListParagraph"/>
        <w:numPr>
          <w:ilvl w:val="1"/>
          <w:numId w:val="3"/>
        </w:numPr>
      </w:pPr>
      <w:r>
        <w:t xml:space="preserve">Representation (Stephen Tyler) does not provide a good </w:t>
      </w:r>
      <w:r w:rsidR="0048557E">
        <w:t>description</w:t>
      </w:r>
      <w:r>
        <w:t xml:space="preserve"> of folks</w:t>
      </w:r>
    </w:p>
    <w:p w:rsidR="005420A9" w:rsidRDefault="0048557E" w:rsidP="005420A9">
      <w:pPr>
        <w:pStyle w:val="ListParagraph"/>
        <w:numPr>
          <w:ilvl w:val="0"/>
          <w:numId w:val="3"/>
        </w:numPr>
      </w:pPr>
      <w:r>
        <w:t>Literary</w:t>
      </w:r>
      <w:r w:rsidR="005420A9">
        <w:t xml:space="preserve"> Turn – Form and Content</w:t>
      </w:r>
    </w:p>
    <w:p w:rsidR="005420A9" w:rsidRDefault="005420A9" w:rsidP="005420A9">
      <w:pPr>
        <w:pStyle w:val="ListParagraph"/>
        <w:numPr>
          <w:ilvl w:val="1"/>
          <w:numId w:val="3"/>
        </w:numPr>
      </w:pPr>
      <w:r>
        <w:t>Form: the shape in which the material inside is presented and is to be understood (</w:t>
      </w:r>
      <w:r w:rsidR="0048557E">
        <w:t>e.g.</w:t>
      </w:r>
      <w:r>
        <w:t xml:space="preserve"> Novel, video, genre – difference). Hollywood (fiction) versus Documentary (realism with the form of a narrator, budget, based on truth, helps to shape the content)</w:t>
      </w:r>
    </w:p>
    <w:p w:rsidR="005420A9" w:rsidRDefault="005420A9" w:rsidP="005420A9">
      <w:pPr>
        <w:pStyle w:val="ListParagraph"/>
        <w:numPr>
          <w:ilvl w:val="1"/>
          <w:numId w:val="3"/>
        </w:numPr>
      </w:pPr>
      <w:r>
        <w:t xml:space="preserve">Writing in a literary sense. Destabilize presentation to get people to notice class  differences (play with the form to get an intersubjective </w:t>
      </w:r>
      <w:r w:rsidR="0048557E">
        <w:t>meaning</w:t>
      </w:r>
      <w:r>
        <w:t>)</w:t>
      </w:r>
    </w:p>
    <w:p w:rsidR="005420A9" w:rsidRDefault="005420A9" w:rsidP="0048557E">
      <w:pPr>
        <w:pStyle w:val="ListParagraph"/>
        <w:numPr>
          <w:ilvl w:val="1"/>
          <w:numId w:val="3"/>
        </w:numPr>
      </w:pPr>
      <w:r>
        <w:t>Ambition to play with form and to make other voices heard is essential to the writing.</w:t>
      </w:r>
    </w:p>
    <w:p w:rsidR="005420A9" w:rsidRDefault="005420A9" w:rsidP="005420A9">
      <w:pPr>
        <w:pStyle w:val="ListParagraph"/>
        <w:numPr>
          <w:ilvl w:val="1"/>
          <w:numId w:val="3"/>
        </w:numPr>
      </w:pPr>
      <w:r>
        <w:t>In the 50s and 60s anti-colonialist movements and social movements contested authorities over representation. Anthropology was both part of and a target of these movements</w:t>
      </w:r>
    </w:p>
    <w:p w:rsidR="005420A9" w:rsidRDefault="005420A9" w:rsidP="005420A9">
      <w:pPr>
        <w:pStyle w:val="ListParagraph"/>
      </w:pPr>
    </w:p>
    <w:p w:rsidR="005420A9" w:rsidRDefault="005420A9" w:rsidP="0048557E">
      <w:pPr>
        <w:spacing w:after="0" w:line="240" w:lineRule="auto"/>
      </w:pPr>
      <w:r w:rsidRPr="0048557E">
        <w:rPr>
          <w:b/>
        </w:rPr>
        <w:t>Globalization:</w:t>
      </w:r>
      <w:r>
        <w:t xml:space="preserve"> need research clearance with First Nations. There are big differences here when it is compared to classic anthropology which had fewer research ethics/restrictions/guidelines:</w:t>
      </w:r>
    </w:p>
    <w:p w:rsidR="005420A9" w:rsidRDefault="005420A9" w:rsidP="005420A9">
      <w:pPr>
        <w:pStyle w:val="ListParagraph"/>
        <w:numPr>
          <w:ilvl w:val="2"/>
          <w:numId w:val="3"/>
        </w:numPr>
        <w:spacing w:after="0" w:line="240" w:lineRule="auto"/>
      </w:pPr>
      <w:r>
        <w:t>Savage slot – create “West versus Rest” division</w:t>
      </w:r>
    </w:p>
    <w:p w:rsidR="005420A9" w:rsidRDefault="005420A9" w:rsidP="005420A9">
      <w:pPr>
        <w:pStyle w:val="ListParagraph"/>
        <w:numPr>
          <w:ilvl w:val="2"/>
          <w:numId w:val="3"/>
        </w:numPr>
        <w:spacing w:after="0" w:line="240" w:lineRule="auto"/>
      </w:pPr>
      <w:r>
        <w:t>Eroticizing language : primitive/cannibalism/savage/ritualistic/magic</w:t>
      </w:r>
    </w:p>
    <w:p w:rsidR="005420A9" w:rsidRDefault="005420A9" w:rsidP="005420A9">
      <w:pPr>
        <w:pStyle w:val="ListParagraph"/>
        <w:numPr>
          <w:ilvl w:val="2"/>
          <w:numId w:val="3"/>
        </w:numPr>
        <w:spacing w:after="0" w:line="240" w:lineRule="auto"/>
      </w:pPr>
      <w:r>
        <w:t>Anth looks at humanity and differentiates them. Even though anth is study of humans, they study non-Western humans (the disciplinary hook)</w:t>
      </w:r>
    </w:p>
    <w:p w:rsidR="005420A9" w:rsidRDefault="005420A9" w:rsidP="005420A9">
      <w:pPr>
        <w:pStyle w:val="ListParagraph"/>
        <w:spacing w:after="0" w:line="240" w:lineRule="auto"/>
        <w:ind w:left="2160"/>
      </w:pPr>
    </w:p>
    <w:p w:rsidR="005420A9" w:rsidRDefault="005420A9" w:rsidP="005420A9">
      <w:pPr>
        <w:spacing w:after="0"/>
      </w:pPr>
      <w:r w:rsidRPr="005420A9">
        <w:rPr>
          <w:b/>
        </w:rPr>
        <w:t>Tropes and Metaphor:</w:t>
      </w:r>
      <w:r>
        <w:t xml:space="preserve"> A trope is like a metaphor within a genre or culture (lit critics). Clifford says anthropology and ethnography is literature. (Ex: “the arrival or entrance” of the anthropologist; “the contact”). </w:t>
      </w:r>
    </w:p>
    <w:p w:rsidR="001920F8" w:rsidRDefault="001920F8" w:rsidP="005420A9">
      <w:pPr>
        <w:spacing w:after="0"/>
      </w:pPr>
    </w:p>
    <w:p w:rsidR="001920F8" w:rsidRDefault="001920F8" w:rsidP="005420A9">
      <w:pPr>
        <w:spacing w:after="0"/>
      </w:pPr>
      <w:r>
        <w:t>Evans Pritchard – The Nuer</w:t>
      </w:r>
    </w:p>
    <w:p w:rsidR="001920F8" w:rsidRDefault="001920F8" w:rsidP="005420A9">
      <w:pPr>
        <w:spacing w:after="0"/>
      </w:pPr>
      <w:r>
        <w:t>-</w:t>
      </w:r>
      <w:r w:rsidR="0048557E">
        <w:t>Dawning</w:t>
      </w:r>
      <w:r>
        <w:t xml:space="preserve"> understanding that we should establish through writing one’s presence. “I was there, therefore I am” versus “I’m a trained anthropologist so I get it more than the journalist.” </w:t>
      </w:r>
    </w:p>
    <w:p w:rsidR="001920F8" w:rsidRDefault="001920F8" w:rsidP="005420A9">
      <w:pPr>
        <w:spacing w:after="0"/>
      </w:pPr>
    </w:p>
    <w:p w:rsidR="001920F8" w:rsidRDefault="001920F8" w:rsidP="005420A9">
      <w:pPr>
        <w:spacing w:after="0"/>
      </w:pPr>
      <w:r w:rsidRPr="0048557E">
        <w:rPr>
          <w:b/>
        </w:rPr>
        <w:t>Allegory :</w:t>
      </w:r>
      <w:r>
        <w:t xml:space="preserve"> </w:t>
      </w:r>
      <w:r w:rsidR="00E50C15">
        <w:t xml:space="preserve">writing as an attempt to save a part of the culture before it’s gone or absorbed by larger culture (was or will no longer be) “Salvage Anthropology.” Common allegories used; shepherd leading the flock, Little Engine that Could, The Noble Savage (Noble not backwards). </w:t>
      </w:r>
    </w:p>
    <w:p w:rsidR="00E50C15" w:rsidRDefault="00E50C15" w:rsidP="005420A9">
      <w:pPr>
        <w:spacing w:after="0"/>
      </w:pPr>
      <w:r>
        <w:br/>
      </w:r>
      <w:r w:rsidRPr="0048557E">
        <w:rPr>
          <w:b/>
        </w:rPr>
        <w:t>Fiction Writing:</w:t>
      </w:r>
      <w:r>
        <w:t xml:space="preserve"> shaped as much by forms as literature is. </w:t>
      </w:r>
    </w:p>
    <w:p w:rsidR="00E50C15" w:rsidRDefault="00E50C15" w:rsidP="00E50C15">
      <w:pPr>
        <w:pStyle w:val="ListParagraph"/>
        <w:numPr>
          <w:ilvl w:val="0"/>
          <w:numId w:val="4"/>
        </w:numPr>
        <w:spacing w:after="0"/>
      </w:pPr>
      <w:r>
        <w:t xml:space="preserve">“co-evalness/Allochronism” (Fabian): during fieldwork, the sense that you all belong to the same time period, but in writing, sometimes it places itself in a different time. (Example of allochronism: “living ancestors”: Richard Lee (Harvard Group; cultural materialist); San speakers “Bushmen”; Anthropologies interactions with the San were represented in a way that it seemed the people (“hunter gatherers”) were remnants of the Pleistocene era. </w:t>
      </w:r>
    </w:p>
    <w:p w:rsidR="00E50C15" w:rsidRPr="0048557E" w:rsidRDefault="00E50C15" w:rsidP="00E50C15">
      <w:pPr>
        <w:spacing w:after="0"/>
        <w:rPr>
          <w:b/>
        </w:rPr>
      </w:pPr>
    </w:p>
    <w:p w:rsidR="00E50C15" w:rsidRDefault="00E50C15" w:rsidP="00E50C15">
      <w:pPr>
        <w:spacing w:after="0"/>
      </w:pPr>
      <w:r w:rsidRPr="0048557E">
        <w:rPr>
          <w:b/>
        </w:rPr>
        <w:t>Experimental Ethnographies:</w:t>
      </w:r>
      <w:r>
        <w:t xml:space="preserve"> the focus is on the idea that the partial truth is shaped by the anthropologist and their writing skills, etc. Always ongoing negotiations of truth, meaning, etc. </w:t>
      </w:r>
    </w:p>
    <w:sectPr w:rsidR="00E50C15" w:rsidSect="0069477E">
      <w:headerReference w:type="default" r:id="rId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4514" w:rsidRDefault="007F4514" w:rsidP="00B64EA4">
      <w:pPr>
        <w:spacing w:after="0" w:line="240" w:lineRule="auto"/>
      </w:pPr>
      <w:r>
        <w:separator/>
      </w:r>
    </w:p>
  </w:endnote>
  <w:endnote w:type="continuationSeparator" w:id="0">
    <w:p w:rsidR="007F4514" w:rsidRDefault="007F4514" w:rsidP="00B64E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4514" w:rsidRDefault="007F4514" w:rsidP="00B64EA4">
      <w:pPr>
        <w:spacing w:after="0" w:line="240" w:lineRule="auto"/>
      </w:pPr>
      <w:r>
        <w:separator/>
      </w:r>
    </w:p>
  </w:footnote>
  <w:footnote w:type="continuationSeparator" w:id="0">
    <w:p w:rsidR="007F4514" w:rsidRDefault="007F4514" w:rsidP="00B64EA4">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0714672"/>
      <w:docPartObj>
        <w:docPartGallery w:val="Page Numbers (Top of Page)"/>
        <w:docPartUnique/>
      </w:docPartObj>
    </w:sdtPr>
    <w:sdtContent>
      <w:p w:rsidR="00B64EA4" w:rsidRDefault="002658E6">
        <w:pPr>
          <w:pStyle w:val="Header"/>
          <w:jc w:val="right"/>
        </w:pPr>
        <w:fldSimple w:instr=" PAGE   \* MERGEFORMAT ">
          <w:r w:rsidR="00500AEF">
            <w:rPr>
              <w:noProof/>
            </w:rPr>
            <w:t>5</w:t>
          </w:r>
        </w:fldSimple>
      </w:p>
    </w:sdtContent>
  </w:sdt>
  <w:p w:rsidR="00B64EA4" w:rsidRDefault="00B64EA4">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16672"/>
    <w:multiLevelType w:val="hybridMultilevel"/>
    <w:tmpl w:val="E8CEA6B8"/>
    <w:lvl w:ilvl="0" w:tplc="EB0CCEEC">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9C44218"/>
    <w:multiLevelType w:val="hybridMultilevel"/>
    <w:tmpl w:val="556C6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24215C"/>
    <w:multiLevelType w:val="hybridMultilevel"/>
    <w:tmpl w:val="B4FCC3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83554B9"/>
    <w:multiLevelType w:val="hybridMultilevel"/>
    <w:tmpl w:val="60D092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TrackMoves/>
  <w:defaultTabStop w:val="720"/>
  <w:characterSpacingControl w:val="doNotCompress"/>
  <w:footnotePr>
    <w:footnote w:id="-1"/>
    <w:footnote w:id="0"/>
  </w:footnotePr>
  <w:endnotePr>
    <w:endnote w:id="-1"/>
    <w:endnote w:id="0"/>
  </w:endnotePr>
  <w:compat/>
  <w:rsids>
    <w:rsidRoot w:val="003B7CC3"/>
    <w:rsid w:val="0010580C"/>
    <w:rsid w:val="00166D37"/>
    <w:rsid w:val="001920F8"/>
    <w:rsid w:val="002658E6"/>
    <w:rsid w:val="003521FB"/>
    <w:rsid w:val="003B7CC3"/>
    <w:rsid w:val="0048557E"/>
    <w:rsid w:val="00500AEF"/>
    <w:rsid w:val="005420A9"/>
    <w:rsid w:val="00635FD7"/>
    <w:rsid w:val="0069477E"/>
    <w:rsid w:val="007D0BBB"/>
    <w:rsid w:val="007F4514"/>
    <w:rsid w:val="00823CCF"/>
    <w:rsid w:val="00950629"/>
    <w:rsid w:val="00953E12"/>
    <w:rsid w:val="009C6E6C"/>
    <w:rsid w:val="00A81182"/>
    <w:rsid w:val="00B30EF1"/>
    <w:rsid w:val="00B64EA4"/>
    <w:rsid w:val="00D75577"/>
    <w:rsid w:val="00E50C15"/>
    <w:rsid w:val="00FE3958"/>
  </w:rsids>
  <m:mathPr>
    <m:mathFont m:val="Abadi MT Condensed Extra Bold"/>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477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Default">
    <w:name w:val="Default"/>
    <w:rsid w:val="003B7CC3"/>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FE3958"/>
    <w:pPr>
      <w:ind w:left="720"/>
      <w:contextualSpacing/>
    </w:pPr>
  </w:style>
  <w:style w:type="paragraph" w:styleId="Header">
    <w:name w:val="header"/>
    <w:basedOn w:val="Normal"/>
    <w:link w:val="HeaderChar"/>
    <w:uiPriority w:val="99"/>
    <w:unhideWhenUsed/>
    <w:rsid w:val="00B64E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4EA4"/>
  </w:style>
  <w:style w:type="paragraph" w:styleId="Footer">
    <w:name w:val="footer"/>
    <w:basedOn w:val="Normal"/>
    <w:link w:val="FooterChar"/>
    <w:uiPriority w:val="99"/>
    <w:semiHidden/>
    <w:unhideWhenUsed/>
    <w:rsid w:val="00B64E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4EA4"/>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1306</Words>
  <Characters>7448</Characters>
  <Application>Microsoft Macintosh Word</Application>
  <DocSecurity>0</DocSecurity>
  <Lines>62</Lines>
  <Paragraphs>14</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9146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MEG</dc:creator>
  <cp:keywords/>
  <dc:description/>
  <cp:lastModifiedBy>Christine Lorimer</cp:lastModifiedBy>
  <cp:revision>2</cp:revision>
  <dcterms:created xsi:type="dcterms:W3CDTF">2012-04-14T20:15:00Z</dcterms:created>
  <dcterms:modified xsi:type="dcterms:W3CDTF">2012-04-14T20:15:00Z</dcterms:modified>
</cp:coreProperties>
</file>