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74347" w14:textId="77777777" w:rsidR="00BA35D6" w:rsidRPr="00E82862" w:rsidRDefault="00BA35D6" w:rsidP="00BA35D6">
      <w:pPr>
        <w:pStyle w:val="NoteLevel1"/>
        <w:numPr>
          <w:ilvl w:val="0"/>
          <w:numId w:val="2"/>
        </w:numPr>
        <w:rPr>
          <w:b/>
        </w:rPr>
      </w:pPr>
      <w:r w:rsidRPr="00E82862">
        <w:rPr>
          <w:b/>
        </w:rPr>
        <w:t>List and define the 4 key features of the lifespan perspective.</w:t>
      </w:r>
    </w:p>
    <w:p w14:paraId="587CBF47" w14:textId="77777777" w:rsidR="00C0210B" w:rsidRDefault="00C0210B" w:rsidP="00C0210B">
      <w:pPr>
        <w:pStyle w:val="NoteLevel1"/>
        <w:numPr>
          <w:ilvl w:val="0"/>
          <w:numId w:val="0"/>
        </w:numPr>
        <w:ind w:left="360"/>
      </w:pPr>
      <w:r w:rsidRPr="00C0210B">
        <w:rPr>
          <w:b/>
        </w:rPr>
        <w:t>Multidirectionality</w:t>
      </w:r>
      <w:r>
        <w:t>: development includes both growth and decline</w:t>
      </w:r>
      <w:r>
        <w:sym w:font="Wingdings" w:char="F0E0"/>
      </w:r>
      <w:r>
        <w:t xml:space="preserve"> vocabulary grows with age, but reaction time decreases</w:t>
      </w:r>
    </w:p>
    <w:p w14:paraId="44C2E162" w14:textId="77777777" w:rsidR="00C0210B" w:rsidRDefault="00C0210B" w:rsidP="00C0210B">
      <w:pPr>
        <w:pStyle w:val="NoteLevel1"/>
        <w:numPr>
          <w:ilvl w:val="0"/>
          <w:numId w:val="0"/>
        </w:numPr>
        <w:ind w:left="360"/>
      </w:pPr>
      <w:r w:rsidRPr="00C0210B">
        <w:rPr>
          <w:b/>
        </w:rPr>
        <w:t>Plasticity</w:t>
      </w:r>
      <w:r>
        <w:t>: our capacity is not predetermined or set in stone</w:t>
      </w:r>
      <w:r>
        <w:sym w:font="Wingdings" w:char="F0E0"/>
      </w:r>
      <w:r>
        <w:t xml:space="preserve"> we can continue learning new things, even later in life</w:t>
      </w:r>
    </w:p>
    <w:p w14:paraId="034D373C" w14:textId="77777777" w:rsidR="00C0210B" w:rsidRDefault="00C0210B" w:rsidP="00C0210B">
      <w:pPr>
        <w:pStyle w:val="NoteLevel1"/>
        <w:numPr>
          <w:ilvl w:val="0"/>
          <w:numId w:val="0"/>
        </w:numPr>
        <w:ind w:left="360"/>
      </w:pPr>
      <w:r>
        <w:rPr>
          <w:b/>
        </w:rPr>
        <w:t>Historical context</w:t>
      </w:r>
      <w:r>
        <w:t>: development occurs within a particular set of circumstances by historical time, or the culture in which we grew up in</w:t>
      </w:r>
    </w:p>
    <w:p w14:paraId="444CA8FA" w14:textId="77777777" w:rsidR="00C0210B" w:rsidRPr="00C0210B" w:rsidRDefault="00C0210B" w:rsidP="00C0210B">
      <w:pPr>
        <w:pStyle w:val="NoteLevel1"/>
        <w:numPr>
          <w:ilvl w:val="0"/>
          <w:numId w:val="0"/>
        </w:numPr>
        <w:ind w:left="360"/>
      </w:pPr>
      <w:r>
        <w:rPr>
          <w:b/>
        </w:rPr>
        <w:t>Multiple causation</w:t>
      </w:r>
      <w:r>
        <w:t>: development is shaped by biological, psychological, sociocultural and life-cycle forces</w:t>
      </w:r>
    </w:p>
    <w:p w14:paraId="4BFB50CB" w14:textId="77777777" w:rsidR="00BA35D6" w:rsidRPr="00E82862" w:rsidRDefault="00BA35D6" w:rsidP="00BA35D6">
      <w:pPr>
        <w:pStyle w:val="NoteLevel1"/>
        <w:numPr>
          <w:ilvl w:val="0"/>
          <w:numId w:val="2"/>
        </w:numPr>
        <w:rPr>
          <w:b/>
        </w:rPr>
      </w:pPr>
      <w:r w:rsidRPr="00E82862">
        <w:rPr>
          <w:b/>
        </w:rPr>
        <w:t>What are the 4 points to consider when thinking about life-span development?</w:t>
      </w:r>
    </w:p>
    <w:p w14:paraId="71C23822" w14:textId="77777777" w:rsidR="00734DC0" w:rsidRDefault="00F4710E" w:rsidP="00734DC0">
      <w:pPr>
        <w:pStyle w:val="NoteLevel1"/>
        <w:numPr>
          <w:ilvl w:val="0"/>
          <w:numId w:val="6"/>
        </w:numPr>
      </w:pPr>
      <w:r>
        <w:t>As we grow older, there is an age-related reduction in the amount and quality of biologically-based resources</w:t>
      </w:r>
    </w:p>
    <w:p w14:paraId="18FEB8AB" w14:textId="77777777" w:rsidR="00734DC0" w:rsidRDefault="00F4710E" w:rsidP="00734DC0">
      <w:pPr>
        <w:pStyle w:val="NoteLevel1"/>
        <w:numPr>
          <w:ilvl w:val="0"/>
          <w:numId w:val="6"/>
        </w:numPr>
      </w:pPr>
      <w:r>
        <w:t>Age-related increase in amount and quality of culture needed to generate higher growth</w:t>
      </w:r>
      <w:r>
        <w:sym w:font="Wingdings" w:char="F0E0"/>
      </w:r>
      <w:r>
        <w:t xml:space="preserve"> slows growth as people age</w:t>
      </w:r>
    </w:p>
    <w:p w14:paraId="21041E0E" w14:textId="77777777" w:rsidR="00734DC0" w:rsidRDefault="00E156D5" w:rsidP="00734DC0">
      <w:pPr>
        <w:pStyle w:val="NoteLevel1"/>
        <w:numPr>
          <w:ilvl w:val="0"/>
          <w:numId w:val="6"/>
        </w:numPr>
      </w:pPr>
      <w:r>
        <w:t>We tend to show age-related decline in the efficiency in which we use cultural resources</w:t>
      </w:r>
      <w:r w:rsidR="00734DC0">
        <w:t xml:space="preserve"> </w:t>
      </w:r>
    </w:p>
    <w:p w14:paraId="475F882D" w14:textId="3601BBDB" w:rsidR="00E156D5" w:rsidRDefault="00E156D5" w:rsidP="00734DC0">
      <w:pPr>
        <w:pStyle w:val="NoteLevel1"/>
        <w:numPr>
          <w:ilvl w:val="0"/>
          <w:numId w:val="6"/>
        </w:numPr>
      </w:pPr>
      <w:r>
        <w:t>There tends to be a lack of cultural, “old-age friendly” support services</w:t>
      </w:r>
    </w:p>
    <w:p w14:paraId="36F7FA91" w14:textId="77777777" w:rsidR="00BA35D6" w:rsidRPr="00E82862" w:rsidRDefault="00BA35D6" w:rsidP="00BA35D6">
      <w:pPr>
        <w:pStyle w:val="NoteLevel1"/>
        <w:numPr>
          <w:ilvl w:val="0"/>
          <w:numId w:val="2"/>
        </w:numPr>
        <w:rPr>
          <w:b/>
        </w:rPr>
      </w:pPr>
      <w:r w:rsidRPr="00E82862">
        <w:rPr>
          <w:b/>
        </w:rPr>
        <w:t>List the 4 forces of development and provide an example of each.</w:t>
      </w:r>
    </w:p>
    <w:p w14:paraId="62546CCF" w14:textId="77777777" w:rsidR="00E156D5" w:rsidRDefault="00E156D5" w:rsidP="00E156D5">
      <w:pPr>
        <w:pStyle w:val="NoteLevel1"/>
        <w:numPr>
          <w:ilvl w:val="0"/>
          <w:numId w:val="0"/>
        </w:numPr>
        <w:ind w:left="360"/>
      </w:pPr>
      <w:r>
        <w:rPr>
          <w:b/>
        </w:rPr>
        <w:t>Biological forces</w:t>
      </w:r>
      <w:r>
        <w:t>: genetic and health-related factors</w:t>
      </w:r>
      <w:r>
        <w:sym w:font="Wingdings" w:char="F0E0"/>
      </w:r>
      <w:r>
        <w:t xml:space="preserve"> changes in major organ systems</w:t>
      </w:r>
    </w:p>
    <w:p w14:paraId="5BDF1CC3" w14:textId="77777777" w:rsidR="00E156D5" w:rsidRDefault="00E156D5" w:rsidP="00E156D5">
      <w:pPr>
        <w:pStyle w:val="NoteLevel1"/>
        <w:numPr>
          <w:ilvl w:val="0"/>
          <w:numId w:val="0"/>
        </w:numPr>
        <w:ind w:left="360"/>
      </w:pPr>
      <w:r>
        <w:rPr>
          <w:b/>
        </w:rPr>
        <w:t>Psychological forces</w:t>
      </w:r>
      <w:r>
        <w:t>: internal perceptual, cognitive, emotional and personality factors</w:t>
      </w:r>
      <w:r>
        <w:sym w:font="Wingdings" w:char="F0E0"/>
      </w:r>
      <w:r>
        <w:t xml:space="preserve"> stress, aggression, etc.</w:t>
      </w:r>
    </w:p>
    <w:p w14:paraId="195F3D55" w14:textId="77777777" w:rsidR="00E156D5" w:rsidRDefault="00E156D5" w:rsidP="00E156D5">
      <w:pPr>
        <w:pStyle w:val="NoteLevel1"/>
        <w:numPr>
          <w:ilvl w:val="0"/>
          <w:numId w:val="0"/>
        </w:numPr>
        <w:ind w:left="360"/>
      </w:pPr>
      <w:r>
        <w:rPr>
          <w:b/>
        </w:rPr>
        <w:t>Sociocultural forces</w:t>
      </w:r>
      <w:r>
        <w:t>: interpersonal, societal, cultural and ethnic factors</w:t>
      </w:r>
      <w:r>
        <w:sym w:font="Wingdings" w:char="F0E0"/>
      </w:r>
      <w:r>
        <w:t xml:space="preserve"> socioeconomic status</w:t>
      </w:r>
    </w:p>
    <w:p w14:paraId="75C0AD35" w14:textId="0EE1C4C5" w:rsidR="00E156D5" w:rsidRPr="00E156D5" w:rsidRDefault="00E156D5" w:rsidP="00E156D5">
      <w:pPr>
        <w:pStyle w:val="NoteLevel1"/>
        <w:numPr>
          <w:ilvl w:val="0"/>
          <w:numId w:val="0"/>
        </w:numPr>
        <w:ind w:left="360"/>
      </w:pPr>
      <w:r>
        <w:rPr>
          <w:b/>
        </w:rPr>
        <w:t>Life-cycle forces</w:t>
      </w:r>
      <w:r>
        <w:t xml:space="preserve">: how the same or </w:t>
      </w:r>
      <w:r w:rsidR="005C3679">
        <w:t>combination of all other factors affects</w:t>
      </w:r>
      <w:r>
        <w:t xml:space="preserve"> us at different times of our lives</w:t>
      </w:r>
      <w:r>
        <w:sym w:font="Wingdings" w:char="F0E0"/>
      </w:r>
      <w:r>
        <w:t xml:space="preserve"> health and money issues at same time</w:t>
      </w:r>
    </w:p>
    <w:p w14:paraId="7BC1C775" w14:textId="77777777" w:rsidR="00BA35D6" w:rsidRPr="00E82862" w:rsidRDefault="00BA35D6" w:rsidP="00BA35D6">
      <w:pPr>
        <w:pStyle w:val="NoteLevel1"/>
        <w:numPr>
          <w:ilvl w:val="0"/>
          <w:numId w:val="2"/>
        </w:numPr>
        <w:rPr>
          <w:b/>
        </w:rPr>
      </w:pPr>
      <w:r w:rsidRPr="00E82862">
        <w:rPr>
          <w:b/>
        </w:rPr>
        <w:t>List and define (and elaborate on) the 3 main components of successful ageing.</w:t>
      </w:r>
    </w:p>
    <w:p w14:paraId="6341BB5C" w14:textId="77777777" w:rsidR="005C3679" w:rsidRDefault="00E82862" w:rsidP="005C3679">
      <w:pPr>
        <w:pStyle w:val="NoteLevel1"/>
        <w:numPr>
          <w:ilvl w:val="0"/>
          <w:numId w:val="7"/>
        </w:numPr>
      </w:pPr>
      <w:r>
        <w:t>L</w:t>
      </w:r>
      <w:r w:rsidR="00E156D5">
        <w:t>ow probability of disease and disease-related disability</w:t>
      </w:r>
      <w:r>
        <w:t>: not only to absence or presence of disease itself, but also to absence, presence, or severity of risk factors for disease</w:t>
      </w:r>
    </w:p>
    <w:p w14:paraId="654D073B" w14:textId="77777777" w:rsidR="005C3679" w:rsidRDefault="00E82862" w:rsidP="005C3679">
      <w:pPr>
        <w:pStyle w:val="NoteLevel1"/>
        <w:numPr>
          <w:ilvl w:val="0"/>
          <w:numId w:val="7"/>
        </w:numPr>
      </w:pPr>
      <w:r>
        <w:t xml:space="preserve">High cognitive and </w:t>
      </w:r>
      <w:r w:rsidR="00E156D5">
        <w:t>physical functional capacity</w:t>
      </w:r>
      <w:r>
        <w:t>: physical and cognitive capacities are potentials for activity; they tell us what a person can do, not what they DO d</w:t>
      </w:r>
      <w:r w:rsidR="00401A40">
        <w:t>o</w:t>
      </w:r>
    </w:p>
    <w:p w14:paraId="6BED5989" w14:textId="571B4C75" w:rsidR="00E156D5" w:rsidRDefault="00E82862" w:rsidP="005C3679">
      <w:pPr>
        <w:pStyle w:val="NoteLevel1"/>
        <w:numPr>
          <w:ilvl w:val="0"/>
          <w:numId w:val="7"/>
        </w:numPr>
      </w:pPr>
      <w:r>
        <w:lastRenderedPageBreak/>
        <w:t>A</w:t>
      </w:r>
      <w:r w:rsidR="00E156D5">
        <w:t>ctive engagement with life</w:t>
      </w:r>
      <w:r w:rsidR="00401A40">
        <w:rPr>
          <w:rFonts w:asciiTheme="minorHAnsi" w:hAnsiTheme="minorHAnsi"/>
        </w:rPr>
        <w:t xml:space="preserve">: </w:t>
      </w:r>
      <w:r w:rsidR="00401A40" w:rsidRPr="00401A40">
        <w:t>successful aging goes beyond potential; it involves activity</w:t>
      </w:r>
    </w:p>
    <w:p w14:paraId="3D1E4C08" w14:textId="77777777" w:rsidR="00BA35D6" w:rsidRDefault="00BA35D6" w:rsidP="00BA35D6">
      <w:pPr>
        <w:pStyle w:val="NoteLevel1"/>
        <w:numPr>
          <w:ilvl w:val="0"/>
          <w:numId w:val="2"/>
        </w:numPr>
        <w:rPr>
          <w:b/>
        </w:rPr>
      </w:pPr>
      <w:r w:rsidRPr="00E82862">
        <w:rPr>
          <w:b/>
        </w:rPr>
        <w:t>Define the 3 neuroscience perspectives by providing 1) the name and definition and 2) an example of each.</w:t>
      </w:r>
    </w:p>
    <w:p w14:paraId="2E9FDF05" w14:textId="7A6A334C" w:rsidR="00B068C3" w:rsidRDefault="00B068C3" w:rsidP="00B068C3">
      <w:pPr>
        <w:pStyle w:val="NoteLevel1"/>
        <w:numPr>
          <w:ilvl w:val="0"/>
          <w:numId w:val="3"/>
        </w:numPr>
      </w:pPr>
      <w:r>
        <w:t>Neuropsychological approach: compares brain functioning of healthy older adults with adults displaying various neuropathological disorders</w:t>
      </w:r>
      <w:r w:rsidR="005C3679">
        <w:sym w:font="Wingdings" w:char="F0E0"/>
      </w:r>
      <w:r w:rsidR="005C3679">
        <w:t xml:space="preserve"> H.M, who acquired anterograde amnesia (no new long-term memories); could not remember facts or events from his life (no declarative memory)</w:t>
      </w:r>
    </w:p>
    <w:p w14:paraId="0BFF1A5B" w14:textId="0F263906" w:rsidR="00B068C3" w:rsidRDefault="00B068C3" w:rsidP="00B068C3">
      <w:pPr>
        <w:pStyle w:val="NoteLevel1"/>
        <w:numPr>
          <w:ilvl w:val="0"/>
          <w:numId w:val="3"/>
        </w:numPr>
      </w:pPr>
      <w:r>
        <w:t>Neurocorrelational approach: relate measures of cognitive performance to measures of brain structure or functioning</w:t>
      </w:r>
      <w:r w:rsidR="005C3679">
        <w:sym w:font="Wingdings" w:char="F0E0"/>
      </w:r>
      <w:r w:rsidR="005C3679">
        <w:t xml:space="preserve"> Wisconsin Card Sorting Test was designed to assess executive functioning abilities</w:t>
      </w:r>
      <w:r w:rsidR="005C3679">
        <w:sym w:font="Wingdings" w:char="F0E0"/>
      </w:r>
      <w:r w:rsidR="005C3679">
        <w:t xml:space="preserve"> sustained attention, goal selection, planning, problem solving, etc.</w:t>
      </w:r>
    </w:p>
    <w:p w14:paraId="6732D987" w14:textId="18C4D814" w:rsidR="00B068C3" w:rsidRPr="00B068C3" w:rsidRDefault="00B068C3" w:rsidP="00B068C3">
      <w:pPr>
        <w:pStyle w:val="NoteLevel1"/>
        <w:numPr>
          <w:ilvl w:val="0"/>
          <w:numId w:val="3"/>
        </w:numPr>
      </w:pPr>
      <w:r>
        <w:t>Activation imaging approach</w:t>
      </w:r>
      <w:r w:rsidR="00734DC0">
        <w:t>: link functional brain activity with cognitive behavioural data</w:t>
      </w:r>
      <w:r w:rsidR="005C3679">
        <w:sym w:font="Wingdings" w:char="F0E0"/>
      </w:r>
      <w:r w:rsidR="005C3679">
        <w:t xml:space="preserve"> fMRI, default mode network</w:t>
      </w:r>
    </w:p>
    <w:p w14:paraId="4E57A55F" w14:textId="77777777" w:rsidR="00BA35D6" w:rsidRDefault="00BA35D6" w:rsidP="00BA35D6">
      <w:pPr>
        <w:pStyle w:val="NoteLevel1"/>
        <w:numPr>
          <w:ilvl w:val="0"/>
          <w:numId w:val="2"/>
        </w:numPr>
        <w:rPr>
          <w:b/>
        </w:rPr>
      </w:pPr>
      <w:r w:rsidRPr="00E82862">
        <w:rPr>
          <w:b/>
        </w:rPr>
        <w:t>Define the scaffolding theory of cognitive aging and list 2 predictions of the theory.</w:t>
      </w:r>
    </w:p>
    <w:p w14:paraId="4EA230E2" w14:textId="54C1084C" w:rsidR="00B95145" w:rsidRPr="00B95145" w:rsidRDefault="00B95145" w:rsidP="00B95145">
      <w:pPr>
        <w:pStyle w:val="NoteLevel1"/>
        <w:numPr>
          <w:ilvl w:val="0"/>
          <w:numId w:val="9"/>
        </w:numPr>
      </w:pPr>
      <w:r>
        <w:t>Age-related changes in functional ability reflect a life-long process of compensating for cognitive decline by recruiting additional brain areas</w:t>
      </w:r>
      <w:r>
        <w:sym w:font="Wingdings" w:char="F0E0"/>
      </w:r>
      <w:r>
        <w:t xml:space="preserve"> explains neuroimaging studies that show selective changes in the aging brain that reflect neural decline as well as compensatory neural recruitment</w:t>
      </w:r>
    </w:p>
    <w:p w14:paraId="13701EE2" w14:textId="3137B93E" w:rsidR="00BA35D6" w:rsidRDefault="00BA35D6" w:rsidP="00BA35D6">
      <w:pPr>
        <w:pStyle w:val="NoteLevel1"/>
        <w:numPr>
          <w:ilvl w:val="0"/>
          <w:numId w:val="2"/>
        </w:numPr>
        <w:rPr>
          <w:b/>
        </w:rPr>
      </w:pPr>
      <w:r w:rsidRPr="00E82862">
        <w:rPr>
          <w:b/>
        </w:rPr>
        <w:t xml:space="preserve">Using structural MRI imaging, what are the 2 features of neurodegeneration noted in Alzheimer’s disease? Based on the MRI, how would one be able to differentially diagnose dementia with Lewy bodies as opposed to </w:t>
      </w:r>
      <w:r w:rsidR="005C3679" w:rsidRPr="00E82862">
        <w:rPr>
          <w:b/>
        </w:rPr>
        <w:t>Alzheimer’s?</w:t>
      </w:r>
      <w:r w:rsidRPr="00E82862">
        <w:rPr>
          <w:b/>
        </w:rPr>
        <w:t xml:space="preserve"> </w:t>
      </w:r>
    </w:p>
    <w:p w14:paraId="18C3B5DE" w14:textId="38B792F3" w:rsidR="00681573" w:rsidRDefault="00681573" w:rsidP="00681573">
      <w:pPr>
        <w:pStyle w:val="NoteLevel1"/>
        <w:numPr>
          <w:ilvl w:val="0"/>
          <w:numId w:val="9"/>
        </w:numPr>
      </w:pPr>
      <w:r>
        <w:t>Beta-amyloid plaques and neurofibrillary tangles</w:t>
      </w:r>
    </w:p>
    <w:p w14:paraId="0E5EEB92" w14:textId="6723E23D" w:rsidR="00681573" w:rsidRPr="00681573" w:rsidRDefault="008C4A9D" w:rsidP="00681573">
      <w:pPr>
        <w:pStyle w:val="NoteLevel1"/>
        <w:numPr>
          <w:ilvl w:val="0"/>
          <w:numId w:val="9"/>
        </w:numPr>
      </w:pPr>
      <w:r>
        <w:t xml:space="preserve">Dementia with Lewy bodies is characterized by cortical alpha-synuclein Lewy bodies, not tangles or plaques </w:t>
      </w:r>
    </w:p>
    <w:p w14:paraId="4F5D70C2" w14:textId="77777777" w:rsidR="00BA35D6" w:rsidRDefault="00BA35D6" w:rsidP="00BA35D6">
      <w:pPr>
        <w:pStyle w:val="NoteLevel1"/>
        <w:numPr>
          <w:ilvl w:val="0"/>
          <w:numId w:val="2"/>
        </w:numPr>
        <w:rPr>
          <w:b/>
        </w:rPr>
      </w:pPr>
      <w:r w:rsidRPr="00E82862">
        <w:rPr>
          <w:b/>
        </w:rPr>
        <w:t>Provide a general definition of dementia, its causes and typical symptoms.</w:t>
      </w:r>
    </w:p>
    <w:p w14:paraId="3D72C9C9" w14:textId="0CE3A24F" w:rsidR="009B158D" w:rsidRPr="009B158D" w:rsidRDefault="009B158D" w:rsidP="009B158D">
      <w:pPr>
        <w:pStyle w:val="NoteLevel1"/>
        <w:numPr>
          <w:ilvl w:val="0"/>
          <w:numId w:val="10"/>
        </w:numPr>
      </w:pPr>
      <w:r>
        <w:t xml:space="preserve">A brain related disorder caused by diseases and other conditions, caused by </w:t>
      </w:r>
      <w:r w:rsidR="001B7FAB">
        <w:t xml:space="preserve">AD, </w:t>
      </w:r>
      <w:r>
        <w:t xml:space="preserve">stroke, thyroid issues, vitamin deficiencies, reactions to medicines and brain tumours. Symptoms include issues with memory, focus, attention, visual perception, reasoning, judgment, and comprehension. </w:t>
      </w:r>
    </w:p>
    <w:p w14:paraId="4EBBA635" w14:textId="6D85B8B5" w:rsidR="00BA35D6" w:rsidRDefault="00BA35D6" w:rsidP="00BA35D6">
      <w:pPr>
        <w:pStyle w:val="NoteLevel1"/>
        <w:numPr>
          <w:ilvl w:val="0"/>
          <w:numId w:val="2"/>
        </w:numPr>
        <w:rPr>
          <w:b/>
        </w:rPr>
      </w:pPr>
      <w:r w:rsidRPr="00E82862">
        <w:rPr>
          <w:b/>
        </w:rPr>
        <w:lastRenderedPageBreak/>
        <w:t>What are the 2 common symptoms observed during the early, middle and late stages (provide 2 symptoms per stage) experienced by people with de</w:t>
      </w:r>
      <w:r w:rsidR="00B95145">
        <w:rPr>
          <w:b/>
        </w:rPr>
        <w:t>mentia syndrome?</w:t>
      </w:r>
    </w:p>
    <w:p w14:paraId="6E2619A0" w14:textId="048F3A39" w:rsidR="009B158D" w:rsidRDefault="009B158D" w:rsidP="009B158D">
      <w:pPr>
        <w:pStyle w:val="NoteLevel1"/>
        <w:numPr>
          <w:ilvl w:val="0"/>
          <w:numId w:val="10"/>
        </w:numPr>
      </w:pPr>
      <w:r>
        <w:t>Early: forgetfulness, especially regarding things that had just happened; becoming lost in familiar places</w:t>
      </w:r>
    </w:p>
    <w:p w14:paraId="1FAE80C8" w14:textId="0AD047BE" w:rsidR="009B158D" w:rsidRDefault="009B158D" w:rsidP="009B158D">
      <w:pPr>
        <w:pStyle w:val="NoteLevel1"/>
        <w:numPr>
          <w:ilvl w:val="0"/>
          <w:numId w:val="10"/>
        </w:numPr>
      </w:pPr>
      <w:r>
        <w:t>Middle: increased difficulty in communication; unable to live alone without considerable support</w:t>
      </w:r>
    </w:p>
    <w:p w14:paraId="5A91149A" w14:textId="0494D4D2" w:rsidR="009B158D" w:rsidRPr="009B158D" w:rsidRDefault="009B158D" w:rsidP="009B158D">
      <w:pPr>
        <w:pStyle w:val="NoteLevel1"/>
        <w:numPr>
          <w:ilvl w:val="0"/>
          <w:numId w:val="10"/>
        </w:numPr>
      </w:pPr>
      <w:r>
        <w:t>Late: unaware of time and place; unable to recognize family or friends</w:t>
      </w:r>
    </w:p>
    <w:p w14:paraId="0173825E" w14:textId="77777777" w:rsidR="00B95145" w:rsidRDefault="00BA35D6" w:rsidP="00B95145">
      <w:pPr>
        <w:pStyle w:val="NoteLevel1"/>
        <w:numPr>
          <w:ilvl w:val="0"/>
          <w:numId w:val="2"/>
        </w:numPr>
        <w:rPr>
          <w:b/>
        </w:rPr>
      </w:pPr>
      <w:r w:rsidRPr="00E82862">
        <w:rPr>
          <w:b/>
        </w:rPr>
        <w:t>What are the 8 common core principles for supporting people with dementia?</w:t>
      </w:r>
      <w:r w:rsidR="00B95145" w:rsidRPr="00B95145">
        <w:rPr>
          <w:b/>
        </w:rPr>
        <w:t xml:space="preserve"> </w:t>
      </w:r>
    </w:p>
    <w:p w14:paraId="5CB53229" w14:textId="6F39F092" w:rsidR="009B158D" w:rsidRDefault="002D53BF" w:rsidP="009B158D">
      <w:pPr>
        <w:pStyle w:val="NoteLevel1"/>
        <w:numPr>
          <w:ilvl w:val="0"/>
          <w:numId w:val="11"/>
        </w:numPr>
      </w:pPr>
      <w:r>
        <w:t>Know the early signs of dementia</w:t>
      </w:r>
    </w:p>
    <w:p w14:paraId="3E160E93" w14:textId="0F0344C5" w:rsidR="002D53BF" w:rsidRDefault="002D53BF" w:rsidP="009B158D">
      <w:pPr>
        <w:pStyle w:val="NoteLevel1"/>
        <w:numPr>
          <w:ilvl w:val="0"/>
          <w:numId w:val="11"/>
        </w:numPr>
      </w:pPr>
      <w:r>
        <w:t>Early diagnosis of dementia helps people receive information, support and treatment at the earliest possible stage</w:t>
      </w:r>
    </w:p>
    <w:p w14:paraId="38B1908D" w14:textId="0D13FD42" w:rsidR="002D53BF" w:rsidRDefault="002D53BF" w:rsidP="009B158D">
      <w:pPr>
        <w:pStyle w:val="NoteLevel1"/>
        <w:numPr>
          <w:ilvl w:val="0"/>
          <w:numId w:val="11"/>
        </w:numPr>
      </w:pPr>
      <w:r>
        <w:t>Communicate sensitively to support meaningful interaction</w:t>
      </w:r>
    </w:p>
    <w:p w14:paraId="104047ED" w14:textId="2953BCBD" w:rsidR="002D53BF" w:rsidRDefault="002D53BF" w:rsidP="009B158D">
      <w:pPr>
        <w:pStyle w:val="NoteLevel1"/>
        <w:numPr>
          <w:ilvl w:val="0"/>
          <w:numId w:val="11"/>
        </w:numPr>
      </w:pPr>
      <w:r>
        <w:t>Promote independence and encourage activity</w:t>
      </w:r>
    </w:p>
    <w:p w14:paraId="67F7D282" w14:textId="4E3EA195" w:rsidR="002D53BF" w:rsidRDefault="002D53BF" w:rsidP="009B158D">
      <w:pPr>
        <w:pStyle w:val="NoteLevel1"/>
        <w:numPr>
          <w:ilvl w:val="0"/>
          <w:numId w:val="11"/>
        </w:numPr>
      </w:pPr>
      <w:r>
        <w:t>Recognize the signs of distress by diffusing a person’s anxiety and supporting their understanding of the events they experience</w:t>
      </w:r>
    </w:p>
    <w:p w14:paraId="57E86063" w14:textId="6E7410ED" w:rsidR="002D53BF" w:rsidRDefault="002D53BF" w:rsidP="009B158D">
      <w:pPr>
        <w:pStyle w:val="NoteLevel1"/>
        <w:numPr>
          <w:ilvl w:val="0"/>
          <w:numId w:val="11"/>
        </w:numPr>
      </w:pPr>
      <w:r>
        <w:t>Family members are valued, respected and supported just like those they care for and are helped to gain access to dementia care advice</w:t>
      </w:r>
    </w:p>
    <w:p w14:paraId="57E86063" w14:textId="6E7410ED" w:rsidR="002D53BF" w:rsidRDefault="002D53BF" w:rsidP="009B158D">
      <w:pPr>
        <w:pStyle w:val="NoteLevel1"/>
        <w:numPr>
          <w:ilvl w:val="0"/>
          <w:numId w:val="11"/>
        </w:numPr>
      </w:pPr>
      <w:r>
        <w:t>Managers need to take responsibility to ensure members of their team are trained and well-supported to meet the needs of people with dementia</w:t>
      </w:r>
    </w:p>
    <w:p w14:paraId="780838B3" w14:textId="6F32561B" w:rsidR="002D53BF" w:rsidRPr="009B158D" w:rsidRDefault="002D53BF" w:rsidP="009B158D">
      <w:pPr>
        <w:pStyle w:val="NoteLevel1"/>
        <w:numPr>
          <w:ilvl w:val="0"/>
          <w:numId w:val="11"/>
        </w:numPr>
      </w:pPr>
      <w:r>
        <w:t>Work as part of a multi-agency team to support the person with dementia</w:t>
      </w:r>
    </w:p>
    <w:p w14:paraId="34A4A08F" w14:textId="475CEF65" w:rsidR="00B95145" w:rsidRDefault="00B95145" w:rsidP="00B95145">
      <w:pPr>
        <w:pStyle w:val="NoteLevel1"/>
        <w:numPr>
          <w:ilvl w:val="0"/>
          <w:numId w:val="2"/>
        </w:numPr>
        <w:rPr>
          <w:b/>
        </w:rPr>
      </w:pPr>
      <w:r w:rsidRPr="00E82862">
        <w:rPr>
          <w:b/>
        </w:rPr>
        <w:t>Explain how neurogenesis facilitates the formation of new memories while saving older memories.</w:t>
      </w:r>
    </w:p>
    <w:p w14:paraId="0EA544CA" w14:textId="43369673" w:rsidR="00DA607B" w:rsidRDefault="001E556E" w:rsidP="00DA607B">
      <w:pPr>
        <w:pStyle w:val="NoteLevel1"/>
        <w:numPr>
          <w:ilvl w:val="0"/>
          <w:numId w:val="12"/>
        </w:numPr>
      </w:pPr>
      <w:r>
        <w:t>Without neurogenesis, new events are limited by the set of sparse ‘codes’ provided by mature granule cells in the dentate gyrus</w:t>
      </w:r>
    </w:p>
    <w:p w14:paraId="40276ABC" w14:textId="54B27AF0" w:rsidR="001E556E" w:rsidRPr="00DA607B" w:rsidRDefault="001E556E" w:rsidP="00DA607B">
      <w:pPr>
        <w:pStyle w:val="NoteLevel1"/>
        <w:numPr>
          <w:ilvl w:val="0"/>
          <w:numId w:val="12"/>
        </w:numPr>
      </w:pPr>
      <w:r>
        <w:t>New neurons provide new sparse codes for encoding new information, while older memories are preserved because they are represented by older neurons</w:t>
      </w:r>
      <w:r>
        <w:sym w:font="Wingdings" w:char="F0E0"/>
      </w:r>
      <w:r>
        <w:t xml:space="preserve"> this can facilitate the formation of new memories while avoiding catastrophic interference, saving older memories</w:t>
      </w:r>
    </w:p>
    <w:p w14:paraId="3E8E618A" w14:textId="77777777" w:rsidR="00C003C0" w:rsidRDefault="00B95145" w:rsidP="00C003C0">
      <w:pPr>
        <w:pStyle w:val="NoteLevel1"/>
        <w:numPr>
          <w:ilvl w:val="0"/>
          <w:numId w:val="2"/>
        </w:numPr>
        <w:rPr>
          <w:b/>
        </w:rPr>
      </w:pPr>
      <w:r w:rsidRPr="00E82862">
        <w:rPr>
          <w:b/>
        </w:rPr>
        <w:t>Describe the induction and expression phases of LTP.</w:t>
      </w:r>
    </w:p>
    <w:p w14:paraId="7D4C22DD" w14:textId="7F608039" w:rsidR="00C003C0" w:rsidRPr="00C003C0" w:rsidRDefault="00C003C0" w:rsidP="00C003C0">
      <w:pPr>
        <w:pStyle w:val="NoteLevel1"/>
        <w:numPr>
          <w:ilvl w:val="0"/>
          <w:numId w:val="14"/>
        </w:numPr>
        <w:rPr>
          <w:rFonts w:cs="Times New Roman"/>
          <w:b/>
        </w:rPr>
      </w:pPr>
      <w:r w:rsidRPr="00C003C0">
        <w:rPr>
          <w:rFonts w:cs="Times New Roman"/>
        </w:rPr>
        <w:t>I</w:t>
      </w:r>
      <w:r w:rsidRPr="00C003C0">
        <w:rPr>
          <w:rFonts w:eastAsia="Times New Roman" w:cs="Times New Roman"/>
        </w:rPr>
        <w:t>nduction phase:</w:t>
      </w:r>
      <w:r>
        <w:rPr>
          <w:rFonts w:eastAsia="Times New Roman" w:cs="Times New Roman"/>
        </w:rPr>
        <w:t xml:space="preserve"> stimulus </w:t>
      </w:r>
      <w:r w:rsidRPr="00C003C0">
        <w:rPr>
          <w:rFonts w:eastAsia="Times New Roman" w:cs="Times New Roman"/>
        </w:rPr>
        <w:sym w:font="Wingdings" w:char="F0E0"/>
      </w:r>
      <w:r>
        <w:rPr>
          <w:rFonts w:eastAsia="Times New Roman" w:cs="Times New Roman"/>
        </w:rPr>
        <w:t xml:space="preserve"> glutamate release </w:t>
      </w:r>
      <w:r w:rsidRPr="00C003C0">
        <w:rPr>
          <w:rFonts w:eastAsia="Times New Roman" w:cs="Times New Roman"/>
        </w:rPr>
        <w:sym w:font="Wingdings" w:char="F0E0"/>
      </w:r>
      <w:r>
        <w:rPr>
          <w:rFonts w:eastAsia="Times New Roman" w:cs="Times New Roman"/>
        </w:rPr>
        <w:t xml:space="preserve"> AMPAr activation </w:t>
      </w:r>
      <w:r w:rsidRPr="00C003C0">
        <w:rPr>
          <w:rFonts w:eastAsia="Times New Roman" w:cs="Times New Roman"/>
        </w:rPr>
        <w:sym w:font="Wingdings" w:char="F0E0"/>
      </w:r>
      <w:r w:rsidRPr="00C003C0">
        <w:rPr>
          <w:rFonts w:eastAsia="Times New Roman" w:cs="Times New Roman"/>
        </w:rPr>
        <w:t xml:space="preserve"> greater depolarization </w:t>
      </w:r>
      <w:r>
        <w:rPr>
          <w:rFonts w:eastAsia="Times New Roman" w:cs="Times New Roman"/>
        </w:rPr>
        <w:t xml:space="preserve">allows Mg2+ ions to dissociate </w:t>
      </w:r>
      <w:r w:rsidRPr="00C003C0">
        <w:rPr>
          <w:rFonts w:eastAsia="Times New Roman" w:cs="Times New Roman"/>
        </w:rPr>
        <w:sym w:font="Wingdings" w:char="F0E0"/>
      </w:r>
      <w:r w:rsidRPr="00C003C0">
        <w:rPr>
          <w:rFonts w:eastAsia="Times New Roman" w:cs="Times New Roman"/>
        </w:rPr>
        <w:t xml:space="preserve"> Ca2+ enters </w:t>
      </w:r>
      <w:r w:rsidRPr="00C003C0">
        <w:rPr>
          <w:rFonts w:eastAsia="Times New Roman" w:cs="Times New Roman"/>
        </w:rPr>
        <w:lastRenderedPageBreak/>
        <w:t>the cell and act and 2nd messengers, alter func</w:t>
      </w:r>
      <w:r>
        <w:rPr>
          <w:rFonts w:eastAsia="Times New Roman" w:cs="Times New Roman"/>
        </w:rPr>
        <w:t xml:space="preserve">tioning of postsynaptic cell </w:t>
      </w:r>
      <w:r w:rsidRPr="00C003C0">
        <w:rPr>
          <w:rFonts w:eastAsia="Times New Roman" w:cs="Times New Roman"/>
        </w:rPr>
        <w:sym w:font="Wingdings" w:char="F0E0"/>
      </w:r>
      <w:r>
        <w:rPr>
          <w:rFonts w:eastAsia="Times New Roman" w:cs="Times New Roman"/>
        </w:rPr>
        <w:t xml:space="preserve"> </w:t>
      </w:r>
      <w:r w:rsidRPr="00C003C0">
        <w:rPr>
          <w:rFonts w:eastAsia="Times New Roman" w:cs="Times New Roman"/>
        </w:rPr>
        <w:t>Now te</w:t>
      </w:r>
      <w:r>
        <w:rPr>
          <w:rFonts w:eastAsia="Times New Roman" w:cs="Times New Roman"/>
        </w:rPr>
        <w:t>st pulse produces enhanced EPSP</w:t>
      </w:r>
    </w:p>
    <w:p w14:paraId="5E231D41" w14:textId="583A9834" w:rsidR="001E556E" w:rsidRPr="00C003C0" w:rsidRDefault="00C003C0" w:rsidP="00C003C0">
      <w:pPr>
        <w:pStyle w:val="NoteLevel1"/>
        <w:numPr>
          <w:ilvl w:val="0"/>
          <w:numId w:val="14"/>
        </w:numPr>
        <w:rPr>
          <w:rFonts w:cs="Times New Roman"/>
          <w:b/>
        </w:rPr>
      </w:pPr>
      <w:r w:rsidRPr="00C003C0">
        <w:rPr>
          <w:rFonts w:eastAsia="Times New Roman" w:cs="Times New Roman"/>
        </w:rPr>
        <w:t>Expression phase:</w:t>
      </w:r>
      <w:r>
        <w:rPr>
          <w:rFonts w:eastAsia="Times New Roman" w:cs="Times New Roman"/>
        </w:rPr>
        <w:t xml:space="preserve"> N</w:t>
      </w:r>
      <w:r w:rsidRPr="00C003C0">
        <w:rPr>
          <w:rFonts w:eastAsia="Times New Roman" w:cs="Times New Roman"/>
        </w:rPr>
        <w:t xml:space="preserve">MDAr critical for induction, not expression. AMPAr necessary for expression (AMPAr-mediated EPSP is facilitated in LTP). </w:t>
      </w:r>
      <w:r w:rsidRPr="00C003C0">
        <w:rPr>
          <w:rFonts w:eastAsia="Times New Roman" w:cs="Times New Roman"/>
        </w:rPr>
        <w:br/>
        <w:t>Influx of C</w:t>
      </w:r>
      <w:r>
        <w:rPr>
          <w:rFonts w:eastAsia="Times New Roman" w:cs="Times New Roman"/>
        </w:rPr>
        <w:t xml:space="preserve">a2+ activates protein kinases </w:t>
      </w:r>
      <w:r w:rsidRPr="00C003C0">
        <w:rPr>
          <w:rFonts w:eastAsia="Times New Roman" w:cs="Times New Roman"/>
        </w:rPr>
        <w:sym w:font="Wingdings" w:char="F0E0"/>
      </w:r>
      <w:r w:rsidRPr="00C003C0">
        <w:rPr>
          <w:rFonts w:eastAsia="Times New Roman" w:cs="Times New Roman"/>
        </w:rPr>
        <w:t xml:space="preserve"> phosphorylates AMPAr (inc</w:t>
      </w:r>
      <w:r>
        <w:rPr>
          <w:rFonts w:eastAsia="Times New Roman" w:cs="Times New Roman"/>
        </w:rPr>
        <w:t>luding</w:t>
      </w:r>
      <w:r w:rsidRPr="00C003C0">
        <w:rPr>
          <w:rFonts w:eastAsia="Times New Roman" w:cs="Times New Roman"/>
        </w:rPr>
        <w:t xml:space="preserve"> sensitivity to glu</w:t>
      </w:r>
      <w:r>
        <w:rPr>
          <w:rFonts w:eastAsia="Times New Roman" w:cs="Times New Roman"/>
        </w:rPr>
        <w:t xml:space="preserve">tamate) </w:t>
      </w:r>
      <w:r w:rsidRPr="00C003C0">
        <w:rPr>
          <w:rFonts w:eastAsia="Times New Roman" w:cs="Times New Roman"/>
        </w:rPr>
        <w:sym w:font="Wingdings" w:char="F0E0"/>
      </w:r>
      <w:r>
        <w:rPr>
          <w:rFonts w:eastAsia="Times New Roman" w:cs="Times New Roman"/>
        </w:rPr>
        <w:t xml:space="preserve"> more AMPAr inserted into post-synaptic membrane </w:t>
      </w:r>
      <w:r w:rsidRPr="00C003C0">
        <w:rPr>
          <w:rFonts w:eastAsia="Times New Roman" w:cs="Times New Roman"/>
        </w:rPr>
        <w:sym w:font="Wingdings" w:char="F0E0"/>
      </w:r>
      <w:r>
        <w:rPr>
          <w:rFonts w:eastAsia="Times New Roman" w:cs="Times New Roman"/>
        </w:rPr>
        <w:t xml:space="preserve"> </w:t>
      </w:r>
      <w:r w:rsidRPr="00C003C0">
        <w:rPr>
          <w:rFonts w:eastAsia="Times New Roman" w:cs="Times New Roman"/>
        </w:rPr>
        <w:t>less presynaptic Glu will produce signal.</w:t>
      </w:r>
    </w:p>
    <w:p w14:paraId="194D07A1" w14:textId="77777777" w:rsidR="004C05D3" w:rsidRDefault="00B95145" w:rsidP="004C05D3">
      <w:pPr>
        <w:pStyle w:val="NoteLevel1"/>
        <w:numPr>
          <w:ilvl w:val="0"/>
          <w:numId w:val="2"/>
        </w:numPr>
        <w:rPr>
          <w:b/>
        </w:rPr>
      </w:pPr>
      <w:r w:rsidRPr="00E82862">
        <w:rPr>
          <w:b/>
        </w:rPr>
        <w:t>Starting with the cerebral cortex and working your way through the direct and indirect pathways ending in the frontal cortex, describe the steps required to initiate a movement and inhibit an unwanted movement.</w:t>
      </w:r>
    </w:p>
    <w:p w14:paraId="1D38ABA5" w14:textId="77777777" w:rsidR="004C05D3" w:rsidRPr="004C05D3" w:rsidRDefault="004C05D3" w:rsidP="004C05D3">
      <w:pPr>
        <w:pStyle w:val="NoteLevel1"/>
        <w:numPr>
          <w:ilvl w:val="0"/>
          <w:numId w:val="18"/>
        </w:numPr>
        <w:rPr>
          <w:b/>
        </w:rPr>
      </w:pPr>
      <w:r w:rsidRPr="004C05D3">
        <w:rPr>
          <w:rFonts w:cs="Times New Roman"/>
        </w:rPr>
        <w:t>The cortex has many different areas with different functions. The primary motor cortex is located along the pre-central gyrus. Specialized neurons from the primary motor cortex extend their axons to the striatum portion of the basal ganglia. These cortical neurons release the excitatory neurotransmitter glutamate. Once excited by glutamate, the cells in the striatum project in two different directions giving rise to two major pathways: the "direct" and the "indirect" pathways</w:t>
      </w:r>
      <w:r>
        <w:rPr>
          <w:rFonts w:cs="Times New Roman"/>
        </w:rPr>
        <w:t>:</w:t>
      </w:r>
    </w:p>
    <w:p w14:paraId="2AB663D9" w14:textId="221D8F6B" w:rsidR="004C05D3" w:rsidRPr="004C05D3" w:rsidRDefault="004C05D3" w:rsidP="004C05D3">
      <w:pPr>
        <w:pStyle w:val="NoteLevel1"/>
        <w:numPr>
          <w:ilvl w:val="0"/>
          <w:numId w:val="18"/>
        </w:numPr>
        <w:rPr>
          <w:b/>
        </w:rPr>
      </w:pPr>
      <w:r w:rsidRPr="004C05D3">
        <w:t xml:space="preserve">Direct pathway: </w:t>
      </w:r>
      <w:r w:rsidRPr="004C05D3">
        <w:rPr>
          <w:rFonts w:eastAsia="Times New Roman" w:cs="Times New Roman"/>
        </w:rPr>
        <w:t xml:space="preserve">Cortex (stimulates) </w:t>
      </w:r>
      <w:r w:rsidRPr="004C05D3">
        <w:rPr>
          <w:rFonts w:ascii="Times New Roman" w:eastAsia="Times New Roman" w:hAnsi="Times New Roman" w:cs="Times New Roman"/>
        </w:rPr>
        <w:t>→</w:t>
      </w:r>
      <w:r w:rsidRPr="004C05D3">
        <w:rPr>
          <w:rFonts w:eastAsia="Times New Roman" w:cs="Times New Roman"/>
        </w:rPr>
        <w:t xml:space="preserve"> Striatum (inhibits) </w:t>
      </w:r>
      <w:r w:rsidRPr="004C05D3">
        <w:rPr>
          <w:rFonts w:ascii="Times New Roman" w:eastAsia="Times New Roman" w:hAnsi="Times New Roman" w:cs="Times New Roman"/>
        </w:rPr>
        <w:t>→</w:t>
      </w:r>
      <w:r w:rsidRPr="004C05D3">
        <w:rPr>
          <w:rFonts w:eastAsia="Times New Roman" w:cs="Times New Roman"/>
        </w:rPr>
        <w:t xml:space="preserve"> "SNr-GPi" complex (less inhibition of thalamus) </w:t>
      </w:r>
      <w:r w:rsidRPr="004C05D3">
        <w:rPr>
          <w:rFonts w:ascii="Times New Roman" w:eastAsia="Times New Roman" w:hAnsi="Times New Roman" w:cs="Times New Roman"/>
        </w:rPr>
        <w:t>→</w:t>
      </w:r>
      <w:r w:rsidRPr="004C05D3">
        <w:rPr>
          <w:rFonts w:eastAsia="Times New Roman" w:cs="Times New Roman"/>
        </w:rPr>
        <w:t xml:space="preserve"> Thalamus (stimulates) </w:t>
      </w:r>
      <w:r w:rsidRPr="004C05D3">
        <w:rPr>
          <w:rFonts w:ascii="Times New Roman" w:eastAsia="Times New Roman" w:hAnsi="Times New Roman" w:cs="Times New Roman"/>
        </w:rPr>
        <w:t>→</w:t>
      </w:r>
      <w:r w:rsidRPr="004C05D3">
        <w:rPr>
          <w:rFonts w:eastAsia="Times New Roman" w:cs="Times New Roman"/>
        </w:rPr>
        <w:t xml:space="preserve"> Cortex (stimulates) </w:t>
      </w:r>
      <w:r w:rsidRPr="004C05D3">
        <w:rPr>
          <w:rFonts w:ascii="Times New Roman" w:eastAsia="Times New Roman" w:hAnsi="Times New Roman" w:cs="Times New Roman"/>
        </w:rPr>
        <w:t>→</w:t>
      </w:r>
      <w:r w:rsidRPr="004C05D3">
        <w:rPr>
          <w:rFonts w:eastAsia="Times New Roman" w:cs="Times New Roman"/>
        </w:rPr>
        <w:t xml:space="preserve">Muscles, etc. </w:t>
      </w:r>
      <w:r w:rsidRPr="004C05D3">
        <w:rPr>
          <w:rFonts w:ascii="Times New Roman" w:eastAsia="Times New Roman" w:hAnsi="Times New Roman" w:cs="Times New Roman"/>
        </w:rPr>
        <w:t>→</w:t>
      </w:r>
      <w:r w:rsidRPr="004C05D3">
        <w:rPr>
          <w:rFonts w:eastAsia="Times New Roman" w:cs="Times New Roman"/>
        </w:rPr>
        <w:t xml:space="preserve"> (hyperkinetic state)</w:t>
      </w:r>
    </w:p>
    <w:p w14:paraId="137699EB" w14:textId="034B4F4A" w:rsidR="004C05D3" w:rsidRPr="004C05D3" w:rsidRDefault="004C05D3" w:rsidP="004C05D3">
      <w:pPr>
        <w:pStyle w:val="NoteLevel1"/>
        <w:numPr>
          <w:ilvl w:val="0"/>
          <w:numId w:val="17"/>
        </w:numPr>
      </w:pPr>
      <w:r w:rsidRPr="004C05D3">
        <w:t xml:space="preserve">Indirect pathway: </w:t>
      </w:r>
      <w:r w:rsidRPr="004C05D3">
        <w:rPr>
          <w:rFonts w:eastAsia="Times New Roman" w:cs="Times New Roman"/>
        </w:rPr>
        <w:t xml:space="preserve">Cortex (stimulates) </w:t>
      </w:r>
      <w:r w:rsidRPr="004C05D3">
        <w:rPr>
          <w:rFonts w:ascii="Times New Roman" w:eastAsia="Times New Roman" w:hAnsi="Times New Roman" w:cs="Times New Roman"/>
        </w:rPr>
        <w:t>→</w:t>
      </w:r>
      <w:r w:rsidRPr="004C05D3">
        <w:rPr>
          <w:rFonts w:eastAsia="Times New Roman" w:cs="Times New Roman"/>
        </w:rPr>
        <w:t xml:space="preserve"> Striatum (inhibits) </w:t>
      </w:r>
      <w:r w:rsidRPr="004C05D3">
        <w:rPr>
          <w:rFonts w:ascii="Times New Roman" w:eastAsia="Times New Roman" w:hAnsi="Times New Roman" w:cs="Times New Roman"/>
        </w:rPr>
        <w:t>→</w:t>
      </w:r>
      <w:r w:rsidRPr="004C05D3">
        <w:rPr>
          <w:rFonts w:eastAsia="Times New Roman" w:cs="Times New Roman"/>
        </w:rPr>
        <w:t xml:space="preserve"> GPe (less inhibition of STN) </w:t>
      </w:r>
      <w:r w:rsidRPr="004C05D3">
        <w:rPr>
          <w:rFonts w:ascii="Times New Roman" w:eastAsia="Times New Roman" w:hAnsi="Times New Roman" w:cs="Times New Roman"/>
        </w:rPr>
        <w:t>→</w:t>
      </w:r>
      <w:r w:rsidRPr="004C05D3">
        <w:rPr>
          <w:rFonts w:eastAsia="Times New Roman" w:cs="Times New Roman"/>
        </w:rPr>
        <w:t xml:space="preserve"> STN (stimulates) </w:t>
      </w:r>
      <w:r w:rsidRPr="004C05D3">
        <w:rPr>
          <w:rFonts w:ascii="Times New Roman" w:eastAsia="Times New Roman" w:hAnsi="Times New Roman" w:cs="Times New Roman"/>
        </w:rPr>
        <w:t>→</w:t>
      </w:r>
      <w:r w:rsidRPr="004C05D3">
        <w:rPr>
          <w:rFonts w:eastAsia="Times New Roman" w:cs="Times New Roman"/>
        </w:rPr>
        <w:t xml:space="preserve"> "SNr-GPi" complex (inhibits) </w:t>
      </w:r>
      <w:r w:rsidRPr="004C05D3">
        <w:rPr>
          <w:rFonts w:ascii="Times New Roman" w:eastAsia="Times New Roman" w:hAnsi="Times New Roman" w:cs="Times New Roman"/>
        </w:rPr>
        <w:t>→</w:t>
      </w:r>
      <w:r w:rsidRPr="004C05D3">
        <w:rPr>
          <w:rFonts w:eastAsia="Times New Roman" w:cs="Times New Roman"/>
        </w:rPr>
        <w:t xml:space="preserve"> Thalamus (is stimulating less) </w:t>
      </w:r>
      <w:r w:rsidRPr="004C05D3">
        <w:rPr>
          <w:rFonts w:ascii="Times New Roman" w:eastAsia="Times New Roman" w:hAnsi="Times New Roman" w:cs="Times New Roman"/>
        </w:rPr>
        <w:t>→</w:t>
      </w:r>
      <w:r w:rsidRPr="004C05D3">
        <w:rPr>
          <w:rFonts w:eastAsia="Times New Roman" w:cs="Times New Roman"/>
        </w:rPr>
        <w:t xml:space="preserve"> Cortex (is stimulating less) </w:t>
      </w:r>
      <w:r w:rsidRPr="004C05D3">
        <w:rPr>
          <w:rFonts w:ascii="Times New Roman" w:eastAsia="Times New Roman" w:hAnsi="Times New Roman" w:cs="Times New Roman"/>
        </w:rPr>
        <w:t>→</w:t>
      </w:r>
      <w:r w:rsidRPr="004C05D3">
        <w:rPr>
          <w:rFonts w:eastAsia="Times New Roman" w:cs="Times New Roman"/>
        </w:rPr>
        <w:t xml:space="preserve"> Muscles, etc. </w:t>
      </w:r>
      <w:r w:rsidRPr="004C05D3">
        <w:rPr>
          <w:rFonts w:ascii="Times New Roman" w:eastAsia="Times New Roman" w:hAnsi="Times New Roman" w:cs="Times New Roman"/>
        </w:rPr>
        <w:t>→</w:t>
      </w:r>
      <w:r w:rsidRPr="004C05D3">
        <w:rPr>
          <w:rFonts w:eastAsia="Times New Roman" w:cs="Times New Roman"/>
        </w:rPr>
        <w:t xml:space="preserve"> (hypokinetic state)</w:t>
      </w:r>
    </w:p>
    <w:p w14:paraId="1022BDC2" w14:textId="7BA0CB2C" w:rsidR="00C003C0" w:rsidRPr="004C05D3" w:rsidRDefault="004C05D3" w:rsidP="004C05D3">
      <w:pPr>
        <w:pStyle w:val="NoteLevel1"/>
        <w:numPr>
          <w:ilvl w:val="0"/>
          <w:numId w:val="17"/>
        </w:numPr>
        <w:rPr>
          <w:b/>
        </w:rPr>
      </w:pPr>
      <w:r w:rsidRPr="004C05D3">
        <w:rPr>
          <w:rFonts w:eastAsia="Times New Roman" w:cs="Times New Roman"/>
        </w:rPr>
        <w:t xml:space="preserve">The antagonistic functions of the direct and indirect pathways are modulated by the substantia nigra pars compacta (SNc), which produces dopamine. In the presence of dopamine, D1-receptors in the basal ganglia stimulate the GABAergic neurons, favouring the direct pathway, and thus increasing movement. The GABAergic neurons of the indirect pathway are stimulated by the excitatory neurotransmitters acetylcholine and glutamate. This sets off the indirect pathway that ultimately results in inhibition of upper motor neurons, and less movement. In the presence of dopamine, D2-receptors in the basal ganglia inhibit these GABAergic neurons, which </w:t>
      </w:r>
      <w:r w:rsidRPr="004C05D3">
        <w:rPr>
          <w:rFonts w:eastAsia="Times New Roman" w:cs="Times New Roman"/>
        </w:rPr>
        <w:lastRenderedPageBreak/>
        <w:t>reduce the indirect pathways inhibitory effect. Dopamine therefore increases the excitatory effect of the direct pathway (causing movement) and reduces the inhibitory effect of the indirect pathway (preventing full inhibition of movement). Through these mechanisms the body is able to maintain balance between excitation and inhibition of motion.</w:t>
      </w:r>
    </w:p>
    <w:p w14:paraId="3B47AF0A" w14:textId="77777777" w:rsidR="00BA35D6" w:rsidRDefault="00BA35D6" w:rsidP="00BA35D6">
      <w:pPr>
        <w:pStyle w:val="NoteLevel1"/>
        <w:numPr>
          <w:ilvl w:val="0"/>
          <w:numId w:val="2"/>
        </w:numPr>
        <w:rPr>
          <w:b/>
        </w:rPr>
      </w:pPr>
      <w:r w:rsidRPr="00E82862">
        <w:rPr>
          <w:b/>
        </w:rPr>
        <w:t>Describe one hypothesis, as presented in class, why there</w:t>
      </w:r>
      <w:r w:rsidR="005B1CF2" w:rsidRPr="00E82862">
        <w:rPr>
          <w:b/>
        </w:rPr>
        <w:t xml:space="preserve"> is an increased concentration of glutamate in the synaptic cleft following an ischemic stoke. </w:t>
      </w:r>
    </w:p>
    <w:p w14:paraId="5A9219CD" w14:textId="2A4B2236" w:rsidR="00120588" w:rsidRDefault="002276EF" w:rsidP="00120588">
      <w:pPr>
        <w:pStyle w:val="NoteLevel1"/>
        <w:numPr>
          <w:ilvl w:val="0"/>
          <w:numId w:val="19"/>
        </w:numPr>
      </w:pPr>
      <w:r>
        <w:t>Glutamate is taken up by astrocytes</w:t>
      </w:r>
    </w:p>
    <w:p w14:paraId="39B9DC74" w14:textId="21CF13F1" w:rsidR="002276EF" w:rsidRDefault="002276EF" w:rsidP="00120588">
      <w:pPr>
        <w:pStyle w:val="NoteLevel1"/>
        <w:numPr>
          <w:ilvl w:val="0"/>
          <w:numId w:val="19"/>
        </w:numPr>
      </w:pPr>
      <w:r>
        <w:t>Glucose taken up by astrocytes undergoes glycolysis for generation if ATP to meet astrocytic energy requirements (predominantly for glutamate reuptake)</w:t>
      </w:r>
    </w:p>
    <w:p w14:paraId="57242C94" w14:textId="13C86BDF" w:rsidR="002276EF" w:rsidRPr="00120588" w:rsidRDefault="002276EF" w:rsidP="00120588">
      <w:pPr>
        <w:pStyle w:val="NoteLevel1"/>
        <w:numPr>
          <w:ilvl w:val="0"/>
          <w:numId w:val="19"/>
        </w:numPr>
      </w:pPr>
      <w:r>
        <w:t>No glucose</w:t>
      </w:r>
      <w:r w:rsidR="00B927E4">
        <w:t xml:space="preserve"> (due to interrupted blood flow from stroke)</w:t>
      </w:r>
      <w:r>
        <w:t>, no energy for astrocyte function, no glutamate removal</w:t>
      </w:r>
    </w:p>
    <w:p w14:paraId="4812EBF2" w14:textId="77777777" w:rsidR="005B1CF2" w:rsidRDefault="005B1CF2" w:rsidP="00BA35D6">
      <w:pPr>
        <w:pStyle w:val="NoteLevel1"/>
        <w:numPr>
          <w:ilvl w:val="0"/>
          <w:numId w:val="2"/>
        </w:numPr>
        <w:rPr>
          <w:b/>
        </w:rPr>
      </w:pPr>
      <w:r w:rsidRPr="00E82862">
        <w:rPr>
          <w:b/>
        </w:rPr>
        <w:t>With chronic alcohol, why is there elevated glutamate release?</w:t>
      </w:r>
    </w:p>
    <w:p w14:paraId="0ADEFE17" w14:textId="216262FA" w:rsidR="00B927E4" w:rsidRDefault="00B927E4" w:rsidP="00B927E4">
      <w:pPr>
        <w:pStyle w:val="NoteLevel1"/>
        <w:numPr>
          <w:ilvl w:val="0"/>
          <w:numId w:val="20"/>
        </w:numPr>
      </w:pPr>
      <w:r>
        <w:t>Chronic up-regulation of NMDAr</w:t>
      </w:r>
      <w:r>
        <w:sym w:font="Wingdings" w:char="F0E0"/>
      </w:r>
      <w:r>
        <w:t xml:space="preserve"> during withdrawal, glutamate release that is normally reduced by alcohol increases after about 10 hours</w:t>
      </w:r>
      <w:r>
        <w:sym w:font="Wingdings" w:char="F0E0"/>
      </w:r>
      <w:r>
        <w:t xml:space="preserve"> correlated with CNS hyperexcitability </w:t>
      </w:r>
    </w:p>
    <w:p w14:paraId="567BC87E" w14:textId="128237E7" w:rsidR="00B927E4" w:rsidRPr="00B927E4" w:rsidRDefault="00D8388F" w:rsidP="00B927E4">
      <w:pPr>
        <w:pStyle w:val="NoteLevel1"/>
        <w:numPr>
          <w:ilvl w:val="0"/>
          <w:numId w:val="20"/>
        </w:numPr>
      </w:pPr>
      <w:r>
        <w:t>Repeated exposure to ethanol reduces GABA</w:t>
      </w:r>
      <w:r>
        <w:rPr>
          <w:vertAlign w:val="subscript"/>
        </w:rPr>
        <w:t>A</w:t>
      </w:r>
      <w:r>
        <w:t>-mediated Cl</w:t>
      </w:r>
      <w:r>
        <w:rPr>
          <w:vertAlign w:val="superscript"/>
        </w:rPr>
        <w:t>-</w:t>
      </w:r>
      <w:r>
        <w:t xml:space="preserve"> flux</w:t>
      </w:r>
      <w:r>
        <w:sym w:font="Wingdings" w:char="F0E0"/>
      </w:r>
      <w:r>
        <w:t xml:space="preserve"> lack of inhibitory control on glutamatergic neurons</w:t>
      </w:r>
    </w:p>
    <w:p w14:paraId="28A7431B" w14:textId="20AA5AD4" w:rsidR="00D8388F" w:rsidRDefault="0013646D" w:rsidP="00D8388F">
      <w:pPr>
        <w:pStyle w:val="NoteLevel1"/>
        <w:numPr>
          <w:ilvl w:val="0"/>
          <w:numId w:val="2"/>
        </w:numPr>
        <w:rPr>
          <w:b/>
        </w:rPr>
      </w:pPr>
      <w:r w:rsidRPr="00E82862">
        <w:rPr>
          <w:b/>
        </w:rPr>
        <w:t>D</w:t>
      </w:r>
      <w:r w:rsidR="005B1CF2" w:rsidRPr="00E82862">
        <w:rPr>
          <w:b/>
        </w:rPr>
        <w:t>e</w:t>
      </w:r>
      <w:r w:rsidRPr="00E82862">
        <w:rPr>
          <w:b/>
        </w:rPr>
        <w:t>scribe the two pathways by which elevated glutamate can lead to cell death.</w:t>
      </w:r>
    </w:p>
    <w:p w14:paraId="34E2D3F8" w14:textId="77777777" w:rsidR="005B4094" w:rsidRDefault="005B4094" w:rsidP="005B4094">
      <w:pPr>
        <w:pStyle w:val="NoteLevel1"/>
        <w:numPr>
          <w:ilvl w:val="0"/>
          <w:numId w:val="22"/>
        </w:numPr>
      </w:pPr>
      <w:r>
        <w:t>Necrosis: in cultured nerve cells, when both NMDA and non-NMDA receptors are subjected to high concentrations of glutamate, most cells die within a few hours</w:t>
      </w:r>
    </w:p>
    <w:p w14:paraId="426B441E" w14:textId="10A061BE" w:rsidR="00D8388F" w:rsidRPr="00D8388F" w:rsidRDefault="005B4094" w:rsidP="005B4094">
      <w:pPr>
        <w:pStyle w:val="NoteLevel1"/>
        <w:numPr>
          <w:ilvl w:val="0"/>
          <w:numId w:val="22"/>
        </w:numPr>
      </w:pPr>
      <w:r>
        <w:t>Apoptosis: if glutamate concentrations are lowered or exposure time reduced, cell death takes several hours; depends on NMDA receptor activation</w:t>
      </w:r>
    </w:p>
    <w:p w14:paraId="2C9FA7A5" w14:textId="77777777" w:rsidR="0013646D" w:rsidRDefault="0013646D" w:rsidP="00BA35D6">
      <w:pPr>
        <w:pStyle w:val="NoteLevel1"/>
        <w:numPr>
          <w:ilvl w:val="0"/>
          <w:numId w:val="2"/>
        </w:numPr>
        <w:rPr>
          <w:b/>
        </w:rPr>
      </w:pPr>
      <w:r w:rsidRPr="00E82862">
        <w:rPr>
          <w:b/>
        </w:rPr>
        <w:t>Describe the 2 different proteolytically processing pathways of amyloid precursor protein including the key enzyme steps, the physiological effects and the outcome.</w:t>
      </w:r>
    </w:p>
    <w:p w14:paraId="5859C7AF" w14:textId="1B7DFD78" w:rsidR="00D16A39" w:rsidRDefault="00D16A39" w:rsidP="00D16A39">
      <w:pPr>
        <w:pStyle w:val="NoteLevel1"/>
        <w:numPr>
          <w:ilvl w:val="0"/>
          <w:numId w:val="23"/>
        </w:numPr>
      </w:pPr>
      <w:r>
        <w:t>Cleavage of APP within the amyloid-b sequence by alpha-secretase form of APP (sAPP) from the cell surface</w:t>
      </w:r>
      <w:r>
        <w:sym w:font="Wingdings" w:char="F0E0"/>
      </w:r>
      <w:r>
        <w:t xml:space="preserve"> sAPP activates cGMP-dependent protein kinase (PKG) which promotes opening of K+ </w:t>
      </w:r>
      <w:r>
        <w:lastRenderedPageBreak/>
        <w:t>channels and activates NF- kB</w:t>
      </w:r>
      <w:r>
        <w:sym w:font="Wingdings" w:char="F0E0"/>
      </w:r>
      <w:r>
        <w:t xml:space="preserve"> the effects of sAPPa are believed to mediate its neuron survival promoting properties</w:t>
      </w:r>
    </w:p>
    <w:p w14:paraId="0C60F6B0" w14:textId="4C1FA387" w:rsidR="00D16A39" w:rsidRPr="00D16A39" w:rsidRDefault="00D16A39" w:rsidP="00D16A39">
      <w:pPr>
        <w:pStyle w:val="NoteLevel1"/>
        <w:numPr>
          <w:ilvl w:val="0"/>
          <w:numId w:val="23"/>
        </w:numPr>
      </w:pPr>
      <w:r>
        <w:t xml:space="preserve">Cleavages at the N- and C- termini of Ab by gamma-secretase and </w:t>
      </w:r>
      <w:r w:rsidR="0071625B">
        <w:t>beta-secretase</w:t>
      </w:r>
      <w:r w:rsidR="0071625B">
        <w:sym w:font="Wingdings" w:char="F0E0"/>
      </w:r>
      <w:r w:rsidR="0071625B">
        <w:t xml:space="preserve"> releases Ab from cells, which, under suitable conditions (high concentration, oxidizing environment), begins to self-aggregate</w:t>
      </w:r>
      <w:r w:rsidR="0071625B">
        <w:sym w:font="Wingdings" w:char="F0E0"/>
      </w:r>
      <w:r w:rsidR="0071625B">
        <w:t xml:space="preserve"> under these conditions, Ab induces e=membrane lipid peroxidation which impairs the function of membrane ion-motive ATPases (sodium and calcium pumps) and glucose transporters</w:t>
      </w:r>
      <w:r w:rsidR="0071625B">
        <w:sym w:font="Wingdings" w:char="F0E0"/>
      </w:r>
      <w:r w:rsidR="007A6E0D">
        <w:t xml:space="preserve"> </w:t>
      </w:r>
      <w:r w:rsidR="0071625B">
        <w:t>neurons are thus vulnerable to apoptosis</w:t>
      </w:r>
    </w:p>
    <w:p w14:paraId="03EF308C" w14:textId="1CF147EC" w:rsidR="0013646D" w:rsidRDefault="0013646D" w:rsidP="00BA35D6">
      <w:pPr>
        <w:pStyle w:val="NoteLevel1"/>
        <w:numPr>
          <w:ilvl w:val="0"/>
          <w:numId w:val="2"/>
        </w:numPr>
        <w:rPr>
          <w:b/>
        </w:rPr>
      </w:pPr>
      <w:r w:rsidRPr="00E82862">
        <w:rPr>
          <w:b/>
        </w:rPr>
        <w:t xml:space="preserve">Describe the function of </w:t>
      </w:r>
      <w:r w:rsidR="007A6E0D" w:rsidRPr="00E82862">
        <w:rPr>
          <w:b/>
        </w:rPr>
        <w:t>Presenilin;</w:t>
      </w:r>
      <w:r w:rsidRPr="00E82862">
        <w:rPr>
          <w:b/>
        </w:rPr>
        <w:t xml:space="preserve"> w</w:t>
      </w:r>
      <w:r w:rsidR="006E0488" w:rsidRPr="00E82862">
        <w:rPr>
          <w:b/>
        </w:rPr>
        <w:t xml:space="preserve">hat happens when it is mutated and how this mutation can lead to both beta-amyloid aggregation and tangle formation. </w:t>
      </w:r>
    </w:p>
    <w:p w14:paraId="6F60E799" w14:textId="18BB3071" w:rsidR="007A6E0D" w:rsidRDefault="007A6E0D" w:rsidP="007A6E0D">
      <w:pPr>
        <w:pStyle w:val="NoteLevel1"/>
        <w:numPr>
          <w:ilvl w:val="0"/>
          <w:numId w:val="24"/>
        </w:numPr>
      </w:pPr>
      <w:r>
        <w:t>Presenilin-1 (PS-1) is an integral membrane protein located primarily in the ER</w:t>
      </w:r>
    </w:p>
    <w:p w14:paraId="13B16D4F" w14:textId="4D48EFA8" w:rsidR="007A6E0D" w:rsidRDefault="007A6E0D" w:rsidP="007A6E0D">
      <w:pPr>
        <w:pStyle w:val="NoteLevel1"/>
        <w:numPr>
          <w:ilvl w:val="0"/>
          <w:numId w:val="24"/>
        </w:numPr>
      </w:pPr>
      <w:r>
        <w:t>Mutations in PS-1 perturb ER Ca</w:t>
      </w:r>
      <w:r>
        <w:rPr>
          <w:vertAlign w:val="superscript"/>
        </w:rPr>
        <w:t>2+</w:t>
      </w:r>
      <w:r>
        <w:t xml:space="preserve"> homeostasis, resulting in increased release of calcium</w:t>
      </w:r>
    </w:p>
    <w:p w14:paraId="4C9A0F47" w14:textId="1AE64EF3" w:rsidR="007A6E0D" w:rsidRDefault="007A6E0D" w:rsidP="007A6E0D">
      <w:pPr>
        <w:pStyle w:val="NoteLevel1"/>
        <w:numPr>
          <w:ilvl w:val="0"/>
          <w:numId w:val="24"/>
        </w:numPr>
      </w:pPr>
      <w:r>
        <w:t>Enhanced Ca</w:t>
      </w:r>
      <w:r>
        <w:rPr>
          <w:vertAlign w:val="superscript"/>
        </w:rPr>
        <w:t>2+</w:t>
      </w:r>
      <w:r>
        <w:t xml:space="preserve"> release triggers further calcium influx through calcium release channels in the plasma membrane</w:t>
      </w:r>
    </w:p>
    <w:p w14:paraId="1603627F" w14:textId="69499628" w:rsidR="007A6E0D" w:rsidRPr="007A6E0D" w:rsidRDefault="007A6E0D" w:rsidP="007A6E0D">
      <w:pPr>
        <w:pStyle w:val="NoteLevel1"/>
        <w:numPr>
          <w:ilvl w:val="0"/>
          <w:numId w:val="24"/>
        </w:numPr>
      </w:pPr>
      <w:r>
        <w:t>Altered calcium homeostasis makes neurons vulnerable to apoptosis and excitotoxicity, and alters APP processing in a manner that increases beta-amyloid production</w:t>
      </w:r>
    </w:p>
    <w:p w14:paraId="0A2628E7" w14:textId="77777777" w:rsidR="006E0488" w:rsidRDefault="006E0488" w:rsidP="00505075">
      <w:pPr>
        <w:pStyle w:val="NoteLevel1"/>
        <w:numPr>
          <w:ilvl w:val="0"/>
          <w:numId w:val="2"/>
        </w:numPr>
        <w:ind w:hanging="357"/>
        <w:rPr>
          <w:b/>
        </w:rPr>
      </w:pPr>
      <w:r w:rsidRPr="00E82862">
        <w:rPr>
          <w:b/>
        </w:rPr>
        <w:t>Explain what happens when dopamine is not packaged into synaptic vesicles and how this relates to alpha-synuclein misfolding/aggregation.</w:t>
      </w:r>
    </w:p>
    <w:p w14:paraId="2CC30EAE" w14:textId="77777777" w:rsidR="00505075" w:rsidRPr="00505075" w:rsidRDefault="00505075" w:rsidP="00505075">
      <w:pPr>
        <w:pStyle w:val="ListParagraph"/>
        <w:numPr>
          <w:ilvl w:val="0"/>
          <w:numId w:val="26"/>
        </w:numPr>
        <w:ind w:hanging="357"/>
        <w:rPr>
          <w:rFonts w:ascii="Verdana" w:eastAsia="Times New Roman" w:hAnsi="Verdana" w:cs="Times New Roman"/>
          <w:sz w:val="20"/>
          <w:szCs w:val="20"/>
        </w:rPr>
      </w:pPr>
      <w:r w:rsidRPr="00505075">
        <w:rPr>
          <w:rFonts w:ascii="Verdana" w:eastAsia="Times New Roman" w:hAnsi="Verdana" w:cs="Times New Roman"/>
        </w:rPr>
        <w:t>DA is highly toxic especially when it is outside of the vesicles. It can autooxidate where it starts spitting off i</w:t>
      </w:r>
      <w:r>
        <w:rPr>
          <w:rFonts w:ascii="Verdana" w:eastAsia="Times New Roman" w:hAnsi="Verdana" w:cs="Times New Roman"/>
        </w:rPr>
        <w:t>ts own reactive oxygen species.</w:t>
      </w:r>
    </w:p>
    <w:p w14:paraId="174F077F" w14:textId="5216FBC8" w:rsidR="00505075" w:rsidRPr="00505075" w:rsidRDefault="00505075" w:rsidP="00505075">
      <w:pPr>
        <w:pStyle w:val="ListParagraph"/>
        <w:numPr>
          <w:ilvl w:val="0"/>
          <w:numId w:val="26"/>
        </w:numPr>
        <w:ind w:hanging="357"/>
        <w:rPr>
          <w:rFonts w:ascii="Verdana" w:eastAsia="Times New Roman" w:hAnsi="Verdana" w:cs="Times New Roman"/>
          <w:sz w:val="20"/>
          <w:szCs w:val="20"/>
        </w:rPr>
      </w:pPr>
      <w:r w:rsidRPr="00505075">
        <w:rPr>
          <w:rFonts w:ascii="Verdana" w:eastAsia="Times New Roman" w:hAnsi="Verdana" w:cs="Times New Roman"/>
        </w:rPr>
        <w:t xml:space="preserve">At the same time, MAO and COMT work to break down DA. However, when there isn't enough DAT on the cell membrane, MAO and COMT work overtime and start spitting off reactive oxygen species. </w:t>
      </w:r>
    </w:p>
    <w:p w14:paraId="55916C35" w14:textId="26C6948E" w:rsidR="00505075" w:rsidRPr="00505075" w:rsidRDefault="00505075" w:rsidP="00505075">
      <w:pPr>
        <w:pStyle w:val="ListParagraph"/>
        <w:numPr>
          <w:ilvl w:val="0"/>
          <w:numId w:val="26"/>
        </w:numPr>
        <w:ind w:hanging="357"/>
        <w:rPr>
          <w:rFonts w:ascii="Verdana" w:eastAsia="Times New Roman" w:hAnsi="Verdana" w:cs="Times New Roman"/>
          <w:sz w:val="20"/>
          <w:szCs w:val="20"/>
        </w:rPr>
      </w:pPr>
      <w:r w:rsidRPr="00505075">
        <w:rPr>
          <w:rFonts w:ascii="Verdana" w:eastAsia="Times New Roman" w:hAnsi="Verdana" w:cs="Times New Roman"/>
        </w:rPr>
        <w:t>Oxidative stress then speeds up the process where a-synuclein misfolds into monomers, then oligomers, then protofibrils and so on.</w:t>
      </w:r>
    </w:p>
    <w:p w14:paraId="74FBE8AD" w14:textId="77777777" w:rsidR="006E0488" w:rsidRDefault="006E0488" w:rsidP="00505075">
      <w:pPr>
        <w:pStyle w:val="NoteLevel1"/>
        <w:keepNext w:val="0"/>
        <w:numPr>
          <w:ilvl w:val="0"/>
          <w:numId w:val="2"/>
        </w:numPr>
        <w:ind w:left="363" w:hanging="357"/>
        <w:rPr>
          <w:b/>
        </w:rPr>
      </w:pPr>
      <w:r w:rsidRPr="00E82862">
        <w:rPr>
          <w:b/>
        </w:rPr>
        <w:t xml:space="preserve">Explain the composition of a Lewy body and why this reflects protection </w:t>
      </w:r>
      <w:r w:rsidRPr="00E82862">
        <w:rPr>
          <w:b/>
          <w:i/>
        </w:rPr>
        <w:t>and</w:t>
      </w:r>
      <w:r w:rsidRPr="00E82862">
        <w:rPr>
          <w:b/>
        </w:rPr>
        <w:t xml:space="preserve"> toxicity to the cell. </w:t>
      </w:r>
    </w:p>
    <w:p w14:paraId="580496AE" w14:textId="7B87FE22" w:rsidR="00C259BC" w:rsidRDefault="00C259BC" w:rsidP="00505075">
      <w:pPr>
        <w:pStyle w:val="NoteLevel1"/>
        <w:keepNext w:val="0"/>
        <w:numPr>
          <w:ilvl w:val="0"/>
          <w:numId w:val="25"/>
        </w:numPr>
        <w:ind w:hanging="357"/>
      </w:pPr>
      <w:r>
        <w:t>In healthy cells, alpha-synuclein mediates vesicle movement at axon terminals</w:t>
      </w:r>
    </w:p>
    <w:p w14:paraId="2B2D6A3F" w14:textId="27C04DE6" w:rsidR="00C259BC" w:rsidRDefault="00C259BC" w:rsidP="00505075">
      <w:pPr>
        <w:pStyle w:val="NoteLevel1"/>
        <w:keepNext w:val="0"/>
        <w:numPr>
          <w:ilvl w:val="0"/>
          <w:numId w:val="25"/>
        </w:numPr>
        <w:ind w:hanging="357"/>
      </w:pPr>
      <w:r>
        <w:lastRenderedPageBreak/>
        <w:t>Several processes lead to protein aggregation, including protein misfolding, proteosomal (chaperone) dysfunction, oxidative stress, etc.</w:t>
      </w:r>
    </w:p>
    <w:p w14:paraId="17793065" w14:textId="1264C11E" w:rsidR="00C259BC" w:rsidRPr="00C259BC" w:rsidRDefault="00C259BC" w:rsidP="00505075">
      <w:pPr>
        <w:pStyle w:val="NoteLevel1"/>
        <w:keepNext w:val="0"/>
        <w:numPr>
          <w:ilvl w:val="0"/>
          <w:numId w:val="25"/>
        </w:numPr>
        <w:ind w:hanging="357"/>
      </w:pPr>
      <w:r>
        <w:t>These lead to Lewy body formation, and then eventual death by apoptosis</w:t>
      </w:r>
    </w:p>
    <w:p w14:paraId="47320122" w14:textId="77777777" w:rsidR="00DC3D89" w:rsidRDefault="006E0488" w:rsidP="00DC3D89">
      <w:pPr>
        <w:pStyle w:val="NoteLevel1"/>
        <w:numPr>
          <w:ilvl w:val="0"/>
          <w:numId w:val="2"/>
        </w:numPr>
        <w:rPr>
          <w:b/>
        </w:rPr>
      </w:pPr>
      <w:r w:rsidRPr="00E82862">
        <w:rPr>
          <w:b/>
        </w:rPr>
        <w:t>How does normal huntingtin protein contribute to neuroprotection via transcriptional regulation and what is the effect of the mutant Huntington protein on this function?</w:t>
      </w:r>
    </w:p>
    <w:p w14:paraId="6F4AC490" w14:textId="1A2B1248" w:rsidR="00DC3D89" w:rsidRPr="00DC3D89" w:rsidRDefault="00DC3D89" w:rsidP="00DC3D89">
      <w:pPr>
        <w:pStyle w:val="NoteLevel1"/>
        <w:numPr>
          <w:ilvl w:val="0"/>
          <w:numId w:val="28"/>
        </w:numPr>
        <w:rPr>
          <w:b/>
        </w:rPr>
      </w:pPr>
      <w:r w:rsidRPr="00DC3D89">
        <w:rPr>
          <w:rFonts w:eastAsia="Times New Roman" w:cs="Times New Roman"/>
        </w:rPr>
        <w:t xml:space="preserve">The normal huntingtin protein contributes to neuroprotection via transcriptional regulation by the ability to exert molecular activities that are fundamental for the survival </w:t>
      </w:r>
      <w:r>
        <w:rPr>
          <w:rFonts w:eastAsia="Times New Roman" w:cs="Times New Roman"/>
        </w:rPr>
        <w:t>and functioning of the neurons</w:t>
      </w:r>
    </w:p>
    <w:p w14:paraId="544F9DAC" w14:textId="77777777" w:rsidR="00DC3D89" w:rsidRPr="00DC3D89" w:rsidRDefault="00DC3D89" w:rsidP="00DC3D89">
      <w:pPr>
        <w:pStyle w:val="NoteLevel1"/>
        <w:numPr>
          <w:ilvl w:val="0"/>
          <w:numId w:val="28"/>
        </w:numPr>
        <w:rPr>
          <w:b/>
        </w:rPr>
      </w:pPr>
      <w:r w:rsidRPr="00DC3D89">
        <w:rPr>
          <w:rFonts w:eastAsia="Times New Roman" w:cs="Times New Roman"/>
        </w:rPr>
        <w:t>The effect of the mutant Huntingtin protein on this function is from a single mutation in the huntingtin gene of CAG repe</w:t>
      </w:r>
      <w:r>
        <w:rPr>
          <w:rFonts w:eastAsia="Times New Roman" w:cs="Times New Roman"/>
        </w:rPr>
        <w:t>ats (Cytosine-Adenine-Guanine)</w:t>
      </w:r>
    </w:p>
    <w:p w14:paraId="108C5325" w14:textId="5C5D2084" w:rsidR="00DC3D89" w:rsidRPr="00DC3D89" w:rsidRDefault="00DC3D89" w:rsidP="00DC3D89">
      <w:pPr>
        <w:pStyle w:val="NoteLevel1"/>
        <w:numPr>
          <w:ilvl w:val="0"/>
          <w:numId w:val="28"/>
        </w:numPr>
        <w:rPr>
          <w:b/>
        </w:rPr>
      </w:pPr>
      <w:r w:rsidRPr="00DC3D89">
        <w:rPr>
          <w:rFonts w:eastAsia="Times New Roman" w:cs="Times New Roman"/>
        </w:rPr>
        <w:t>This single mutation is detrimental to the huntingtin gene and impairs the ability of normal Htt to exert mol</w:t>
      </w:r>
      <w:r>
        <w:rPr>
          <w:rFonts w:eastAsia="Times New Roman" w:cs="Times New Roman"/>
        </w:rPr>
        <w:t>ecular activities for survival</w:t>
      </w:r>
    </w:p>
    <w:p w14:paraId="775B8FDE" w14:textId="77777777" w:rsidR="00DC3D89" w:rsidRPr="00DC3D89" w:rsidRDefault="00DC3D89" w:rsidP="00DC3D89">
      <w:pPr>
        <w:pStyle w:val="NoteLevel1"/>
        <w:numPr>
          <w:ilvl w:val="0"/>
          <w:numId w:val="28"/>
        </w:numPr>
        <w:rPr>
          <w:b/>
        </w:rPr>
      </w:pPr>
      <w:r w:rsidRPr="00DC3D89">
        <w:rPr>
          <w:rFonts w:eastAsia="Times New Roman" w:cs="Times New Roman"/>
        </w:rPr>
        <w:t>mHtt accumulation interacts with several proteins causing impairment of calcium signalling and homeostasis</w:t>
      </w:r>
      <w:r>
        <w:rPr>
          <w:rFonts w:eastAsia="Times New Roman" w:cs="Times New Roman"/>
        </w:rPr>
        <w:t xml:space="preserve"> and mitochondrial dysfunction</w:t>
      </w:r>
    </w:p>
    <w:p w14:paraId="6892B004" w14:textId="7A12589E" w:rsidR="00DC3D89" w:rsidRPr="008426A5" w:rsidRDefault="00DC3D89" w:rsidP="008426A5">
      <w:pPr>
        <w:pStyle w:val="NoteLevel1"/>
        <w:numPr>
          <w:ilvl w:val="0"/>
          <w:numId w:val="28"/>
        </w:numPr>
        <w:rPr>
          <w:b/>
        </w:rPr>
      </w:pPr>
      <w:r w:rsidRPr="00DC3D89">
        <w:rPr>
          <w:rFonts w:eastAsia="Times New Roman" w:cs="Times New Roman"/>
        </w:rPr>
        <w:t>mHtt fragments translocate to the nucleus where they impair gene transcription or form intranuclear inclusions and as a result, altering ves</w:t>
      </w:r>
      <w:r w:rsidR="008426A5">
        <w:rPr>
          <w:rFonts w:eastAsia="Times New Roman" w:cs="Times New Roman"/>
        </w:rPr>
        <w:t>icular transport and recycling</w:t>
      </w:r>
    </w:p>
    <w:p w14:paraId="2CDE9FC2" w14:textId="25137CE4" w:rsidR="008426A5" w:rsidRDefault="006E0488" w:rsidP="008426A5">
      <w:pPr>
        <w:pStyle w:val="NoteLevel1"/>
        <w:numPr>
          <w:ilvl w:val="0"/>
          <w:numId w:val="2"/>
        </w:numPr>
        <w:rPr>
          <w:b/>
        </w:rPr>
      </w:pPr>
      <w:r w:rsidRPr="00E82862">
        <w:rPr>
          <w:b/>
        </w:rPr>
        <w:t>Describe the mechanisms by which mutant Huntington can contribute to excitotoxicity.</w:t>
      </w:r>
    </w:p>
    <w:p w14:paraId="1C47A91D" w14:textId="77777777" w:rsidR="008426A5" w:rsidRPr="008426A5" w:rsidRDefault="008426A5" w:rsidP="008426A5">
      <w:pPr>
        <w:pStyle w:val="ListParagraph"/>
        <w:numPr>
          <w:ilvl w:val="0"/>
          <w:numId w:val="37"/>
        </w:numPr>
        <w:spacing w:before="130"/>
        <w:textAlignment w:val="baseline"/>
        <w:rPr>
          <w:rFonts w:ascii="Verdana" w:hAnsi="Verdana" w:cs="Arial"/>
        </w:rPr>
      </w:pPr>
      <w:r w:rsidRPr="008426A5">
        <w:rPr>
          <w:rFonts w:ascii="Verdana" w:hAnsi="Verdana" w:cs="Arial"/>
        </w:rPr>
        <w:t>mHtt causes cytosolic and mitochondrial Ca2+ overload</w:t>
      </w:r>
    </w:p>
    <w:p w14:paraId="483D7E01" w14:textId="77777777" w:rsidR="008426A5" w:rsidRPr="008426A5" w:rsidRDefault="008426A5" w:rsidP="008426A5">
      <w:pPr>
        <w:pStyle w:val="ListParagraph"/>
        <w:numPr>
          <w:ilvl w:val="0"/>
          <w:numId w:val="37"/>
        </w:numPr>
        <w:spacing w:before="130"/>
        <w:textAlignment w:val="baseline"/>
        <w:rPr>
          <w:rFonts w:ascii="Verdana" w:hAnsi="Verdana" w:cs="Arial"/>
        </w:rPr>
      </w:pPr>
      <w:r w:rsidRPr="008426A5">
        <w:rPr>
          <w:rFonts w:ascii="Verdana" w:hAnsi="Verdana" w:cs="Arial"/>
        </w:rPr>
        <w:t>Htt binds strongly to receptors/ channels on ER, causing Ca2+ release through these channels</w:t>
      </w:r>
    </w:p>
    <w:p w14:paraId="12C6DC7D" w14:textId="77777777" w:rsidR="008426A5" w:rsidRPr="008426A5" w:rsidRDefault="008426A5" w:rsidP="008426A5">
      <w:pPr>
        <w:pStyle w:val="ListParagraph"/>
        <w:numPr>
          <w:ilvl w:val="0"/>
          <w:numId w:val="37"/>
        </w:numPr>
        <w:spacing w:before="130"/>
        <w:textAlignment w:val="baseline"/>
        <w:rPr>
          <w:rFonts w:ascii="Verdana" w:hAnsi="Verdana" w:cs="Arial"/>
        </w:rPr>
      </w:pPr>
      <w:r w:rsidRPr="008426A5">
        <w:rPr>
          <w:rFonts w:ascii="Verdana" w:hAnsi="Verdana" w:cs="Arial"/>
        </w:rPr>
        <w:t>Supranormal Ca2+ signals activate calpain, which cleave huntingtin and other substrates. Excessive cytosolic Ca2+ signals result also in mitochondrial Ca2+ uptake, which eventually triggers cytochrome C release and apoptosis</w:t>
      </w:r>
    </w:p>
    <w:p w14:paraId="77AAF311" w14:textId="740AF20F" w:rsidR="008426A5" w:rsidRPr="008426A5" w:rsidRDefault="008426A5" w:rsidP="008426A5">
      <w:pPr>
        <w:pStyle w:val="ListParagraph"/>
        <w:numPr>
          <w:ilvl w:val="0"/>
          <w:numId w:val="37"/>
        </w:numPr>
        <w:spacing w:before="130"/>
        <w:textAlignment w:val="baseline"/>
        <w:rPr>
          <w:rFonts w:ascii="Verdana" w:hAnsi="Verdana" w:cs="Arial"/>
        </w:rPr>
      </w:pPr>
      <w:r w:rsidRPr="008426A5">
        <w:rPr>
          <w:rFonts w:ascii="Verdana" w:eastAsia="Times New Roman" w:hAnsi="Verdana" w:cs="Arial"/>
        </w:rPr>
        <w:t>The mitochondrial Ca2+ handling is further destabilized by direct associ</w:t>
      </w:r>
      <w:r>
        <w:rPr>
          <w:rFonts w:ascii="Verdana" w:eastAsia="Times New Roman" w:hAnsi="Verdana" w:cs="Arial"/>
        </w:rPr>
        <w:t>ation of mHtt with mitochondria</w:t>
      </w:r>
    </w:p>
    <w:p w14:paraId="6C040BC0" w14:textId="77777777" w:rsidR="0075192C" w:rsidRDefault="0075192C" w:rsidP="00BA35D6">
      <w:pPr>
        <w:pStyle w:val="NoteLevel1"/>
        <w:numPr>
          <w:ilvl w:val="0"/>
          <w:numId w:val="2"/>
        </w:numPr>
        <w:rPr>
          <w:b/>
        </w:rPr>
      </w:pPr>
      <w:r w:rsidRPr="00E82862">
        <w:rPr>
          <w:b/>
        </w:rPr>
        <w:lastRenderedPageBreak/>
        <w:t>How does native SOD1 function to protect the cell and what reaction product can convert native SOD1 to misfolded SOD1?</w:t>
      </w:r>
    </w:p>
    <w:p w14:paraId="28A87FB9" w14:textId="07C01A42" w:rsidR="00D0042C" w:rsidRDefault="00D0042C" w:rsidP="00D0042C">
      <w:pPr>
        <w:pStyle w:val="NoteLevel1"/>
        <w:numPr>
          <w:ilvl w:val="0"/>
          <w:numId w:val="38"/>
        </w:numPr>
      </w:pPr>
      <w:r>
        <w:t>SOD1 is a free-radical scavenging enzyme locate in the cytoplasm</w:t>
      </w:r>
    </w:p>
    <w:p w14:paraId="6FBC0F38" w14:textId="6C349E51" w:rsidR="00D0042C" w:rsidRDefault="00D0042C" w:rsidP="00D0042C">
      <w:pPr>
        <w:pStyle w:val="NoteLevel1"/>
        <w:numPr>
          <w:ilvl w:val="0"/>
          <w:numId w:val="38"/>
        </w:numPr>
      </w:pPr>
      <w:r>
        <w:t>It scavenges cytotoxic superoxide radicals from the cytoplasm converting them to less toxic hydrogen peroxide and oxygen</w:t>
      </w:r>
      <w:r>
        <w:sym w:font="Wingdings" w:char="F0E0"/>
      </w:r>
      <w:r>
        <w:t xml:space="preserve"> helps prevent the formation of ROS</w:t>
      </w:r>
    </w:p>
    <w:p w14:paraId="3F661ECA" w14:textId="70853DCF" w:rsidR="00D0042C" w:rsidRPr="00D0042C" w:rsidRDefault="00D0042C" w:rsidP="00D0042C">
      <w:pPr>
        <w:pStyle w:val="NoteLevel1"/>
        <w:numPr>
          <w:ilvl w:val="0"/>
          <w:numId w:val="38"/>
        </w:numPr>
      </w:pPr>
      <w:r>
        <w:t>Hydrogen peroxide oxidizes SOD1 to a mutant form</w:t>
      </w:r>
    </w:p>
    <w:p w14:paraId="6812D9D7" w14:textId="77777777" w:rsidR="00A03B60" w:rsidRPr="00A03B60" w:rsidRDefault="0075192C" w:rsidP="00A03B60">
      <w:pPr>
        <w:pStyle w:val="NoteLevel1"/>
        <w:numPr>
          <w:ilvl w:val="0"/>
          <w:numId w:val="2"/>
        </w:numPr>
      </w:pPr>
      <w:r w:rsidRPr="00E82862">
        <w:rPr>
          <w:b/>
        </w:rPr>
        <w:t>How does the misfolded SOD1 protein contribute to spi</w:t>
      </w:r>
      <w:r w:rsidR="00A03B60">
        <w:rPr>
          <w:b/>
        </w:rPr>
        <w:t>nal motor neuron excitotoxicity?</w:t>
      </w:r>
    </w:p>
    <w:p w14:paraId="638A2495" w14:textId="77777777" w:rsidR="00A03B60" w:rsidRPr="00A03B60" w:rsidRDefault="00A03B60" w:rsidP="00A03B60">
      <w:pPr>
        <w:pStyle w:val="ListParagraph"/>
        <w:numPr>
          <w:ilvl w:val="0"/>
          <w:numId w:val="44"/>
        </w:numPr>
        <w:rPr>
          <w:rFonts w:ascii="Verdana" w:hAnsi="Verdana" w:cs="Times New Roman"/>
          <w:sz w:val="20"/>
          <w:szCs w:val="20"/>
        </w:rPr>
      </w:pPr>
      <w:r w:rsidRPr="00A03B60">
        <w:rPr>
          <w:rFonts w:ascii="Verdana" w:hAnsi="Verdana" w:cs="Times New Roman"/>
        </w:rPr>
        <w:t>The mutant (misfolded) SOD1 protein contributes to spinal motor neuron excitotoxicity by toxic gain of function. In FALS, cytotoxicity of motor neurons appears to result from a gain of toxic SOD1 function, rather than from a loss of dismutase activity. Misfolded, soluble SOD1 can engage in aberrant protein-interactions and acquire new toxic functions</w:t>
      </w:r>
    </w:p>
    <w:p w14:paraId="6C6EA136" w14:textId="4700156D" w:rsidR="00BA2534" w:rsidRPr="00A03B60" w:rsidRDefault="00A03B60" w:rsidP="00A03B60">
      <w:pPr>
        <w:pStyle w:val="ListParagraph"/>
        <w:numPr>
          <w:ilvl w:val="0"/>
          <w:numId w:val="44"/>
        </w:numPr>
        <w:rPr>
          <w:rFonts w:ascii="Verdana" w:hAnsi="Verdana" w:cs="Times New Roman"/>
          <w:sz w:val="20"/>
          <w:szCs w:val="20"/>
        </w:rPr>
      </w:pPr>
      <w:r w:rsidRPr="00A03B60">
        <w:rPr>
          <w:rFonts w:ascii="Verdana" w:eastAsia="Times New Roman" w:hAnsi="Verdana" w:cs="Times New Roman"/>
        </w:rPr>
        <w:t>Misfolded SOD1 can also assemble into aggregates</w:t>
      </w:r>
    </w:p>
    <w:sectPr w:rsidR="00BA2534" w:rsidRPr="00A03B60" w:rsidSect="00BA35D6">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63733" w14:textId="77777777" w:rsidR="00D0042C" w:rsidRDefault="00D0042C" w:rsidP="00BA35D6">
      <w:r>
        <w:separator/>
      </w:r>
    </w:p>
  </w:endnote>
  <w:endnote w:type="continuationSeparator" w:id="0">
    <w:p w14:paraId="602AE70D" w14:textId="77777777" w:rsidR="00D0042C" w:rsidRDefault="00D0042C" w:rsidP="00BA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2B7CEA" w14:textId="77777777" w:rsidR="00D0042C" w:rsidRDefault="00D0042C" w:rsidP="00BA35D6">
      <w:r>
        <w:separator/>
      </w:r>
    </w:p>
  </w:footnote>
  <w:footnote w:type="continuationSeparator" w:id="0">
    <w:p w14:paraId="60DB7CB5" w14:textId="77777777" w:rsidR="00D0042C" w:rsidRDefault="00D0042C" w:rsidP="00BA35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86A42" w14:textId="3EA9E210" w:rsidR="00D0042C" w:rsidRDefault="002878C1">
    <w:pPr>
      <w:pStyle w:val="Header"/>
      <w:tabs>
        <w:tab w:val="clear" w:pos="4320"/>
        <w:tab w:val="clear" w:pos="8640"/>
        <w:tab w:val="right" w:pos="9720"/>
      </w:tabs>
      <w:ind w:left="-360"/>
      <w:rPr>
        <w:rFonts w:ascii="Verdana" w:hAnsi="Verdana"/>
        <w:sz w:val="36"/>
        <w:szCs w:val="36"/>
      </w:rPr>
    </w:pPr>
    <w:bookmarkStart w:id="0" w:name="_WNSectionTitle_3"/>
    <w:bookmarkStart w:id="1" w:name="_WNTabType_2"/>
    <w:r>
      <w:rPr>
        <w:rFonts w:ascii="Verdana" w:hAnsi="Verdana"/>
        <w:sz w:val="36"/>
        <w:szCs w:val="36"/>
      </w:rPr>
      <w:t>Neurodegeneration Long Answer</w:t>
    </w:r>
    <w:bookmarkStart w:id="2" w:name="_GoBack"/>
    <w:bookmarkEnd w:id="2"/>
    <w:r w:rsidR="00D0042C">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2015-04-08 9:26 PM</w:t>
    </w:r>
    <w:r>
      <w:rPr>
        <w:rFonts w:ascii="Verdana" w:hAnsi="Verdana"/>
        <w:sz w:val="36"/>
        <w:szCs w:val="36"/>
      </w:rPr>
      <w:fldChar w:fldCharType="end"/>
    </w:r>
  </w:p>
  <w:bookmarkEnd w:id="0"/>
  <w:bookmarkEnd w:id="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CBEC66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F459BC"/>
    <w:multiLevelType w:val="hybridMultilevel"/>
    <w:tmpl w:val="80385C3A"/>
    <w:lvl w:ilvl="0" w:tplc="6A5CC85C">
      <w:numFmt w:val="bullet"/>
      <w:lvlText w:val="-"/>
      <w:lvlJc w:val="left"/>
      <w:pPr>
        <w:ind w:left="0" w:firstLine="0"/>
      </w:pPr>
      <w:rPr>
        <w:rFonts w:ascii="Verdana" w:eastAsiaTheme="minorEastAsia" w:hAnsi="Verdana" w:cstheme="minorBidi" w:hint="default"/>
      </w:rPr>
    </w:lvl>
    <w:lvl w:ilvl="1" w:tplc="04090003">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264A51"/>
    <w:multiLevelType w:val="hybridMultilevel"/>
    <w:tmpl w:val="AA145834"/>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4E643A"/>
    <w:multiLevelType w:val="hybridMultilevel"/>
    <w:tmpl w:val="9F724992"/>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D3300"/>
    <w:multiLevelType w:val="hybridMultilevel"/>
    <w:tmpl w:val="A2062BC0"/>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139E0"/>
    <w:multiLevelType w:val="multilevel"/>
    <w:tmpl w:val="F0C8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607098"/>
    <w:multiLevelType w:val="hybridMultilevel"/>
    <w:tmpl w:val="73448F82"/>
    <w:lvl w:ilvl="0" w:tplc="227401C8">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090E7E24"/>
    <w:multiLevelType w:val="hybridMultilevel"/>
    <w:tmpl w:val="0464C5E8"/>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A51D20"/>
    <w:multiLevelType w:val="multilevel"/>
    <w:tmpl w:val="0A2C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505362"/>
    <w:multiLevelType w:val="multilevel"/>
    <w:tmpl w:val="5F6C46B6"/>
    <w:lvl w:ilvl="0">
      <w:start w:val="1"/>
      <w:numFmt w:val="decimal"/>
      <w:lvlText w:val="%1."/>
      <w:lvlJc w:val="left"/>
      <w:pPr>
        <w:tabs>
          <w:tab w:val="num" w:pos="360"/>
        </w:tabs>
        <w:ind w:left="360" w:hanging="360"/>
      </w:pPr>
      <w:rPr>
        <w:b/>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EC84210"/>
    <w:multiLevelType w:val="hybridMultilevel"/>
    <w:tmpl w:val="506A57F0"/>
    <w:lvl w:ilvl="0" w:tplc="227401C8">
      <w:numFmt w:val="bullet"/>
      <w:lvlText w:val="-"/>
      <w:lvlJc w:val="left"/>
      <w:pPr>
        <w:ind w:left="360" w:hanging="360"/>
      </w:pPr>
      <w:rPr>
        <w:rFonts w:ascii="Calibri" w:eastAsiaTheme="minorHAnsi" w:hAnsi="Calibri" w:cstheme="minorBidi" w:hint="default"/>
      </w:rPr>
    </w:lvl>
    <w:lvl w:ilvl="1" w:tplc="04090003">
      <w:start w:val="1"/>
      <w:numFmt w:val="bullet"/>
      <w:lvlText w:val="-"/>
      <w:lvlJc w:val="left"/>
      <w:pPr>
        <w:ind w:left="1080" w:hanging="360"/>
      </w:pPr>
      <w:rPr>
        <w:rFonts w:ascii="Calibri" w:hAnsi="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6404947"/>
    <w:multiLevelType w:val="hybridMultilevel"/>
    <w:tmpl w:val="82F20BE2"/>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D67EC9"/>
    <w:multiLevelType w:val="hybridMultilevel"/>
    <w:tmpl w:val="768A01DC"/>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FD7CE9"/>
    <w:multiLevelType w:val="hybridMultilevel"/>
    <w:tmpl w:val="8D8E04D2"/>
    <w:lvl w:ilvl="0" w:tplc="227401C8">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262461BE"/>
    <w:multiLevelType w:val="hybridMultilevel"/>
    <w:tmpl w:val="19C28012"/>
    <w:lvl w:ilvl="0" w:tplc="227401C8">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27C60385"/>
    <w:multiLevelType w:val="hybridMultilevel"/>
    <w:tmpl w:val="4DF6270A"/>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174624"/>
    <w:multiLevelType w:val="multilevel"/>
    <w:tmpl w:val="187A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20166B"/>
    <w:multiLevelType w:val="hybridMultilevel"/>
    <w:tmpl w:val="62886314"/>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4B520F"/>
    <w:multiLevelType w:val="hybridMultilevel"/>
    <w:tmpl w:val="87B6CD2E"/>
    <w:lvl w:ilvl="0" w:tplc="227401C8">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29850995"/>
    <w:multiLevelType w:val="hybridMultilevel"/>
    <w:tmpl w:val="8F1ED3D6"/>
    <w:lvl w:ilvl="0" w:tplc="227401C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E512463"/>
    <w:multiLevelType w:val="hybridMultilevel"/>
    <w:tmpl w:val="563A8A24"/>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F41189"/>
    <w:multiLevelType w:val="hybridMultilevel"/>
    <w:tmpl w:val="E9BA4844"/>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5E71A2"/>
    <w:multiLevelType w:val="hybridMultilevel"/>
    <w:tmpl w:val="246003FC"/>
    <w:lvl w:ilvl="0" w:tplc="227401C8">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93E36F4"/>
    <w:multiLevelType w:val="hybridMultilevel"/>
    <w:tmpl w:val="D6C4D8DC"/>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1131EA"/>
    <w:multiLevelType w:val="hybridMultilevel"/>
    <w:tmpl w:val="2668DB3C"/>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87D95"/>
    <w:multiLevelType w:val="hybridMultilevel"/>
    <w:tmpl w:val="2974A508"/>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DC7AC7"/>
    <w:multiLevelType w:val="hybridMultilevel"/>
    <w:tmpl w:val="F320BB84"/>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5E2BBF"/>
    <w:multiLevelType w:val="hybridMultilevel"/>
    <w:tmpl w:val="F0C0A36C"/>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0B4448E"/>
    <w:multiLevelType w:val="hybridMultilevel"/>
    <w:tmpl w:val="1AB01EE0"/>
    <w:lvl w:ilvl="0" w:tplc="6A5CC85C">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D169FA"/>
    <w:multiLevelType w:val="hybridMultilevel"/>
    <w:tmpl w:val="4E48915A"/>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762887"/>
    <w:multiLevelType w:val="hybridMultilevel"/>
    <w:tmpl w:val="D8B058A6"/>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7D2FE9"/>
    <w:multiLevelType w:val="hybridMultilevel"/>
    <w:tmpl w:val="7E1A2824"/>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370CFB"/>
    <w:multiLevelType w:val="hybridMultilevel"/>
    <w:tmpl w:val="377A9B94"/>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503C31"/>
    <w:multiLevelType w:val="hybridMultilevel"/>
    <w:tmpl w:val="D9821150"/>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CE418F"/>
    <w:multiLevelType w:val="multilevel"/>
    <w:tmpl w:val="A15E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D06104"/>
    <w:multiLevelType w:val="hybridMultilevel"/>
    <w:tmpl w:val="62D4C9D8"/>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D65D34"/>
    <w:multiLevelType w:val="hybridMultilevel"/>
    <w:tmpl w:val="C04A8032"/>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2242924"/>
    <w:multiLevelType w:val="hybridMultilevel"/>
    <w:tmpl w:val="189EBDA6"/>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3A01F8D"/>
    <w:multiLevelType w:val="hybridMultilevel"/>
    <w:tmpl w:val="59E409A2"/>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A2675B"/>
    <w:multiLevelType w:val="hybridMultilevel"/>
    <w:tmpl w:val="95B48A88"/>
    <w:lvl w:ilvl="0" w:tplc="227401C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743A3662"/>
    <w:multiLevelType w:val="hybridMultilevel"/>
    <w:tmpl w:val="F77A9B5C"/>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4B1B42"/>
    <w:multiLevelType w:val="hybridMultilevel"/>
    <w:tmpl w:val="B4A48624"/>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B24CDF"/>
    <w:multiLevelType w:val="hybridMultilevel"/>
    <w:tmpl w:val="8D626EA0"/>
    <w:lvl w:ilvl="0" w:tplc="227401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E4782B"/>
    <w:multiLevelType w:val="multilevel"/>
    <w:tmpl w:val="925E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28"/>
  </w:num>
  <w:num w:numId="4">
    <w:abstractNumId w:val="1"/>
  </w:num>
  <w:num w:numId="5">
    <w:abstractNumId w:val="25"/>
  </w:num>
  <w:num w:numId="6">
    <w:abstractNumId w:val="33"/>
  </w:num>
  <w:num w:numId="7">
    <w:abstractNumId w:val="14"/>
  </w:num>
  <w:num w:numId="8">
    <w:abstractNumId w:val="27"/>
  </w:num>
  <w:num w:numId="9">
    <w:abstractNumId w:val="29"/>
  </w:num>
  <w:num w:numId="10">
    <w:abstractNumId w:val="42"/>
  </w:num>
  <w:num w:numId="11">
    <w:abstractNumId w:val="20"/>
  </w:num>
  <w:num w:numId="12">
    <w:abstractNumId w:val="41"/>
  </w:num>
  <w:num w:numId="13">
    <w:abstractNumId w:val="2"/>
  </w:num>
  <w:num w:numId="14">
    <w:abstractNumId w:val="7"/>
  </w:num>
  <w:num w:numId="15">
    <w:abstractNumId w:val="37"/>
  </w:num>
  <w:num w:numId="16">
    <w:abstractNumId w:val="12"/>
  </w:num>
  <w:num w:numId="17">
    <w:abstractNumId w:val="35"/>
  </w:num>
  <w:num w:numId="18">
    <w:abstractNumId w:val="31"/>
  </w:num>
  <w:num w:numId="19">
    <w:abstractNumId w:val="21"/>
  </w:num>
  <w:num w:numId="20">
    <w:abstractNumId w:val="15"/>
  </w:num>
  <w:num w:numId="21">
    <w:abstractNumId w:val="17"/>
  </w:num>
  <w:num w:numId="22">
    <w:abstractNumId w:val="13"/>
  </w:num>
  <w:num w:numId="23">
    <w:abstractNumId w:val="3"/>
  </w:num>
  <w:num w:numId="24">
    <w:abstractNumId w:val="38"/>
  </w:num>
  <w:num w:numId="25">
    <w:abstractNumId w:val="11"/>
  </w:num>
  <w:num w:numId="26">
    <w:abstractNumId w:val="4"/>
  </w:num>
  <w:num w:numId="27">
    <w:abstractNumId w:val="30"/>
  </w:num>
  <w:num w:numId="28">
    <w:abstractNumId w:val="18"/>
  </w:num>
  <w:num w:numId="29">
    <w:abstractNumId w:val="39"/>
  </w:num>
  <w:num w:numId="30">
    <w:abstractNumId w:val="40"/>
  </w:num>
  <w:num w:numId="31">
    <w:abstractNumId w:val="5"/>
  </w:num>
  <w:num w:numId="32">
    <w:abstractNumId w:val="34"/>
  </w:num>
  <w:num w:numId="33">
    <w:abstractNumId w:val="8"/>
  </w:num>
  <w:num w:numId="34">
    <w:abstractNumId w:val="16"/>
  </w:num>
  <w:num w:numId="35">
    <w:abstractNumId w:val="43"/>
  </w:num>
  <w:num w:numId="36">
    <w:abstractNumId w:val="36"/>
  </w:num>
  <w:num w:numId="37">
    <w:abstractNumId w:val="23"/>
  </w:num>
  <w:num w:numId="38">
    <w:abstractNumId w:val="32"/>
  </w:num>
  <w:num w:numId="39">
    <w:abstractNumId w:val="22"/>
  </w:num>
  <w:num w:numId="40">
    <w:abstractNumId w:val="19"/>
  </w:num>
  <w:num w:numId="41">
    <w:abstractNumId w:val="10"/>
  </w:num>
  <w:num w:numId="42">
    <w:abstractNumId w:val="6"/>
  </w:num>
  <w:num w:numId="43">
    <w:abstractNumId w:val="24"/>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BA35D6"/>
    <w:rsid w:val="00120588"/>
    <w:rsid w:val="0013646D"/>
    <w:rsid w:val="001B3107"/>
    <w:rsid w:val="001B7FAB"/>
    <w:rsid w:val="001E556E"/>
    <w:rsid w:val="002276EF"/>
    <w:rsid w:val="002878C1"/>
    <w:rsid w:val="002D53BF"/>
    <w:rsid w:val="00401A40"/>
    <w:rsid w:val="004C05D3"/>
    <w:rsid w:val="00503191"/>
    <w:rsid w:val="00505075"/>
    <w:rsid w:val="005B1CF2"/>
    <w:rsid w:val="005B4094"/>
    <w:rsid w:val="005C3679"/>
    <w:rsid w:val="00681573"/>
    <w:rsid w:val="006E0488"/>
    <w:rsid w:val="0071625B"/>
    <w:rsid w:val="00734DC0"/>
    <w:rsid w:val="0075192C"/>
    <w:rsid w:val="007A6E0D"/>
    <w:rsid w:val="008426A5"/>
    <w:rsid w:val="00861E93"/>
    <w:rsid w:val="008C4A9D"/>
    <w:rsid w:val="009B158D"/>
    <w:rsid w:val="00A03B60"/>
    <w:rsid w:val="00B068C3"/>
    <w:rsid w:val="00B927E4"/>
    <w:rsid w:val="00B95145"/>
    <w:rsid w:val="00BA2534"/>
    <w:rsid w:val="00BA35D6"/>
    <w:rsid w:val="00C003C0"/>
    <w:rsid w:val="00C0210B"/>
    <w:rsid w:val="00C259BC"/>
    <w:rsid w:val="00C83333"/>
    <w:rsid w:val="00D0042C"/>
    <w:rsid w:val="00D16A39"/>
    <w:rsid w:val="00D80936"/>
    <w:rsid w:val="00D8388F"/>
    <w:rsid w:val="00DA607B"/>
    <w:rsid w:val="00DC3D89"/>
    <w:rsid w:val="00E156D5"/>
    <w:rsid w:val="00E82862"/>
    <w:rsid w:val="00F4710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E8A3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A35D6"/>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BA35D6"/>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A35D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A35D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A35D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A35D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A35D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A35D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A35D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A35D6"/>
    <w:pPr>
      <w:tabs>
        <w:tab w:val="center" w:pos="4320"/>
        <w:tab w:val="right" w:pos="8640"/>
      </w:tabs>
    </w:pPr>
  </w:style>
  <w:style w:type="character" w:customStyle="1" w:styleId="HeaderChar">
    <w:name w:val="Header Char"/>
    <w:basedOn w:val="DefaultParagraphFont"/>
    <w:link w:val="Header"/>
    <w:uiPriority w:val="99"/>
    <w:rsid w:val="00BA35D6"/>
  </w:style>
  <w:style w:type="paragraph" w:styleId="ListParagraph">
    <w:name w:val="List Paragraph"/>
    <w:basedOn w:val="Normal"/>
    <w:uiPriority w:val="34"/>
    <w:qFormat/>
    <w:rsid w:val="00C003C0"/>
    <w:pPr>
      <w:ind w:left="720"/>
      <w:contextualSpacing/>
    </w:pPr>
  </w:style>
  <w:style w:type="paragraph" w:styleId="NormalWeb">
    <w:name w:val="Normal (Web)"/>
    <w:basedOn w:val="Normal"/>
    <w:uiPriority w:val="99"/>
    <w:semiHidden/>
    <w:unhideWhenUsed/>
    <w:rsid w:val="004C05D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A35D6"/>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BA35D6"/>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A35D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A35D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A35D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A35D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A35D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A35D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A35D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A35D6"/>
    <w:pPr>
      <w:tabs>
        <w:tab w:val="center" w:pos="4320"/>
        <w:tab w:val="right" w:pos="8640"/>
      </w:tabs>
    </w:pPr>
  </w:style>
  <w:style w:type="character" w:customStyle="1" w:styleId="HeaderChar">
    <w:name w:val="Header Char"/>
    <w:basedOn w:val="DefaultParagraphFont"/>
    <w:link w:val="Header"/>
    <w:uiPriority w:val="99"/>
    <w:rsid w:val="00BA35D6"/>
  </w:style>
  <w:style w:type="paragraph" w:styleId="ListParagraph">
    <w:name w:val="List Paragraph"/>
    <w:basedOn w:val="Normal"/>
    <w:uiPriority w:val="34"/>
    <w:qFormat/>
    <w:rsid w:val="00C003C0"/>
    <w:pPr>
      <w:ind w:left="720"/>
      <w:contextualSpacing/>
    </w:pPr>
  </w:style>
  <w:style w:type="paragraph" w:styleId="NormalWeb">
    <w:name w:val="Normal (Web)"/>
    <w:basedOn w:val="Normal"/>
    <w:uiPriority w:val="99"/>
    <w:semiHidden/>
    <w:unhideWhenUsed/>
    <w:rsid w:val="004C05D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13311">
      <w:bodyDiv w:val="1"/>
      <w:marLeft w:val="0"/>
      <w:marRight w:val="0"/>
      <w:marTop w:val="0"/>
      <w:marBottom w:val="0"/>
      <w:divBdr>
        <w:top w:val="none" w:sz="0" w:space="0" w:color="auto"/>
        <w:left w:val="none" w:sz="0" w:space="0" w:color="auto"/>
        <w:bottom w:val="none" w:sz="0" w:space="0" w:color="auto"/>
        <w:right w:val="none" w:sz="0" w:space="0" w:color="auto"/>
      </w:divBdr>
    </w:div>
    <w:div w:id="309016166">
      <w:bodyDiv w:val="1"/>
      <w:marLeft w:val="0"/>
      <w:marRight w:val="0"/>
      <w:marTop w:val="0"/>
      <w:marBottom w:val="0"/>
      <w:divBdr>
        <w:top w:val="none" w:sz="0" w:space="0" w:color="auto"/>
        <w:left w:val="none" w:sz="0" w:space="0" w:color="auto"/>
        <w:bottom w:val="none" w:sz="0" w:space="0" w:color="auto"/>
        <w:right w:val="none" w:sz="0" w:space="0" w:color="auto"/>
      </w:divBdr>
    </w:div>
    <w:div w:id="882785629">
      <w:bodyDiv w:val="1"/>
      <w:marLeft w:val="0"/>
      <w:marRight w:val="0"/>
      <w:marTop w:val="0"/>
      <w:marBottom w:val="0"/>
      <w:divBdr>
        <w:top w:val="none" w:sz="0" w:space="0" w:color="auto"/>
        <w:left w:val="none" w:sz="0" w:space="0" w:color="auto"/>
        <w:bottom w:val="none" w:sz="0" w:space="0" w:color="auto"/>
        <w:right w:val="none" w:sz="0" w:space="0" w:color="auto"/>
      </w:divBdr>
    </w:div>
    <w:div w:id="1263028745">
      <w:bodyDiv w:val="1"/>
      <w:marLeft w:val="0"/>
      <w:marRight w:val="0"/>
      <w:marTop w:val="0"/>
      <w:marBottom w:val="0"/>
      <w:divBdr>
        <w:top w:val="none" w:sz="0" w:space="0" w:color="auto"/>
        <w:left w:val="none" w:sz="0" w:space="0" w:color="auto"/>
        <w:bottom w:val="none" w:sz="0" w:space="0" w:color="auto"/>
        <w:right w:val="none" w:sz="0" w:space="0" w:color="auto"/>
      </w:divBdr>
    </w:div>
    <w:div w:id="1418165331">
      <w:bodyDiv w:val="1"/>
      <w:marLeft w:val="0"/>
      <w:marRight w:val="0"/>
      <w:marTop w:val="0"/>
      <w:marBottom w:val="0"/>
      <w:divBdr>
        <w:top w:val="none" w:sz="0" w:space="0" w:color="auto"/>
        <w:left w:val="none" w:sz="0" w:space="0" w:color="auto"/>
        <w:bottom w:val="none" w:sz="0" w:space="0" w:color="auto"/>
        <w:right w:val="none" w:sz="0" w:space="0" w:color="auto"/>
      </w:divBdr>
    </w:div>
    <w:div w:id="1443725172">
      <w:bodyDiv w:val="1"/>
      <w:marLeft w:val="0"/>
      <w:marRight w:val="0"/>
      <w:marTop w:val="0"/>
      <w:marBottom w:val="0"/>
      <w:divBdr>
        <w:top w:val="none" w:sz="0" w:space="0" w:color="auto"/>
        <w:left w:val="none" w:sz="0" w:space="0" w:color="auto"/>
        <w:bottom w:val="none" w:sz="0" w:space="0" w:color="auto"/>
        <w:right w:val="none" w:sz="0" w:space="0" w:color="auto"/>
      </w:divBdr>
    </w:div>
    <w:div w:id="1609313948">
      <w:bodyDiv w:val="1"/>
      <w:marLeft w:val="0"/>
      <w:marRight w:val="0"/>
      <w:marTop w:val="0"/>
      <w:marBottom w:val="0"/>
      <w:divBdr>
        <w:top w:val="none" w:sz="0" w:space="0" w:color="auto"/>
        <w:left w:val="none" w:sz="0" w:space="0" w:color="auto"/>
        <w:bottom w:val="none" w:sz="0" w:space="0" w:color="auto"/>
        <w:right w:val="none" w:sz="0" w:space="0" w:color="auto"/>
      </w:divBdr>
    </w:div>
    <w:div w:id="1683782140">
      <w:bodyDiv w:val="1"/>
      <w:marLeft w:val="0"/>
      <w:marRight w:val="0"/>
      <w:marTop w:val="0"/>
      <w:marBottom w:val="0"/>
      <w:divBdr>
        <w:top w:val="none" w:sz="0" w:space="0" w:color="auto"/>
        <w:left w:val="none" w:sz="0" w:space="0" w:color="auto"/>
        <w:bottom w:val="none" w:sz="0" w:space="0" w:color="auto"/>
        <w:right w:val="none" w:sz="0" w:space="0" w:color="auto"/>
      </w:divBdr>
    </w:div>
    <w:div w:id="1968120680">
      <w:bodyDiv w:val="1"/>
      <w:marLeft w:val="0"/>
      <w:marRight w:val="0"/>
      <w:marTop w:val="0"/>
      <w:marBottom w:val="0"/>
      <w:divBdr>
        <w:top w:val="none" w:sz="0" w:space="0" w:color="auto"/>
        <w:left w:val="none" w:sz="0" w:space="0" w:color="auto"/>
        <w:bottom w:val="none" w:sz="0" w:space="0" w:color="auto"/>
        <w:right w:val="none" w:sz="0" w:space="0" w:color="auto"/>
      </w:divBdr>
    </w:div>
    <w:div w:id="2049838723">
      <w:bodyDiv w:val="1"/>
      <w:marLeft w:val="0"/>
      <w:marRight w:val="0"/>
      <w:marTop w:val="0"/>
      <w:marBottom w:val="0"/>
      <w:divBdr>
        <w:top w:val="none" w:sz="0" w:space="0" w:color="auto"/>
        <w:left w:val="none" w:sz="0" w:space="0" w:color="auto"/>
        <w:bottom w:val="none" w:sz="0" w:space="0" w:color="auto"/>
        <w:right w:val="none" w:sz="0" w:space="0" w:color="auto"/>
      </w:divBdr>
    </w:div>
    <w:div w:id="20876534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47888-1077-2F47-A281-CA40F252C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8</Pages>
  <Words>2166</Words>
  <Characters>12347</Characters>
  <Application>Microsoft Macintosh Word</Application>
  <DocSecurity>0</DocSecurity>
  <Lines>102</Lines>
  <Paragraphs>28</Paragraphs>
  <ScaleCrop>false</ScaleCrop>
  <Company>Carleton University</Company>
  <LinksUpToDate>false</LinksUpToDate>
  <CharactersWithSpaces>14485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Kristie Comeau</dc:creator>
  <cp:keywords/>
  <dc:description/>
  <cp:lastModifiedBy>Kristie Comeau</cp:lastModifiedBy>
  <cp:revision>15</cp:revision>
  <dcterms:created xsi:type="dcterms:W3CDTF">2015-04-09T01:26:00Z</dcterms:created>
  <dcterms:modified xsi:type="dcterms:W3CDTF">2015-04-10T18:14:00Z</dcterms:modified>
</cp:coreProperties>
</file>