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2C7F" w:rsidRDefault="00A670BC" w:rsidP="00E6384D">
      <w:pPr>
        <w:jc w:val="center"/>
        <w:rPr>
          <w:rFonts w:ascii="Garamond" w:hAnsi="Garamond"/>
          <w:b/>
          <w:bCs/>
        </w:rPr>
      </w:pPr>
      <w:r>
        <w:rPr>
          <w:rFonts w:ascii="Garamond" w:hAnsi="Garamond"/>
          <w:b/>
          <w:bCs/>
        </w:rPr>
        <w:t xml:space="preserve">October 1 </w:t>
      </w:r>
      <w:bookmarkStart w:id="0" w:name="_GoBack"/>
      <w:bookmarkEnd w:id="0"/>
    </w:p>
    <w:p w:rsidR="00E6384D" w:rsidRDefault="00E6384D" w:rsidP="00E6384D">
      <w:pPr>
        <w:jc w:val="center"/>
        <w:rPr>
          <w:rFonts w:ascii="Garamond" w:hAnsi="Garamond"/>
          <w:b/>
          <w:bCs/>
        </w:rPr>
      </w:pPr>
      <w:r>
        <w:rPr>
          <w:rFonts w:ascii="Garamond" w:hAnsi="Garamond"/>
          <w:b/>
          <w:bCs/>
        </w:rPr>
        <w:t xml:space="preserve">Change of Venue </w:t>
      </w:r>
    </w:p>
    <w:p w:rsidR="00E6384D" w:rsidRDefault="00E6384D" w:rsidP="00665D47">
      <w:pPr>
        <w:pStyle w:val="ListParagraph"/>
        <w:numPr>
          <w:ilvl w:val="0"/>
          <w:numId w:val="2"/>
        </w:numPr>
        <w:spacing w:line="360" w:lineRule="auto"/>
        <w:jc w:val="both"/>
        <w:rPr>
          <w:rFonts w:ascii="Garamond" w:hAnsi="Garamond"/>
        </w:rPr>
      </w:pPr>
      <w:r>
        <w:rPr>
          <w:rFonts w:ascii="Garamond" w:hAnsi="Garamond"/>
        </w:rPr>
        <w:t xml:space="preserve">Change of venue can be an expensive process. </w:t>
      </w:r>
    </w:p>
    <w:p w:rsidR="00E6384D" w:rsidRDefault="00E6384D" w:rsidP="00665D47">
      <w:pPr>
        <w:pStyle w:val="ListParagraph"/>
        <w:numPr>
          <w:ilvl w:val="0"/>
          <w:numId w:val="2"/>
        </w:numPr>
        <w:spacing w:line="360" w:lineRule="auto"/>
        <w:jc w:val="both"/>
        <w:rPr>
          <w:rFonts w:ascii="Garamond" w:hAnsi="Garamond"/>
        </w:rPr>
      </w:pPr>
      <w:r>
        <w:rPr>
          <w:rFonts w:ascii="Garamond" w:hAnsi="Garamond"/>
        </w:rPr>
        <w:t xml:space="preserve">Defence lawyers do more than one case per day, to take a defence lawyer out of the place it takes them out of their practice. </w:t>
      </w:r>
    </w:p>
    <w:p w:rsidR="00E6384D" w:rsidRDefault="00E6384D" w:rsidP="00665D47">
      <w:pPr>
        <w:pStyle w:val="ListParagraph"/>
        <w:numPr>
          <w:ilvl w:val="0"/>
          <w:numId w:val="2"/>
        </w:numPr>
        <w:spacing w:line="360" w:lineRule="auto"/>
        <w:jc w:val="both"/>
        <w:rPr>
          <w:rFonts w:ascii="Garamond" w:hAnsi="Garamond"/>
        </w:rPr>
      </w:pPr>
      <w:r>
        <w:rPr>
          <w:rFonts w:ascii="Garamond" w:hAnsi="Garamond"/>
        </w:rPr>
        <w:t xml:space="preserve">Section 599 of the </w:t>
      </w:r>
      <w:r>
        <w:rPr>
          <w:rFonts w:ascii="Garamond" w:hAnsi="Garamond"/>
          <w:i/>
          <w:iCs/>
        </w:rPr>
        <w:t xml:space="preserve">Criminal Code </w:t>
      </w:r>
      <w:r>
        <w:rPr>
          <w:rFonts w:ascii="Garamond" w:hAnsi="Garamond"/>
        </w:rPr>
        <w:t xml:space="preserve">is the source for this motion. You get tried in the jurisdiction that the offense occurred in. The motion has to be well in advance of the trial. Any sides can apply however the judge cannot. Normally the application is by the accused. </w:t>
      </w:r>
    </w:p>
    <w:p w:rsidR="00E6384D" w:rsidRDefault="00E6384D" w:rsidP="00665D47">
      <w:pPr>
        <w:pStyle w:val="ListParagraph"/>
        <w:numPr>
          <w:ilvl w:val="0"/>
          <w:numId w:val="2"/>
        </w:numPr>
        <w:spacing w:line="360" w:lineRule="auto"/>
        <w:jc w:val="both"/>
        <w:rPr>
          <w:rFonts w:ascii="Garamond" w:hAnsi="Garamond"/>
        </w:rPr>
      </w:pPr>
      <w:r>
        <w:rPr>
          <w:rFonts w:ascii="Garamond" w:hAnsi="Garamond"/>
        </w:rPr>
        <w:t>Superior Court pretrial memo</w:t>
      </w:r>
    </w:p>
    <w:p w:rsidR="00E6384D" w:rsidRDefault="00E6384D" w:rsidP="00665D47">
      <w:pPr>
        <w:pStyle w:val="ListParagraph"/>
        <w:numPr>
          <w:ilvl w:val="1"/>
          <w:numId w:val="2"/>
        </w:numPr>
        <w:spacing w:line="360" w:lineRule="auto"/>
        <w:jc w:val="both"/>
        <w:rPr>
          <w:rFonts w:ascii="Garamond" w:hAnsi="Garamond"/>
        </w:rPr>
      </w:pPr>
      <w:r>
        <w:rPr>
          <w:rFonts w:ascii="Garamond" w:hAnsi="Garamond"/>
        </w:rPr>
        <w:t xml:space="preserve">At anytime </w:t>
      </w:r>
    </w:p>
    <w:p w:rsidR="00E6384D" w:rsidRDefault="00E6384D" w:rsidP="00665D47">
      <w:pPr>
        <w:pStyle w:val="ListParagraph"/>
        <w:numPr>
          <w:ilvl w:val="2"/>
          <w:numId w:val="2"/>
        </w:numPr>
        <w:spacing w:line="360" w:lineRule="auto"/>
        <w:jc w:val="both"/>
        <w:rPr>
          <w:rFonts w:ascii="Garamond" w:hAnsi="Garamond"/>
        </w:rPr>
      </w:pPr>
      <w:r>
        <w:rPr>
          <w:rFonts w:ascii="Garamond" w:hAnsi="Garamond"/>
        </w:rPr>
        <w:t>Application by the Crown or Accused</w:t>
      </w:r>
    </w:p>
    <w:p w:rsidR="00E6384D" w:rsidRDefault="00E6384D" w:rsidP="00665D47">
      <w:pPr>
        <w:pStyle w:val="ListParagraph"/>
        <w:numPr>
          <w:ilvl w:val="2"/>
          <w:numId w:val="2"/>
        </w:numPr>
        <w:spacing w:line="360" w:lineRule="auto"/>
        <w:jc w:val="both"/>
        <w:rPr>
          <w:rFonts w:ascii="Garamond" w:hAnsi="Garamond"/>
        </w:rPr>
      </w:pPr>
      <w:r>
        <w:rPr>
          <w:rFonts w:ascii="Garamond" w:hAnsi="Garamond"/>
        </w:rPr>
        <w:t>Order in the same province</w:t>
      </w:r>
    </w:p>
    <w:p w:rsidR="00E6384D" w:rsidRDefault="00E6384D" w:rsidP="00665D47">
      <w:pPr>
        <w:pStyle w:val="ListParagraph"/>
        <w:numPr>
          <w:ilvl w:val="2"/>
          <w:numId w:val="2"/>
        </w:numPr>
        <w:spacing w:line="360" w:lineRule="auto"/>
        <w:jc w:val="both"/>
        <w:rPr>
          <w:rFonts w:ascii="Garamond" w:hAnsi="Garamond"/>
        </w:rPr>
      </w:pPr>
      <w:r>
        <w:rPr>
          <w:rFonts w:ascii="Garamond" w:hAnsi="Garamond"/>
        </w:rPr>
        <w:t>The test for approval of change of venue is vague. If:</w:t>
      </w:r>
    </w:p>
    <w:p w:rsidR="00E6384D" w:rsidRDefault="00E6384D" w:rsidP="00665D47">
      <w:pPr>
        <w:pStyle w:val="ListParagraph"/>
        <w:numPr>
          <w:ilvl w:val="3"/>
          <w:numId w:val="2"/>
        </w:numPr>
        <w:spacing w:line="360" w:lineRule="auto"/>
        <w:jc w:val="both"/>
        <w:rPr>
          <w:rFonts w:ascii="Garamond" w:hAnsi="Garamond"/>
        </w:rPr>
      </w:pPr>
      <w:r>
        <w:rPr>
          <w:rFonts w:ascii="Garamond" w:hAnsi="Garamond"/>
        </w:rPr>
        <w:t>Expedient the ends of justice</w:t>
      </w:r>
    </w:p>
    <w:p w:rsidR="00E6384D" w:rsidRDefault="00E6384D" w:rsidP="00665D47">
      <w:pPr>
        <w:pStyle w:val="ListParagraph"/>
        <w:numPr>
          <w:ilvl w:val="3"/>
          <w:numId w:val="2"/>
        </w:numPr>
        <w:spacing w:line="360" w:lineRule="auto"/>
        <w:jc w:val="both"/>
        <w:rPr>
          <w:rFonts w:ascii="Garamond" w:hAnsi="Garamond"/>
        </w:rPr>
      </w:pPr>
      <w:r>
        <w:rPr>
          <w:rFonts w:ascii="Garamond" w:hAnsi="Garamond"/>
        </w:rPr>
        <w:t xml:space="preserve">If no jury panel has been summoned </w:t>
      </w:r>
    </w:p>
    <w:p w:rsidR="00E6384D" w:rsidRDefault="00E6384D" w:rsidP="00665D47">
      <w:pPr>
        <w:pStyle w:val="ListParagraph"/>
        <w:numPr>
          <w:ilvl w:val="1"/>
          <w:numId w:val="2"/>
        </w:numPr>
        <w:spacing w:line="360" w:lineRule="auto"/>
        <w:jc w:val="both"/>
        <w:rPr>
          <w:rFonts w:ascii="Garamond" w:hAnsi="Garamond"/>
        </w:rPr>
      </w:pPr>
      <w:r>
        <w:rPr>
          <w:rFonts w:ascii="Garamond" w:hAnsi="Garamond"/>
        </w:rPr>
        <w:t>If the Crown applies – can order expenses for the accused</w:t>
      </w:r>
    </w:p>
    <w:p w:rsidR="00E6384D" w:rsidRDefault="00E6384D" w:rsidP="00665D47">
      <w:pPr>
        <w:pStyle w:val="ListParagraph"/>
        <w:numPr>
          <w:ilvl w:val="0"/>
          <w:numId w:val="2"/>
        </w:numPr>
        <w:spacing w:line="360" w:lineRule="auto"/>
        <w:jc w:val="both"/>
        <w:rPr>
          <w:rFonts w:ascii="Garamond" w:hAnsi="Garamond"/>
        </w:rPr>
      </w:pPr>
      <w:r>
        <w:rPr>
          <w:rFonts w:ascii="Garamond" w:hAnsi="Garamond"/>
        </w:rPr>
        <w:t xml:space="preserve">Procedure grounds </w:t>
      </w:r>
    </w:p>
    <w:p w:rsidR="00E6384D" w:rsidRDefault="00E6384D" w:rsidP="00665D47">
      <w:pPr>
        <w:pStyle w:val="ListParagraph"/>
        <w:numPr>
          <w:ilvl w:val="1"/>
          <w:numId w:val="2"/>
        </w:numPr>
        <w:spacing w:line="360" w:lineRule="auto"/>
        <w:jc w:val="both"/>
        <w:rPr>
          <w:rFonts w:ascii="Garamond" w:hAnsi="Garamond"/>
        </w:rPr>
      </w:pPr>
      <w:r>
        <w:rPr>
          <w:rFonts w:ascii="Garamond" w:hAnsi="Garamond"/>
        </w:rPr>
        <w:t>Publicity</w:t>
      </w:r>
      <w:r w:rsidR="00665D47">
        <w:rPr>
          <w:rFonts w:ascii="Garamond" w:hAnsi="Garamond"/>
        </w:rPr>
        <w:t xml:space="preserve"> – fair and reasonable publicity of the trial. Prejudicial publicity – survey, pol</w:t>
      </w:r>
      <w:r w:rsidR="00371FAA">
        <w:rPr>
          <w:rFonts w:ascii="Garamond" w:hAnsi="Garamond"/>
        </w:rPr>
        <w:t>l</w:t>
      </w:r>
      <w:r w:rsidR="00665D47">
        <w:rPr>
          <w:rFonts w:ascii="Garamond" w:hAnsi="Garamond"/>
        </w:rPr>
        <w:t xml:space="preserve">s, nature and timing of publicity, press coverage about preceding trial, extent of the coverage (circulation of newspaper). Prohibition of publication. </w:t>
      </w:r>
    </w:p>
    <w:p w:rsidR="00E6384D" w:rsidRDefault="00E6384D" w:rsidP="00665D47">
      <w:pPr>
        <w:pStyle w:val="ListParagraph"/>
        <w:numPr>
          <w:ilvl w:val="1"/>
          <w:numId w:val="2"/>
        </w:numPr>
        <w:spacing w:line="360" w:lineRule="auto"/>
        <w:jc w:val="both"/>
        <w:rPr>
          <w:rFonts w:ascii="Garamond" w:hAnsi="Garamond"/>
        </w:rPr>
      </w:pPr>
      <w:r>
        <w:rPr>
          <w:rFonts w:ascii="Garamond" w:hAnsi="Garamond"/>
        </w:rPr>
        <w:t>Inconvenience</w:t>
      </w:r>
      <w:r w:rsidR="00665D47">
        <w:rPr>
          <w:rFonts w:ascii="Garamond" w:hAnsi="Garamond"/>
        </w:rPr>
        <w:t xml:space="preserve"> by itself is not enough, cases of guilty plea. </w:t>
      </w:r>
    </w:p>
    <w:p w:rsidR="00E6384D" w:rsidRDefault="00E6384D" w:rsidP="00665D47">
      <w:pPr>
        <w:pStyle w:val="ListParagraph"/>
        <w:numPr>
          <w:ilvl w:val="1"/>
          <w:numId w:val="2"/>
        </w:numPr>
        <w:spacing w:line="360" w:lineRule="auto"/>
        <w:jc w:val="both"/>
        <w:rPr>
          <w:rFonts w:ascii="Garamond" w:hAnsi="Garamond"/>
        </w:rPr>
      </w:pPr>
      <w:r>
        <w:rPr>
          <w:rFonts w:ascii="Garamond" w:hAnsi="Garamond"/>
        </w:rPr>
        <w:t>Inadequate facilities</w:t>
      </w:r>
      <w:r w:rsidR="00665D47">
        <w:rPr>
          <w:rFonts w:ascii="Garamond" w:hAnsi="Garamond"/>
        </w:rPr>
        <w:t xml:space="preserve"> – change to a facility that does. </w:t>
      </w:r>
    </w:p>
    <w:p w:rsidR="00665D47" w:rsidRPr="00665D47" w:rsidRDefault="00E6384D" w:rsidP="00665D47">
      <w:pPr>
        <w:pStyle w:val="ListParagraph"/>
        <w:numPr>
          <w:ilvl w:val="1"/>
          <w:numId w:val="2"/>
        </w:numPr>
        <w:spacing w:line="360" w:lineRule="auto"/>
        <w:jc w:val="both"/>
        <w:rPr>
          <w:rFonts w:ascii="Garamond" w:hAnsi="Garamond"/>
        </w:rPr>
      </w:pPr>
      <w:r>
        <w:rPr>
          <w:rFonts w:ascii="Garamond" w:hAnsi="Garamond"/>
        </w:rPr>
        <w:t>Nature of the crime</w:t>
      </w:r>
      <w:r w:rsidR="00665D47">
        <w:rPr>
          <w:rFonts w:ascii="Garamond" w:hAnsi="Garamond"/>
        </w:rPr>
        <w:t xml:space="preserve"> – happen to a community member and the community is shocked. Nature of the accused what is the point if he is well known</w:t>
      </w:r>
    </w:p>
    <w:p w:rsidR="00E6384D" w:rsidRDefault="00E6384D" w:rsidP="00665D47">
      <w:pPr>
        <w:pStyle w:val="ListParagraph"/>
        <w:numPr>
          <w:ilvl w:val="1"/>
          <w:numId w:val="2"/>
        </w:numPr>
        <w:spacing w:line="360" w:lineRule="auto"/>
        <w:jc w:val="both"/>
        <w:rPr>
          <w:rFonts w:ascii="Garamond" w:hAnsi="Garamond"/>
        </w:rPr>
      </w:pPr>
      <w:r>
        <w:rPr>
          <w:rFonts w:ascii="Garamond" w:hAnsi="Garamond"/>
        </w:rPr>
        <w:t xml:space="preserve">Size and nature of the community </w:t>
      </w:r>
    </w:p>
    <w:p w:rsidR="00665D47" w:rsidRPr="00665D47" w:rsidRDefault="00E6384D" w:rsidP="00665D47">
      <w:pPr>
        <w:pStyle w:val="ListParagraph"/>
        <w:numPr>
          <w:ilvl w:val="1"/>
          <w:numId w:val="2"/>
        </w:numPr>
        <w:spacing w:line="360" w:lineRule="auto"/>
        <w:jc w:val="both"/>
        <w:rPr>
          <w:rFonts w:ascii="Garamond" w:hAnsi="Garamond"/>
        </w:rPr>
      </w:pPr>
      <w:r>
        <w:rPr>
          <w:rFonts w:ascii="Garamond" w:hAnsi="Garamond"/>
        </w:rPr>
        <w:t>Charter</w:t>
      </w:r>
      <w:r w:rsidR="00665D47">
        <w:rPr>
          <w:rFonts w:ascii="Garamond" w:hAnsi="Garamond"/>
        </w:rPr>
        <w:t xml:space="preserve"> – fair and reasonable partiality probability test </w:t>
      </w:r>
    </w:p>
    <w:p w:rsidR="00E6384D" w:rsidRDefault="00E6384D" w:rsidP="00665D47">
      <w:pPr>
        <w:pStyle w:val="ListParagraph"/>
        <w:numPr>
          <w:ilvl w:val="1"/>
          <w:numId w:val="2"/>
        </w:numPr>
        <w:spacing w:line="360" w:lineRule="auto"/>
        <w:jc w:val="both"/>
        <w:rPr>
          <w:rFonts w:ascii="Garamond" w:hAnsi="Garamond"/>
        </w:rPr>
      </w:pPr>
      <w:r>
        <w:rPr>
          <w:rFonts w:ascii="Garamond" w:hAnsi="Garamond"/>
        </w:rPr>
        <w:t xml:space="preserve">Cases </w:t>
      </w:r>
    </w:p>
    <w:p w:rsidR="00E6384D" w:rsidRDefault="00E6384D" w:rsidP="00665D47">
      <w:pPr>
        <w:pStyle w:val="ListParagraph"/>
        <w:numPr>
          <w:ilvl w:val="0"/>
          <w:numId w:val="2"/>
        </w:numPr>
        <w:spacing w:line="360" w:lineRule="auto"/>
        <w:jc w:val="both"/>
        <w:rPr>
          <w:rFonts w:ascii="Garamond" w:hAnsi="Garamond"/>
        </w:rPr>
      </w:pPr>
      <w:r>
        <w:rPr>
          <w:rFonts w:ascii="Garamond" w:hAnsi="Garamond"/>
        </w:rPr>
        <w:t xml:space="preserve">Change of venue and challenge for cause often go hand in hand. </w:t>
      </w:r>
    </w:p>
    <w:p w:rsidR="00E6384D" w:rsidRDefault="00E6384D" w:rsidP="00665D47">
      <w:pPr>
        <w:pStyle w:val="ListParagraph"/>
        <w:numPr>
          <w:ilvl w:val="0"/>
          <w:numId w:val="2"/>
        </w:numPr>
        <w:spacing w:line="360" w:lineRule="auto"/>
        <w:jc w:val="both"/>
        <w:rPr>
          <w:rFonts w:ascii="Garamond" w:hAnsi="Garamond"/>
        </w:rPr>
      </w:pPr>
      <w:r>
        <w:rPr>
          <w:rFonts w:ascii="Garamond" w:hAnsi="Garamond"/>
        </w:rPr>
        <w:t>In civil system you can do the same. You can do it for parole hearing as well</w:t>
      </w:r>
    </w:p>
    <w:p w:rsidR="00665D47" w:rsidRDefault="00665D47" w:rsidP="00665D47">
      <w:pPr>
        <w:pStyle w:val="ListParagraph"/>
        <w:numPr>
          <w:ilvl w:val="0"/>
          <w:numId w:val="2"/>
        </w:numPr>
        <w:spacing w:line="360" w:lineRule="auto"/>
        <w:jc w:val="both"/>
        <w:rPr>
          <w:rFonts w:ascii="Garamond" w:hAnsi="Garamond"/>
        </w:rPr>
      </w:pPr>
      <w:r>
        <w:rPr>
          <w:rFonts w:ascii="Garamond" w:hAnsi="Garamond"/>
        </w:rPr>
        <w:t xml:space="preserve">It has to be supported by evidence not just affidavit. </w:t>
      </w:r>
    </w:p>
    <w:p w:rsidR="00665D47" w:rsidRDefault="00665D47" w:rsidP="00665D47">
      <w:pPr>
        <w:pStyle w:val="ListParagraph"/>
        <w:numPr>
          <w:ilvl w:val="0"/>
          <w:numId w:val="2"/>
        </w:numPr>
        <w:spacing w:line="360" w:lineRule="auto"/>
        <w:jc w:val="both"/>
        <w:rPr>
          <w:rFonts w:ascii="Garamond" w:hAnsi="Garamond"/>
        </w:rPr>
      </w:pPr>
      <w:r>
        <w:rPr>
          <w:rFonts w:ascii="Garamond" w:hAnsi="Garamond"/>
        </w:rPr>
        <w:t xml:space="preserve">You can apply for change of venue more than once. </w:t>
      </w:r>
    </w:p>
    <w:p w:rsidR="00665D47" w:rsidRDefault="00665D47" w:rsidP="00665D47">
      <w:pPr>
        <w:pStyle w:val="ListParagraph"/>
        <w:numPr>
          <w:ilvl w:val="0"/>
          <w:numId w:val="2"/>
        </w:numPr>
        <w:spacing w:line="360" w:lineRule="auto"/>
        <w:jc w:val="both"/>
        <w:rPr>
          <w:rFonts w:ascii="Garamond" w:hAnsi="Garamond"/>
        </w:rPr>
      </w:pPr>
      <w:r>
        <w:rPr>
          <w:rFonts w:ascii="Garamond" w:hAnsi="Garamond"/>
        </w:rPr>
        <w:lastRenderedPageBreak/>
        <w:t xml:space="preserve">You can ask for a specific place in your application. </w:t>
      </w:r>
    </w:p>
    <w:p w:rsidR="00665D47" w:rsidRDefault="00665D47" w:rsidP="00665D47">
      <w:pPr>
        <w:pStyle w:val="ListParagraph"/>
        <w:numPr>
          <w:ilvl w:val="0"/>
          <w:numId w:val="2"/>
        </w:numPr>
        <w:spacing w:line="360" w:lineRule="auto"/>
        <w:jc w:val="both"/>
        <w:rPr>
          <w:rFonts w:ascii="Garamond" w:hAnsi="Garamond"/>
        </w:rPr>
      </w:pPr>
      <w:r>
        <w:rPr>
          <w:rFonts w:ascii="Garamond" w:hAnsi="Garamond"/>
        </w:rPr>
        <w:t>Coverage area for newspaper.</w:t>
      </w:r>
    </w:p>
    <w:p w:rsidR="00665D47" w:rsidRDefault="00665D47" w:rsidP="00665D47">
      <w:pPr>
        <w:pStyle w:val="ListParagraph"/>
        <w:numPr>
          <w:ilvl w:val="0"/>
          <w:numId w:val="2"/>
        </w:numPr>
        <w:spacing w:line="360" w:lineRule="auto"/>
        <w:jc w:val="both"/>
        <w:rPr>
          <w:rFonts w:ascii="Garamond" w:hAnsi="Garamond"/>
        </w:rPr>
      </w:pPr>
      <w:r>
        <w:rPr>
          <w:rFonts w:ascii="Garamond" w:hAnsi="Garamond"/>
        </w:rPr>
        <w:t xml:space="preserve">If you do bring a second application it is the same trial judge. </w:t>
      </w:r>
    </w:p>
    <w:p w:rsidR="00665D47" w:rsidRDefault="00665D47" w:rsidP="00665D47">
      <w:pPr>
        <w:pStyle w:val="ListParagraph"/>
        <w:numPr>
          <w:ilvl w:val="0"/>
          <w:numId w:val="2"/>
        </w:numPr>
        <w:spacing w:line="360" w:lineRule="auto"/>
        <w:jc w:val="both"/>
        <w:rPr>
          <w:rFonts w:ascii="Garamond" w:hAnsi="Garamond"/>
        </w:rPr>
      </w:pPr>
      <w:r>
        <w:rPr>
          <w:rFonts w:ascii="Garamond" w:hAnsi="Garamond"/>
        </w:rPr>
        <w:t>What if there is multiple accused? The judge has the option, all in one or severance. (Fending is to not severance the case).</w:t>
      </w:r>
    </w:p>
    <w:p w:rsidR="00665D47" w:rsidRPr="00665D47" w:rsidRDefault="00665D47" w:rsidP="00665D47">
      <w:pPr>
        <w:pStyle w:val="ListParagraph"/>
        <w:spacing w:line="360" w:lineRule="auto"/>
        <w:jc w:val="both"/>
        <w:rPr>
          <w:rFonts w:ascii="Garamond" w:hAnsi="Garamond"/>
        </w:rPr>
      </w:pPr>
    </w:p>
    <w:sectPr w:rsidR="00665D47" w:rsidRPr="00665D47">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7CAA" w:rsidRDefault="00137CAA" w:rsidP="00E6384D">
      <w:pPr>
        <w:spacing w:after="0" w:line="240" w:lineRule="auto"/>
      </w:pPr>
      <w:r>
        <w:separator/>
      </w:r>
    </w:p>
  </w:endnote>
  <w:endnote w:type="continuationSeparator" w:id="0">
    <w:p w:rsidR="00137CAA" w:rsidRDefault="00137CAA" w:rsidP="00E63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7CAA" w:rsidRDefault="00137CAA" w:rsidP="00E6384D">
      <w:pPr>
        <w:spacing w:after="0" w:line="240" w:lineRule="auto"/>
      </w:pPr>
      <w:r>
        <w:separator/>
      </w:r>
    </w:p>
  </w:footnote>
  <w:footnote w:type="continuationSeparator" w:id="0">
    <w:p w:rsidR="00137CAA" w:rsidRDefault="00137CAA" w:rsidP="00E638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Garamond" w:hAnsi="Garamond"/>
        <w:i/>
        <w:iCs/>
      </w:rPr>
      <w:id w:val="532694748"/>
      <w:docPartObj>
        <w:docPartGallery w:val="Page Numbers (Top of Page)"/>
        <w:docPartUnique/>
      </w:docPartObj>
    </w:sdtPr>
    <w:sdtEndPr>
      <w:rPr>
        <w:noProof/>
      </w:rPr>
    </w:sdtEndPr>
    <w:sdtContent>
      <w:p w:rsidR="00E6384D" w:rsidRPr="00E6384D" w:rsidRDefault="00E6384D">
        <w:pPr>
          <w:pStyle w:val="Header"/>
          <w:jc w:val="right"/>
          <w:rPr>
            <w:rFonts w:ascii="Garamond" w:hAnsi="Garamond"/>
            <w:i/>
            <w:iCs/>
          </w:rPr>
        </w:pPr>
        <w:r w:rsidRPr="00E6384D">
          <w:rPr>
            <w:rFonts w:ascii="Garamond" w:hAnsi="Garamond"/>
            <w:i/>
            <w:iCs/>
          </w:rPr>
          <w:t xml:space="preserve">Mahshaz Fareen </w:t>
        </w:r>
        <w:r w:rsidRPr="00E6384D">
          <w:rPr>
            <w:rFonts w:ascii="Garamond" w:hAnsi="Garamond"/>
            <w:i/>
            <w:iCs/>
          </w:rPr>
          <w:fldChar w:fldCharType="begin"/>
        </w:r>
        <w:r w:rsidRPr="00E6384D">
          <w:rPr>
            <w:rFonts w:ascii="Garamond" w:hAnsi="Garamond"/>
            <w:i/>
            <w:iCs/>
          </w:rPr>
          <w:instrText xml:space="preserve"> PAGE   \* MERGEFORMAT </w:instrText>
        </w:r>
        <w:r w:rsidRPr="00E6384D">
          <w:rPr>
            <w:rFonts w:ascii="Garamond" w:hAnsi="Garamond"/>
            <w:i/>
            <w:iCs/>
          </w:rPr>
          <w:fldChar w:fldCharType="separate"/>
        </w:r>
        <w:r w:rsidR="00A670BC">
          <w:rPr>
            <w:rFonts w:ascii="Garamond" w:hAnsi="Garamond"/>
            <w:i/>
            <w:iCs/>
            <w:noProof/>
          </w:rPr>
          <w:t>2</w:t>
        </w:r>
        <w:r w:rsidRPr="00E6384D">
          <w:rPr>
            <w:rFonts w:ascii="Garamond" w:hAnsi="Garamond"/>
            <w:i/>
            <w:iCs/>
            <w:noProof/>
          </w:rPr>
          <w:fldChar w:fldCharType="end"/>
        </w:r>
      </w:p>
    </w:sdtContent>
  </w:sdt>
  <w:p w:rsidR="00E6384D" w:rsidRDefault="00E638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B2160B"/>
    <w:multiLevelType w:val="hybridMultilevel"/>
    <w:tmpl w:val="CD84D9C6"/>
    <w:lvl w:ilvl="0" w:tplc="10090001">
      <w:start w:val="1"/>
      <w:numFmt w:val="bullet"/>
      <w:lvlText w:val=""/>
      <w:lvlJc w:val="left"/>
      <w:pPr>
        <w:ind w:left="720" w:hanging="360"/>
      </w:pPr>
      <w:rPr>
        <w:rFonts w:ascii="Symbol" w:hAnsi="Symbol"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D514859"/>
    <w:multiLevelType w:val="hybridMultilevel"/>
    <w:tmpl w:val="19FC49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84D"/>
    <w:rsid w:val="00132C7F"/>
    <w:rsid w:val="00137CAA"/>
    <w:rsid w:val="00371FAA"/>
    <w:rsid w:val="00376016"/>
    <w:rsid w:val="003A182E"/>
    <w:rsid w:val="00665D47"/>
    <w:rsid w:val="00A670BC"/>
    <w:rsid w:val="00E6384D"/>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6C669A-DD21-45EA-A38A-1DE841359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ylfaen" w:eastAsiaTheme="minorHAnsi" w:hAnsi="Sylfaen" w:cstheme="minorBidi"/>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8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384D"/>
  </w:style>
  <w:style w:type="paragraph" w:styleId="Footer">
    <w:name w:val="footer"/>
    <w:basedOn w:val="Normal"/>
    <w:link w:val="FooterChar"/>
    <w:uiPriority w:val="99"/>
    <w:unhideWhenUsed/>
    <w:rsid w:val="00E638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384D"/>
  </w:style>
  <w:style w:type="paragraph" w:styleId="ListParagraph">
    <w:name w:val="List Paragraph"/>
    <w:basedOn w:val="Normal"/>
    <w:uiPriority w:val="34"/>
    <w:qFormat/>
    <w:rsid w:val="00E638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284</Words>
  <Characters>1620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Mahshaz Fareen</dc:creator>
  <cp:keywords/>
  <dc:description/>
  <cp:lastModifiedBy>Mahshaz Fareen</cp:lastModifiedBy>
  <cp:revision>3</cp:revision>
  <dcterms:created xsi:type="dcterms:W3CDTF">2014-12-05T19:18:00Z</dcterms:created>
  <dcterms:modified xsi:type="dcterms:W3CDTF">2015-04-11T11:23:00Z</dcterms:modified>
</cp:coreProperties>
</file>