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42BF" w:rsidRDefault="002342BF">
      <w:pPr>
        <w:rPr>
          <w:b/>
        </w:rPr>
      </w:pPr>
    </w:p>
    <w:p w:rsidR="002342BF" w:rsidRDefault="002342BF">
      <w:pPr>
        <w:rPr>
          <w:b/>
        </w:rPr>
      </w:pPr>
    </w:p>
    <w:p w:rsidR="002342BF" w:rsidRDefault="002342BF">
      <w:pPr>
        <w:rPr>
          <w:b/>
        </w:rPr>
      </w:pPr>
    </w:p>
    <w:p w:rsidR="002342BF" w:rsidRDefault="002342BF">
      <w:pPr>
        <w:rPr>
          <w:b/>
        </w:rPr>
      </w:pPr>
    </w:p>
    <w:p w:rsidR="002342BF" w:rsidRDefault="002342BF">
      <w:pPr>
        <w:rPr>
          <w:b/>
        </w:rPr>
      </w:pPr>
    </w:p>
    <w:p w:rsidR="002342BF" w:rsidRDefault="002342BF">
      <w:pPr>
        <w:rPr>
          <w:b/>
        </w:rPr>
      </w:pPr>
    </w:p>
    <w:p w:rsidR="002342BF" w:rsidRDefault="002342BF">
      <w:pPr>
        <w:rPr>
          <w:b/>
        </w:rPr>
      </w:pPr>
    </w:p>
    <w:p w:rsidR="0024095E" w:rsidRDefault="002342BF" w:rsidP="002342BF">
      <w:pPr>
        <w:jc w:val="center"/>
        <w:rPr>
          <w:b/>
          <w:sz w:val="44"/>
          <w:szCs w:val="44"/>
        </w:rPr>
      </w:pPr>
      <w:r w:rsidRPr="002342BF">
        <w:rPr>
          <w:b/>
          <w:sz w:val="44"/>
          <w:szCs w:val="44"/>
        </w:rPr>
        <w:t xml:space="preserve">ASSIGNMENT </w:t>
      </w:r>
      <w:r w:rsidR="004A3E5A">
        <w:rPr>
          <w:b/>
          <w:sz w:val="44"/>
          <w:szCs w:val="44"/>
        </w:rPr>
        <w:t xml:space="preserve">3:  </w:t>
      </w:r>
    </w:p>
    <w:p w:rsidR="002342BF" w:rsidRPr="002342BF" w:rsidRDefault="002342BF" w:rsidP="002342BF">
      <w:pPr>
        <w:jc w:val="center"/>
        <w:rPr>
          <w:b/>
          <w:sz w:val="44"/>
          <w:szCs w:val="44"/>
        </w:rPr>
      </w:pPr>
      <w:r>
        <w:rPr>
          <w:b/>
          <w:sz w:val="44"/>
          <w:szCs w:val="44"/>
        </w:rPr>
        <w:t>CASE BRIEF</w:t>
      </w:r>
    </w:p>
    <w:p w:rsidR="002342BF" w:rsidRDefault="002342BF" w:rsidP="002342BF">
      <w:pPr>
        <w:jc w:val="center"/>
        <w:rPr>
          <w:b/>
          <w:sz w:val="20"/>
          <w:szCs w:val="20"/>
        </w:rPr>
      </w:pPr>
      <w:r w:rsidRPr="002342BF">
        <w:rPr>
          <w:b/>
          <w:sz w:val="44"/>
          <w:szCs w:val="44"/>
        </w:rPr>
        <w:t>R. v. MacDonald, 2014 SCC 3</w:t>
      </w:r>
    </w:p>
    <w:p w:rsidR="002342BF" w:rsidRDefault="002342BF" w:rsidP="002342BF">
      <w:pPr>
        <w:jc w:val="center"/>
        <w:rPr>
          <w:b/>
          <w:sz w:val="20"/>
          <w:szCs w:val="20"/>
        </w:rPr>
      </w:pPr>
    </w:p>
    <w:p w:rsidR="002342BF" w:rsidRDefault="002342BF" w:rsidP="002342BF">
      <w:pPr>
        <w:jc w:val="center"/>
        <w:rPr>
          <w:b/>
          <w:sz w:val="20"/>
          <w:szCs w:val="20"/>
        </w:rPr>
      </w:pPr>
    </w:p>
    <w:p w:rsidR="002342BF" w:rsidRDefault="002342BF" w:rsidP="002342BF">
      <w:pPr>
        <w:jc w:val="center"/>
        <w:rPr>
          <w:b/>
          <w:sz w:val="20"/>
          <w:szCs w:val="20"/>
        </w:rPr>
      </w:pPr>
    </w:p>
    <w:p w:rsidR="002342BF" w:rsidRDefault="002342BF" w:rsidP="002342BF">
      <w:pPr>
        <w:jc w:val="center"/>
        <w:rPr>
          <w:b/>
          <w:sz w:val="20"/>
          <w:szCs w:val="20"/>
        </w:rPr>
      </w:pPr>
    </w:p>
    <w:p w:rsidR="002342BF" w:rsidRDefault="002342BF" w:rsidP="002342BF">
      <w:pPr>
        <w:jc w:val="center"/>
        <w:rPr>
          <w:b/>
          <w:sz w:val="20"/>
          <w:szCs w:val="20"/>
        </w:rPr>
      </w:pPr>
    </w:p>
    <w:p w:rsidR="002342BF" w:rsidRDefault="002342BF" w:rsidP="002342BF">
      <w:pPr>
        <w:jc w:val="center"/>
        <w:rPr>
          <w:b/>
          <w:sz w:val="20"/>
          <w:szCs w:val="20"/>
        </w:rPr>
      </w:pPr>
    </w:p>
    <w:p w:rsidR="002342BF" w:rsidRDefault="002342BF" w:rsidP="002342BF">
      <w:pPr>
        <w:jc w:val="center"/>
        <w:rPr>
          <w:b/>
          <w:sz w:val="20"/>
          <w:szCs w:val="20"/>
        </w:rPr>
      </w:pPr>
    </w:p>
    <w:p w:rsidR="0024095E" w:rsidRDefault="0024095E" w:rsidP="002342BF">
      <w:pPr>
        <w:jc w:val="center"/>
        <w:rPr>
          <w:b/>
          <w:sz w:val="20"/>
          <w:szCs w:val="20"/>
        </w:rPr>
      </w:pPr>
    </w:p>
    <w:p w:rsidR="002342BF" w:rsidRDefault="002342BF" w:rsidP="002342BF">
      <w:pPr>
        <w:jc w:val="center"/>
        <w:rPr>
          <w:b/>
          <w:sz w:val="20"/>
          <w:szCs w:val="20"/>
        </w:rPr>
      </w:pPr>
    </w:p>
    <w:p w:rsidR="004A3E5A" w:rsidRDefault="004A3E5A" w:rsidP="002342BF">
      <w:pPr>
        <w:jc w:val="center"/>
        <w:rPr>
          <w:b/>
          <w:sz w:val="20"/>
          <w:szCs w:val="20"/>
        </w:rPr>
      </w:pPr>
    </w:p>
    <w:p w:rsidR="002342BF" w:rsidRPr="004A3E5A" w:rsidRDefault="002342BF" w:rsidP="004A3E5A">
      <w:pPr>
        <w:spacing w:after="0"/>
        <w:jc w:val="right"/>
        <w:rPr>
          <w:sz w:val="24"/>
          <w:szCs w:val="24"/>
        </w:rPr>
      </w:pPr>
      <w:r w:rsidRPr="004A3E5A">
        <w:rPr>
          <w:b/>
          <w:sz w:val="24"/>
          <w:szCs w:val="24"/>
        </w:rPr>
        <w:t>Name:</w:t>
      </w:r>
      <w:r w:rsidRPr="004A3E5A">
        <w:rPr>
          <w:sz w:val="24"/>
          <w:szCs w:val="24"/>
        </w:rPr>
        <w:t xml:space="preserve">  </w:t>
      </w:r>
      <w:proofErr w:type="spellStart"/>
      <w:r w:rsidRPr="004A3E5A">
        <w:rPr>
          <w:sz w:val="24"/>
          <w:szCs w:val="24"/>
        </w:rPr>
        <w:t>Nicoletta</w:t>
      </w:r>
      <w:proofErr w:type="spellEnd"/>
      <w:r w:rsidRPr="004A3E5A">
        <w:rPr>
          <w:sz w:val="24"/>
          <w:szCs w:val="24"/>
        </w:rPr>
        <w:t xml:space="preserve"> Tripodo</w:t>
      </w:r>
    </w:p>
    <w:p w:rsidR="002342BF" w:rsidRPr="004A3E5A" w:rsidRDefault="007E6C57" w:rsidP="004A3E5A">
      <w:pPr>
        <w:spacing w:after="0"/>
        <w:jc w:val="right"/>
        <w:rPr>
          <w:sz w:val="24"/>
          <w:szCs w:val="24"/>
        </w:rPr>
      </w:pPr>
      <w:r>
        <w:rPr>
          <w:b/>
          <w:sz w:val="24"/>
          <w:szCs w:val="24"/>
        </w:rPr>
        <w:t xml:space="preserve">CU </w:t>
      </w:r>
      <w:r w:rsidR="002342BF" w:rsidRPr="004A3E5A">
        <w:rPr>
          <w:b/>
          <w:sz w:val="24"/>
          <w:szCs w:val="24"/>
        </w:rPr>
        <w:t>Student Number:</w:t>
      </w:r>
      <w:r w:rsidR="002342BF" w:rsidRPr="004A3E5A">
        <w:rPr>
          <w:sz w:val="24"/>
          <w:szCs w:val="24"/>
        </w:rPr>
        <w:t xml:space="preserve">  100991948</w:t>
      </w:r>
    </w:p>
    <w:p w:rsidR="007E6C57" w:rsidRDefault="007E6C57" w:rsidP="004A3E5A">
      <w:pPr>
        <w:spacing w:after="0"/>
        <w:jc w:val="right"/>
        <w:rPr>
          <w:b/>
          <w:sz w:val="24"/>
          <w:szCs w:val="24"/>
        </w:rPr>
      </w:pPr>
    </w:p>
    <w:p w:rsidR="007E6C57" w:rsidRDefault="007E6C57" w:rsidP="004A3E5A">
      <w:pPr>
        <w:spacing w:after="0"/>
        <w:jc w:val="right"/>
        <w:rPr>
          <w:b/>
          <w:sz w:val="24"/>
          <w:szCs w:val="24"/>
        </w:rPr>
      </w:pPr>
    </w:p>
    <w:p w:rsidR="004A3E5A" w:rsidRPr="004A3E5A" w:rsidRDefault="007E6C57" w:rsidP="004A3E5A">
      <w:pPr>
        <w:spacing w:after="0"/>
        <w:jc w:val="right"/>
        <w:rPr>
          <w:sz w:val="24"/>
          <w:szCs w:val="24"/>
        </w:rPr>
      </w:pPr>
      <w:r>
        <w:rPr>
          <w:b/>
          <w:sz w:val="24"/>
          <w:szCs w:val="24"/>
        </w:rPr>
        <w:t>LAWS 1000CV – Introduction to Legal Studies</w:t>
      </w:r>
    </w:p>
    <w:p w:rsidR="007E6C57" w:rsidRPr="007E6C57" w:rsidRDefault="007E6C57" w:rsidP="004A3E5A">
      <w:pPr>
        <w:spacing w:after="0"/>
        <w:jc w:val="right"/>
        <w:rPr>
          <w:sz w:val="24"/>
          <w:szCs w:val="24"/>
        </w:rPr>
      </w:pPr>
      <w:r>
        <w:rPr>
          <w:b/>
          <w:sz w:val="24"/>
          <w:szCs w:val="24"/>
        </w:rPr>
        <w:t xml:space="preserve">Professor:  </w:t>
      </w:r>
      <w:r w:rsidRPr="007E6C57">
        <w:rPr>
          <w:sz w:val="24"/>
          <w:szCs w:val="24"/>
        </w:rPr>
        <w:t>Jane Dickson-Gilmore, PhD.  (Law)</w:t>
      </w:r>
    </w:p>
    <w:p w:rsidR="004A3E5A" w:rsidRDefault="004A3E5A" w:rsidP="004A3E5A">
      <w:pPr>
        <w:spacing w:after="0"/>
        <w:jc w:val="right"/>
        <w:rPr>
          <w:sz w:val="24"/>
          <w:szCs w:val="24"/>
        </w:rPr>
      </w:pPr>
      <w:r w:rsidRPr="004A3E5A">
        <w:rPr>
          <w:b/>
          <w:sz w:val="24"/>
          <w:szCs w:val="24"/>
        </w:rPr>
        <w:t>Teaching Assistant:</w:t>
      </w:r>
      <w:r w:rsidRPr="004A3E5A">
        <w:rPr>
          <w:sz w:val="24"/>
          <w:szCs w:val="24"/>
        </w:rPr>
        <w:t xml:space="preserve">  Kari Charles V3</w:t>
      </w:r>
    </w:p>
    <w:p w:rsidR="007E6C57" w:rsidRPr="004A3E5A" w:rsidRDefault="007E6C57" w:rsidP="004A3E5A">
      <w:pPr>
        <w:spacing w:after="0"/>
        <w:jc w:val="right"/>
        <w:rPr>
          <w:sz w:val="24"/>
          <w:szCs w:val="24"/>
        </w:rPr>
      </w:pPr>
      <w:r w:rsidRPr="007E6C57">
        <w:rPr>
          <w:b/>
          <w:sz w:val="24"/>
          <w:szCs w:val="24"/>
        </w:rPr>
        <w:t>Due Date:</w:t>
      </w:r>
      <w:r>
        <w:rPr>
          <w:sz w:val="24"/>
          <w:szCs w:val="24"/>
        </w:rPr>
        <w:t xml:space="preserve">  Friday, February 13, 2015 @ 4:30</w:t>
      </w:r>
    </w:p>
    <w:p w:rsidR="00B92BED" w:rsidRPr="0035356C" w:rsidRDefault="0024095E" w:rsidP="00B92BED">
      <w:pPr>
        <w:rPr>
          <w:b/>
          <w:sz w:val="24"/>
          <w:szCs w:val="24"/>
        </w:rPr>
      </w:pPr>
      <w:r>
        <w:rPr>
          <w:b/>
          <w:sz w:val="24"/>
          <w:szCs w:val="24"/>
        </w:rPr>
        <w:br w:type="page"/>
      </w:r>
      <w:r>
        <w:rPr>
          <w:b/>
          <w:sz w:val="24"/>
          <w:szCs w:val="24"/>
        </w:rPr>
        <w:lastRenderedPageBreak/>
        <w:t>N</w:t>
      </w:r>
      <w:r w:rsidR="00B92BED" w:rsidRPr="0035356C">
        <w:rPr>
          <w:b/>
          <w:sz w:val="24"/>
          <w:szCs w:val="24"/>
        </w:rPr>
        <w:t>AME OF CASE AND CITATION</w:t>
      </w:r>
    </w:p>
    <w:p w:rsidR="008517BC" w:rsidRPr="0035356C" w:rsidRDefault="00664420" w:rsidP="0085617A">
      <w:pPr>
        <w:spacing w:after="0" w:line="360" w:lineRule="auto"/>
        <w:rPr>
          <w:sz w:val="24"/>
          <w:szCs w:val="24"/>
        </w:rPr>
      </w:pPr>
      <w:r w:rsidRPr="0035356C">
        <w:rPr>
          <w:sz w:val="24"/>
          <w:szCs w:val="24"/>
        </w:rPr>
        <w:t>R. v MacDonald</w:t>
      </w:r>
      <w:r w:rsidR="00C1159F" w:rsidRPr="0035356C">
        <w:rPr>
          <w:sz w:val="24"/>
          <w:szCs w:val="24"/>
        </w:rPr>
        <w:t xml:space="preserve">, 2014 </w:t>
      </w:r>
      <w:r w:rsidRPr="0035356C">
        <w:rPr>
          <w:sz w:val="24"/>
          <w:szCs w:val="24"/>
        </w:rPr>
        <w:t>SCC 3</w:t>
      </w:r>
      <w:r w:rsidR="00C1159F" w:rsidRPr="0035356C">
        <w:rPr>
          <w:sz w:val="24"/>
          <w:szCs w:val="24"/>
        </w:rPr>
        <w:t>, [2014] 1</w:t>
      </w:r>
      <w:r w:rsidRPr="0035356C">
        <w:rPr>
          <w:sz w:val="24"/>
          <w:szCs w:val="24"/>
        </w:rPr>
        <w:t xml:space="preserve"> </w:t>
      </w:r>
      <w:r w:rsidR="00C1159F" w:rsidRPr="0035356C">
        <w:rPr>
          <w:sz w:val="24"/>
          <w:szCs w:val="24"/>
        </w:rPr>
        <w:t>S</w:t>
      </w:r>
      <w:r w:rsidRPr="0035356C">
        <w:rPr>
          <w:sz w:val="24"/>
          <w:szCs w:val="24"/>
        </w:rPr>
        <w:t xml:space="preserve">.C.R. </w:t>
      </w:r>
      <w:r w:rsidR="00C1159F" w:rsidRPr="0035356C">
        <w:rPr>
          <w:sz w:val="24"/>
          <w:szCs w:val="24"/>
        </w:rPr>
        <w:t>3</w:t>
      </w:r>
      <w:r w:rsidRPr="0035356C">
        <w:rPr>
          <w:sz w:val="24"/>
          <w:szCs w:val="24"/>
        </w:rPr>
        <w:t>7</w:t>
      </w:r>
    </w:p>
    <w:p w:rsidR="0085617A" w:rsidRPr="0035356C" w:rsidRDefault="0085617A" w:rsidP="0085617A">
      <w:pPr>
        <w:spacing w:after="0" w:line="360" w:lineRule="auto"/>
        <w:rPr>
          <w:sz w:val="16"/>
          <w:szCs w:val="16"/>
        </w:rPr>
      </w:pPr>
    </w:p>
    <w:p w:rsidR="00B92BED" w:rsidRPr="0035356C" w:rsidRDefault="00B92BED" w:rsidP="0085617A">
      <w:pPr>
        <w:spacing w:after="0" w:line="480" w:lineRule="auto"/>
        <w:rPr>
          <w:sz w:val="24"/>
          <w:szCs w:val="24"/>
        </w:rPr>
      </w:pPr>
      <w:r w:rsidRPr="0035356C">
        <w:rPr>
          <w:b/>
          <w:sz w:val="24"/>
          <w:szCs w:val="24"/>
        </w:rPr>
        <w:t>TYPE AND LEVEL OF CASE</w:t>
      </w:r>
      <w:r w:rsidRPr="0035356C">
        <w:rPr>
          <w:sz w:val="24"/>
          <w:szCs w:val="24"/>
        </w:rPr>
        <w:t xml:space="preserve"> </w:t>
      </w:r>
    </w:p>
    <w:p w:rsidR="0085617A" w:rsidRPr="0035356C" w:rsidRDefault="0035356C" w:rsidP="0085617A">
      <w:pPr>
        <w:spacing w:after="0" w:line="360" w:lineRule="auto"/>
        <w:rPr>
          <w:sz w:val="24"/>
          <w:szCs w:val="24"/>
        </w:rPr>
      </w:pPr>
      <w:r>
        <w:rPr>
          <w:sz w:val="24"/>
          <w:szCs w:val="24"/>
        </w:rPr>
        <w:t>A</w:t>
      </w:r>
      <w:r w:rsidR="00C1159F" w:rsidRPr="0035356C">
        <w:rPr>
          <w:sz w:val="24"/>
          <w:szCs w:val="24"/>
        </w:rPr>
        <w:t xml:space="preserve">ppeal </w:t>
      </w:r>
      <w:r>
        <w:rPr>
          <w:sz w:val="24"/>
          <w:szCs w:val="24"/>
        </w:rPr>
        <w:t xml:space="preserve">heard by </w:t>
      </w:r>
      <w:r w:rsidR="00C1159F" w:rsidRPr="0035356C">
        <w:rPr>
          <w:sz w:val="24"/>
          <w:szCs w:val="24"/>
        </w:rPr>
        <w:t>t</w:t>
      </w:r>
      <w:r w:rsidR="00B736EE" w:rsidRPr="0035356C">
        <w:rPr>
          <w:sz w:val="24"/>
          <w:szCs w:val="24"/>
        </w:rPr>
        <w:t>he</w:t>
      </w:r>
      <w:r w:rsidR="008517BC" w:rsidRPr="0035356C">
        <w:rPr>
          <w:sz w:val="24"/>
          <w:szCs w:val="24"/>
        </w:rPr>
        <w:t xml:space="preserve"> Supreme Court of Canada </w:t>
      </w:r>
      <w:r w:rsidR="00D01B9F" w:rsidRPr="0035356C">
        <w:rPr>
          <w:sz w:val="24"/>
          <w:szCs w:val="24"/>
        </w:rPr>
        <w:t xml:space="preserve">(SCC) </w:t>
      </w:r>
      <w:r w:rsidR="008517BC" w:rsidRPr="0035356C">
        <w:rPr>
          <w:sz w:val="24"/>
          <w:szCs w:val="24"/>
        </w:rPr>
        <w:t xml:space="preserve">from the Court of Appeal </w:t>
      </w:r>
      <w:r w:rsidR="00664420" w:rsidRPr="0035356C">
        <w:rPr>
          <w:sz w:val="24"/>
          <w:szCs w:val="24"/>
        </w:rPr>
        <w:t xml:space="preserve">for Nova Scotia.  </w:t>
      </w:r>
    </w:p>
    <w:p w:rsidR="0085617A" w:rsidRPr="0035356C" w:rsidRDefault="0085617A" w:rsidP="0085617A">
      <w:pPr>
        <w:spacing w:after="0" w:line="360" w:lineRule="auto"/>
        <w:rPr>
          <w:sz w:val="16"/>
          <w:szCs w:val="16"/>
        </w:rPr>
      </w:pPr>
    </w:p>
    <w:p w:rsidR="00B92BED" w:rsidRPr="0035356C" w:rsidRDefault="00B92BED" w:rsidP="0085617A">
      <w:pPr>
        <w:spacing w:after="0" w:line="480" w:lineRule="auto"/>
        <w:rPr>
          <w:b/>
          <w:sz w:val="24"/>
          <w:szCs w:val="24"/>
        </w:rPr>
      </w:pPr>
      <w:r w:rsidRPr="0035356C">
        <w:rPr>
          <w:b/>
          <w:sz w:val="24"/>
          <w:szCs w:val="24"/>
        </w:rPr>
        <w:t>FACTS</w:t>
      </w:r>
    </w:p>
    <w:p w:rsidR="008517BC" w:rsidRPr="0035356C" w:rsidRDefault="008A479E" w:rsidP="00A425AA">
      <w:pPr>
        <w:pStyle w:val="ListParagraph"/>
        <w:numPr>
          <w:ilvl w:val="0"/>
          <w:numId w:val="3"/>
        </w:numPr>
        <w:spacing w:line="480" w:lineRule="auto"/>
        <w:rPr>
          <w:sz w:val="24"/>
          <w:szCs w:val="24"/>
        </w:rPr>
      </w:pPr>
      <w:r w:rsidRPr="0035356C">
        <w:rPr>
          <w:sz w:val="24"/>
          <w:szCs w:val="24"/>
        </w:rPr>
        <w:t xml:space="preserve">Halifax police responded to a noise complaint at </w:t>
      </w:r>
      <w:r w:rsidR="00A425AA" w:rsidRPr="0035356C">
        <w:rPr>
          <w:sz w:val="24"/>
          <w:szCs w:val="24"/>
        </w:rPr>
        <w:t xml:space="preserve">MacDonald’s </w:t>
      </w:r>
      <w:r w:rsidRPr="0035356C">
        <w:rPr>
          <w:sz w:val="24"/>
          <w:szCs w:val="24"/>
        </w:rPr>
        <w:t>home.</w:t>
      </w:r>
    </w:p>
    <w:p w:rsidR="008A479E" w:rsidRPr="0035356C" w:rsidRDefault="008A479E" w:rsidP="00A425AA">
      <w:pPr>
        <w:pStyle w:val="ListParagraph"/>
        <w:numPr>
          <w:ilvl w:val="0"/>
          <w:numId w:val="3"/>
        </w:numPr>
        <w:spacing w:line="480" w:lineRule="auto"/>
        <w:rPr>
          <w:sz w:val="24"/>
          <w:szCs w:val="24"/>
        </w:rPr>
      </w:pPr>
      <w:r w:rsidRPr="0035356C">
        <w:rPr>
          <w:sz w:val="24"/>
          <w:szCs w:val="24"/>
        </w:rPr>
        <w:t xml:space="preserve">When </w:t>
      </w:r>
      <w:r w:rsidR="00A425AA" w:rsidRPr="0035356C">
        <w:rPr>
          <w:sz w:val="24"/>
          <w:szCs w:val="24"/>
        </w:rPr>
        <w:t>MacDonald</w:t>
      </w:r>
      <w:r w:rsidRPr="0035356C">
        <w:rPr>
          <w:sz w:val="24"/>
          <w:szCs w:val="24"/>
        </w:rPr>
        <w:t xml:space="preserve"> opened the door, </w:t>
      </w:r>
      <w:r w:rsidR="00D46C1A" w:rsidRPr="0035356C">
        <w:rPr>
          <w:sz w:val="24"/>
          <w:szCs w:val="24"/>
        </w:rPr>
        <w:t xml:space="preserve">the </w:t>
      </w:r>
      <w:r w:rsidRPr="0035356C">
        <w:rPr>
          <w:sz w:val="24"/>
          <w:szCs w:val="24"/>
        </w:rPr>
        <w:t xml:space="preserve">police officer noticed </w:t>
      </w:r>
      <w:r w:rsidR="00A425AA" w:rsidRPr="0035356C">
        <w:rPr>
          <w:sz w:val="24"/>
          <w:szCs w:val="24"/>
        </w:rPr>
        <w:t xml:space="preserve">something </w:t>
      </w:r>
      <w:r w:rsidR="00C83D89" w:rsidRPr="0035356C">
        <w:rPr>
          <w:sz w:val="24"/>
          <w:szCs w:val="24"/>
        </w:rPr>
        <w:t>i</w:t>
      </w:r>
      <w:r w:rsidRPr="0035356C">
        <w:rPr>
          <w:sz w:val="24"/>
          <w:szCs w:val="24"/>
        </w:rPr>
        <w:t xml:space="preserve">n his right hand, which he </w:t>
      </w:r>
      <w:r w:rsidR="00C83D89" w:rsidRPr="0035356C">
        <w:rPr>
          <w:sz w:val="24"/>
          <w:szCs w:val="24"/>
        </w:rPr>
        <w:t>suspected</w:t>
      </w:r>
      <w:r w:rsidRPr="0035356C">
        <w:rPr>
          <w:sz w:val="24"/>
          <w:szCs w:val="24"/>
        </w:rPr>
        <w:t xml:space="preserve"> was a weapon.</w:t>
      </w:r>
    </w:p>
    <w:p w:rsidR="00C83D89" w:rsidRPr="0035356C" w:rsidRDefault="00FA090A" w:rsidP="00A425AA">
      <w:pPr>
        <w:pStyle w:val="ListParagraph"/>
        <w:numPr>
          <w:ilvl w:val="0"/>
          <w:numId w:val="3"/>
        </w:numPr>
        <w:spacing w:line="480" w:lineRule="auto"/>
        <w:rPr>
          <w:sz w:val="24"/>
          <w:szCs w:val="24"/>
        </w:rPr>
      </w:pPr>
      <w:r w:rsidRPr="0035356C">
        <w:rPr>
          <w:sz w:val="24"/>
          <w:szCs w:val="24"/>
        </w:rPr>
        <w:t xml:space="preserve">After </w:t>
      </w:r>
      <w:r w:rsidR="00A425AA" w:rsidRPr="0035356C">
        <w:rPr>
          <w:sz w:val="24"/>
          <w:szCs w:val="24"/>
        </w:rPr>
        <w:t xml:space="preserve">asking MacDonald what was </w:t>
      </w:r>
      <w:r w:rsidR="008A479E" w:rsidRPr="0035356C">
        <w:rPr>
          <w:sz w:val="24"/>
          <w:szCs w:val="24"/>
        </w:rPr>
        <w:t>in his</w:t>
      </w:r>
      <w:r w:rsidRPr="0035356C">
        <w:rPr>
          <w:sz w:val="24"/>
          <w:szCs w:val="24"/>
        </w:rPr>
        <w:t xml:space="preserve"> hand</w:t>
      </w:r>
      <w:r w:rsidR="00A425AA" w:rsidRPr="0035356C">
        <w:rPr>
          <w:sz w:val="24"/>
          <w:szCs w:val="24"/>
        </w:rPr>
        <w:t xml:space="preserve"> twice, </w:t>
      </w:r>
      <w:r w:rsidRPr="0035356C">
        <w:rPr>
          <w:sz w:val="24"/>
          <w:szCs w:val="24"/>
        </w:rPr>
        <w:t xml:space="preserve">and receiving no response, </w:t>
      </w:r>
      <w:r w:rsidR="00A425AA" w:rsidRPr="0035356C">
        <w:rPr>
          <w:sz w:val="24"/>
          <w:szCs w:val="24"/>
        </w:rPr>
        <w:t xml:space="preserve">the </w:t>
      </w:r>
      <w:r w:rsidRPr="0035356C">
        <w:rPr>
          <w:sz w:val="24"/>
          <w:szCs w:val="24"/>
        </w:rPr>
        <w:t>p</w:t>
      </w:r>
      <w:r w:rsidR="008A479E" w:rsidRPr="0035356C">
        <w:rPr>
          <w:sz w:val="24"/>
          <w:szCs w:val="24"/>
        </w:rPr>
        <w:t>olice officer pushed the door open a few more inches</w:t>
      </w:r>
      <w:r w:rsidRPr="0035356C">
        <w:rPr>
          <w:sz w:val="24"/>
          <w:szCs w:val="24"/>
        </w:rPr>
        <w:t xml:space="preserve"> and noticed </w:t>
      </w:r>
      <w:r w:rsidR="00C83D89" w:rsidRPr="0035356C">
        <w:rPr>
          <w:sz w:val="24"/>
          <w:szCs w:val="24"/>
        </w:rPr>
        <w:t>MacDonald was holding a gun.</w:t>
      </w:r>
    </w:p>
    <w:p w:rsidR="007E4896" w:rsidRPr="0035356C" w:rsidRDefault="00C83D89" w:rsidP="00A425AA">
      <w:pPr>
        <w:pStyle w:val="ListParagraph"/>
        <w:numPr>
          <w:ilvl w:val="0"/>
          <w:numId w:val="3"/>
        </w:numPr>
        <w:spacing w:line="480" w:lineRule="auto"/>
        <w:rPr>
          <w:sz w:val="24"/>
          <w:szCs w:val="24"/>
        </w:rPr>
      </w:pPr>
      <w:r w:rsidRPr="0035356C">
        <w:rPr>
          <w:sz w:val="24"/>
          <w:szCs w:val="24"/>
        </w:rPr>
        <w:t xml:space="preserve">MacDonald was </w:t>
      </w:r>
      <w:r w:rsidR="008A479E" w:rsidRPr="0035356C">
        <w:rPr>
          <w:sz w:val="24"/>
          <w:szCs w:val="24"/>
        </w:rPr>
        <w:t xml:space="preserve">charged </w:t>
      </w:r>
      <w:r w:rsidRPr="0035356C">
        <w:rPr>
          <w:sz w:val="24"/>
          <w:szCs w:val="24"/>
        </w:rPr>
        <w:t xml:space="preserve">and convicted </w:t>
      </w:r>
      <w:r w:rsidR="008A479E" w:rsidRPr="0035356C">
        <w:rPr>
          <w:sz w:val="24"/>
          <w:szCs w:val="24"/>
        </w:rPr>
        <w:t>under s</w:t>
      </w:r>
      <w:r w:rsidR="00D01B9F" w:rsidRPr="0035356C">
        <w:rPr>
          <w:sz w:val="24"/>
          <w:szCs w:val="24"/>
        </w:rPr>
        <w:t>s</w:t>
      </w:r>
      <w:r w:rsidR="008A479E" w:rsidRPr="0035356C">
        <w:rPr>
          <w:sz w:val="24"/>
          <w:szCs w:val="24"/>
        </w:rPr>
        <w:t xml:space="preserve">. </w:t>
      </w:r>
      <w:r w:rsidRPr="0035356C">
        <w:rPr>
          <w:sz w:val="24"/>
          <w:szCs w:val="24"/>
        </w:rPr>
        <w:t>86(1)</w:t>
      </w:r>
      <w:r w:rsidR="00647912" w:rsidRPr="0035356C">
        <w:rPr>
          <w:rStyle w:val="FootnoteReference"/>
          <w:sz w:val="24"/>
          <w:szCs w:val="24"/>
        </w:rPr>
        <w:footnoteReference w:id="2"/>
      </w:r>
      <w:r w:rsidRPr="0035356C">
        <w:rPr>
          <w:sz w:val="24"/>
          <w:szCs w:val="24"/>
        </w:rPr>
        <w:t>, 88(1)</w:t>
      </w:r>
      <w:r w:rsidR="00647912" w:rsidRPr="0035356C">
        <w:rPr>
          <w:rStyle w:val="FootnoteReference"/>
          <w:sz w:val="24"/>
          <w:szCs w:val="24"/>
        </w:rPr>
        <w:footnoteReference w:id="3"/>
      </w:r>
      <w:r w:rsidRPr="0035356C">
        <w:rPr>
          <w:sz w:val="24"/>
          <w:szCs w:val="24"/>
        </w:rPr>
        <w:t xml:space="preserve"> and 95(1)</w:t>
      </w:r>
      <w:r w:rsidR="00647912" w:rsidRPr="0035356C">
        <w:rPr>
          <w:rStyle w:val="FootnoteReference"/>
          <w:sz w:val="24"/>
          <w:szCs w:val="24"/>
        </w:rPr>
        <w:footnoteReference w:id="4"/>
      </w:r>
      <w:r w:rsidRPr="0035356C">
        <w:rPr>
          <w:sz w:val="24"/>
          <w:szCs w:val="24"/>
        </w:rPr>
        <w:t xml:space="preserve"> </w:t>
      </w:r>
      <w:r w:rsidR="00A425AA" w:rsidRPr="0035356C">
        <w:rPr>
          <w:sz w:val="24"/>
          <w:szCs w:val="24"/>
        </w:rPr>
        <w:t>of the Criminal Code of Canada and</w:t>
      </w:r>
      <w:r w:rsidRPr="0035356C">
        <w:rPr>
          <w:sz w:val="24"/>
          <w:szCs w:val="24"/>
        </w:rPr>
        <w:t xml:space="preserve"> sentenced to </w:t>
      </w:r>
      <w:r w:rsidR="00FA090A" w:rsidRPr="0035356C">
        <w:rPr>
          <w:sz w:val="24"/>
          <w:szCs w:val="24"/>
        </w:rPr>
        <w:t>3 year</w:t>
      </w:r>
      <w:r w:rsidRPr="0035356C">
        <w:rPr>
          <w:sz w:val="24"/>
          <w:szCs w:val="24"/>
        </w:rPr>
        <w:t>s in prison</w:t>
      </w:r>
      <w:r w:rsidR="00FA090A" w:rsidRPr="0035356C">
        <w:rPr>
          <w:sz w:val="24"/>
          <w:szCs w:val="24"/>
        </w:rPr>
        <w:t xml:space="preserve"> and a 10 year weapons prohibition.</w:t>
      </w:r>
    </w:p>
    <w:p w:rsidR="0085617A" w:rsidRPr="0035356C" w:rsidRDefault="00D46C1A" w:rsidP="0085617A">
      <w:pPr>
        <w:pStyle w:val="ListParagraph"/>
        <w:numPr>
          <w:ilvl w:val="0"/>
          <w:numId w:val="3"/>
        </w:numPr>
        <w:spacing w:after="0" w:line="360" w:lineRule="auto"/>
        <w:rPr>
          <w:sz w:val="24"/>
          <w:szCs w:val="24"/>
        </w:rPr>
      </w:pPr>
      <w:r w:rsidRPr="0035356C">
        <w:rPr>
          <w:sz w:val="24"/>
          <w:szCs w:val="24"/>
        </w:rPr>
        <w:t xml:space="preserve">Court of </w:t>
      </w:r>
      <w:r w:rsidR="00C83D89" w:rsidRPr="0035356C">
        <w:rPr>
          <w:sz w:val="24"/>
          <w:szCs w:val="24"/>
        </w:rPr>
        <w:t xml:space="preserve">Appeal </w:t>
      </w:r>
      <w:r w:rsidR="00FA090A" w:rsidRPr="0035356C">
        <w:rPr>
          <w:sz w:val="24"/>
          <w:szCs w:val="24"/>
        </w:rPr>
        <w:t>uph</w:t>
      </w:r>
      <w:r w:rsidRPr="0035356C">
        <w:rPr>
          <w:sz w:val="24"/>
          <w:szCs w:val="24"/>
        </w:rPr>
        <w:t>e</w:t>
      </w:r>
      <w:r w:rsidR="00FA090A" w:rsidRPr="0035356C">
        <w:rPr>
          <w:sz w:val="24"/>
          <w:szCs w:val="24"/>
        </w:rPr>
        <w:t>ld</w:t>
      </w:r>
      <w:r w:rsidRPr="0035356C">
        <w:rPr>
          <w:sz w:val="24"/>
          <w:szCs w:val="24"/>
        </w:rPr>
        <w:t xml:space="preserve"> the </w:t>
      </w:r>
      <w:r w:rsidR="00FA090A" w:rsidRPr="0035356C">
        <w:rPr>
          <w:sz w:val="24"/>
          <w:szCs w:val="24"/>
        </w:rPr>
        <w:t>convictions under ss. 86</w:t>
      </w:r>
      <w:r w:rsidR="00D01B9F" w:rsidRPr="0035356C">
        <w:rPr>
          <w:sz w:val="24"/>
          <w:szCs w:val="24"/>
        </w:rPr>
        <w:t>(1)</w:t>
      </w:r>
      <w:r w:rsidR="00FA090A" w:rsidRPr="0035356C">
        <w:rPr>
          <w:sz w:val="24"/>
          <w:szCs w:val="24"/>
        </w:rPr>
        <w:t xml:space="preserve"> and 88</w:t>
      </w:r>
      <w:r w:rsidR="00D01B9F" w:rsidRPr="0035356C">
        <w:rPr>
          <w:sz w:val="24"/>
          <w:szCs w:val="24"/>
        </w:rPr>
        <w:t>(1)</w:t>
      </w:r>
      <w:r w:rsidR="00C1159F" w:rsidRPr="0035356C">
        <w:rPr>
          <w:sz w:val="24"/>
          <w:szCs w:val="24"/>
        </w:rPr>
        <w:t xml:space="preserve">, </w:t>
      </w:r>
      <w:r w:rsidR="00D01B9F" w:rsidRPr="0035356C">
        <w:rPr>
          <w:sz w:val="24"/>
          <w:szCs w:val="24"/>
        </w:rPr>
        <w:t xml:space="preserve">but </w:t>
      </w:r>
      <w:r w:rsidRPr="0035356C">
        <w:rPr>
          <w:sz w:val="24"/>
          <w:szCs w:val="24"/>
        </w:rPr>
        <w:t>reduced</w:t>
      </w:r>
      <w:r w:rsidR="00C1159F" w:rsidRPr="0035356C">
        <w:rPr>
          <w:sz w:val="24"/>
          <w:szCs w:val="24"/>
        </w:rPr>
        <w:t xml:space="preserve"> the sentence</w:t>
      </w:r>
      <w:r w:rsidRPr="0035356C">
        <w:rPr>
          <w:sz w:val="24"/>
          <w:szCs w:val="24"/>
        </w:rPr>
        <w:t>.  The appeal under s. 95(1) was allowed.</w:t>
      </w:r>
    </w:p>
    <w:p w:rsidR="0085617A" w:rsidRPr="0035356C" w:rsidRDefault="0085617A" w:rsidP="0085617A">
      <w:pPr>
        <w:tabs>
          <w:tab w:val="left" w:pos="3420"/>
        </w:tabs>
        <w:spacing w:after="0" w:line="360" w:lineRule="auto"/>
        <w:rPr>
          <w:sz w:val="16"/>
          <w:szCs w:val="16"/>
        </w:rPr>
      </w:pPr>
    </w:p>
    <w:p w:rsidR="00B92BED" w:rsidRPr="0035356C" w:rsidRDefault="00B92BED" w:rsidP="0085617A">
      <w:pPr>
        <w:spacing w:after="0" w:line="480" w:lineRule="auto"/>
        <w:rPr>
          <w:b/>
          <w:sz w:val="24"/>
          <w:szCs w:val="24"/>
        </w:rPr>
      </w:pPr>
      <w:r w:rsidRPr="0035356C">
        <w:rPr>
          <w:b/>
          <w:sz w:val="24"/>
          <w:szCs w:val="24"/>
        </w:rPr>
        <w:t>ISSUES ON APPEAL</w:t>
      </w:r>
    </w:p>
    <w:p w:rsidR="00664420" w:rsidRPr="0035356C" w:rsidRDefault="00FA090A" w:rsidP="00A425AA">
      <w:pPr>
        <w:pStyle w:val="ListParagraph"/>
        <w:numPr>
          <w:ilvl w:val="0"/>
          <w:numId w:val="4"/>
        </w:numPr>
        <w:spacing w:line="480" w:lineRule="auto"/>
        <w:rPr>
          <w:sz w:val="24"/>
          <w:szCs w:val="24"/>
        </w:rPr>
      </w:pPr>
      <w:r w:rsidRPr="0035356C">
        <w:rPr>
          <w:sz w:val="24"/>
          <w:szCs w:val="24"/>
        </w:rPr>
        <w:t>Were</w:t>
      </w:r>
      <w:r w:rsidR="00664420" w:rsidRPr="0035356C">
        <w:rPr>
          <w:sz w:val="24"/>
          <w:szCs w:val="24"/>
        </w:rPr>
        <w:t xml:space="preserve"> MacDonald’s s. 8</w:t>
      </w:r>
      <w:r w:rsidR="00291206" w:rsidRPr="0035356C">
        <w:rPr>
          <w:b/>
          <w:sz w:val="24"/>
          <w:szCs w:val="24"/>
        </w:rPr>
        <w:t xml:space="preserve"> </w:t>
      </w:r>
      <w:r w:rsidR="00664420" w:rsidRPr="0035356C">
        <w:rPr>
          <w:i/>
          <w:sz w:val="24"/>
          <w:szCs w:val="24"/>
        </w:rPr>
        <w:t>Charter</w:t>
      </w:r>
      <w:r w:rsidR="00D01B9F" w:rsidRPr="0035356C">
        <w:rPr>
          <w:rStyle w:val="FootnoteReference"/>
          <w:i/>
          <w:sz w:val="24"/>
          <w:szCs w:val="24"/>
        </w:rPr>
        <w:footnoteReference w:id="5"/>
      </w:r>
      <w:r w:rsidR="00291206" w:rsidRPr="0035356C">
        <w:rPr>
          <w:i/>
          <w:sz w:val="24"/>
          <w:szCs w:val="24"/>
        </w:rPr>
        <w:t xml:space="preserve"> </w:t>
      </w:r>
      <w:r w:rsidR="00291206" w:rsidRPr="0035356C">
        <w:rPr>
          <w:sz w:val="24"/>
          <w:szCs w:val="24"/>
        </w:rPr>
        <w:t>rights</w:t>
      </w:r>
      <w:r w:rsidR="00664420" w:rsidRPr="0035356C">
        <w:rPr>
          <w:sz w:val="24"/>
          <w:szCs w:val="24"/>
        </w:rPr>
        <w:t xml:space="preserve"> violated and</w:t>
      </w:r>
      <w:r w:rsidR="00A425AA" w:rsidRPr="0035356C">
        <w:rPr>
          <w:sz w:val="24"/>
          <w:szCs w:val="24"/>
        </w:rPr>
        <w:t>,</w:t>
      </w:r>
      <w:r w:rsidR="00664420" w:rsidRPr="0035356C">
        <w:rPr>
          <w:sz w:val="24"/>
          <w:szCs w:val="24"/>
        </w:rPr>
        <w:t xml:space="preserve"> if </w:t>
      </w:r>
      <w:r w:rsidR="00C1159F" w:rsidRPr="0035356C">
        <w:rPr>
          <w:sz w:val="24"/>
          <w:szCs w:val="24"/>
        </w:rPr>
        <w:t>so</w:t>
      </w:r>
      <w:r w:rsidR="00A425AA" w:rsidRPr="0035356C">
        <w:rPr>
          <w:sz w:val="24"/>
          <w:szCs w:val="24"/>
        </w:rPr>
        <w:t>,</w:t>
      </w:r>
      <w:r w:rsidR="00664420" w:rsidRPr="0035356C">
        <w:rPr>
          <w:sz w:val="24"/>
          <w:szCs w:val="24"/>
        </w:rPr>
        <w:t xml:space="preserve"> what would be an appropriate remedy</w:t>
      </w:r>
      <w:r w:rsidRPr="0035356C">
        <w:rPr>
          <w:sz w:val="24"/>
          <w:szCs w:val="24"/>
        </w:rPr>
        <w:t>?</w:t>
      </w:r>
    </w:p>
    <w:p w:rsidR="00664420" w:rsidRPr="0035356C" w:rsidRDefault="00664420" w:rsidP="00A425AA">
      <w:pPr>
        <w:pStyle w:val="ListParagraph"/>
        <w:numPr>
          <w:ilvl w:val="0"/>
          <w:numId w:val="4"/>
        </w:numPr>
        <w:spacing w:line="480" w:lineRule="auto"/>
        <w:rPr>
          <w:sz w:val="24"/>
          <w:szCs w:val="24"/>
        </w:rPr>
      </w:pPr>
      <w:r w:rsidRPr="0035356C">
        <w:rPr>
          <w:sz w:val="24"/>
          <w:szCs w:val="24"/>
        </w:rPr>
        <w:t xml:space="preserve">Did the </w:t>
      </w:r>
      <w:proofErr w:type="spellStart"/>
      <w:r w:rsidRPr="0035356C">
        <w:rPr>
          <w:sz w:val="24"/>
          <w:szCs w:val="24"/>
        </w:rPr>
        <w:t>mens</w:t>
      </w:r>
      <w:proofErr w:type="spellEnd"/>
      <w:r w:rsidRPr="0035356C">
        <w:rPr>
          <w:sz w:val="24"/>
          <w:szCs w:val="24"/>
        </w:rPr>
        <w:t xml:space="preserve"> </w:t>
      </w:r>
      <w:proofErr w:type="spellStart"/>
      <w:r w:rsidRPr="0035356C">
        <w:rPr>
          <w:sz w:val="24"/>
          <w:szCs w:val="24"/>
        </w:rPr>
        <w:t>rea</w:t>
      </w:r>
      <w:proofErr w:type="spellEnd"/>
      <w:r w:rsidRPr="0035356C">
        <w:rPr>
          <w:sz w:val="24"/>
          <w:szCs w:val="24"/>
        </w:rPr>
        <w:t xml:space="preserve"> of the off</w:t>
      </w:r>
      <w:r w:rsidR="00A425AA" w:rsidRPr="0035356C">
        <w:rPr>
          <w:sz w:val="24"/>
          <w:szCs w:val="24"/>
        </w:rPr>
        <w:t>en</w:t>
      </w:r>
      <w:r w:rsidRPr="0035356C">
        <w:rPr>
          <w:sz w:val="24"/>
          <w:szCs w:val="24"/>
        </w:rPr>
        <w:t>ce, as is outlined i</w:t>
      </w:r>
      <w:r w:rsidR="00A425AA" w:rsidRPr="0035356C">
        <w:rPr>
          <w:sz w:val="24"/>
          <w:szCs w:val="24"/>
        </w:rPr>
        <w:t xml:space="preserve">n s. 95(1), </w:t>
      </w:r>
      <w:r w:rsidRPr="0035356C">
        <w:rPr>
          <w:sz w:val="24"/>
          <w:szCs w:val="24"/>
        </w:rPr>
        <w:t xml:space="preserve">include knowledge that </w:t>
      </w:r>
      <w:r w:rsidR="0055680F" w:rsidRPr="0035356C">
        <w:rPr>
          <w:sz w:val="24"/>
          <w:szCs w:val="24"/>
        </w:rPr>
        <w:t xml:space="preserve">firearms licence did not </w:t>
      </w:r>
      <w:r w:rsidRPr="0035356C">
        <w:rPr>
          <w:sz w:val="24"/>
          <w:szCs w:val="24"/>
        </w:rPr>
        <w:t xml:space="preserve">extend to </w:t>
      </w:r>
      <w:r w:rsidR="0055680F" w:rsidRPr="0035356C">
        <w:rPr>
          <w:sz w:val="24"/>
          <w:szCs w:val="24"/>
        </w:rPr>
        <w:t>Mac</w:t>
      </w:r>
      <w:r w:rsidR="00965E46" w:rsidRPr="0035356C">
        <w:rPr>
          <w:sz w:val="24"/>
          <w:szCs w:val="24"/>
        </w:rPr>
        <w:t>D</w:t>
      </w:r>
      <w:r w:rsidR="0055680F" w:rsidRPr="0035356C">
        <w:rPr>
          <w:sz w:val="24"/>
          <w:szCs w:val="24"/>
        </w:rPr>
        <w:t>onald’s Halifax</w:t>
      </w:r>
      <w:r w:rsidR="00965E46" w:rsidRPr="0035356C">
        <w:rPr>
          <w:sz w:val="24"/>
          <w:szCs w:val="24"/>
        </w:rPr>
        <w:t xml:space="preserve"> home</w:t>
      </w:r>
      <w:r w:rsidR="00C83D89" w:rsidRPr="0035356C">
        <w:rPr>
          <w:sz w:val="24"/>
          <w:szCs w:val="24"/>
        </w:rPr>
        <w:t>?</w:t>
      </w:r>
    </w:p>
    <w:p w:rsidR="00B92BED" w:rsidRPr="0035356C" w:rsidRDefault="00D46C1A" w:rsidP="00B92BED">
      <w:pPr>
        <w:pStyle w:val="ListParagraph"/>
        <w:numPr>
          <w:ilvl w:val="0"/>
          <w:numId w:val="4"/>
        </w:numPr>
        <w:spacing w:line="480" w:lineRule="auto"/>
        <w:rPr>
          <w:sz w:val="24"/>
          <w:szCs w:val="24"/>
        </w:rPr>
      </w:pPr>
      <w:r w:rsidRPr="0035356C">
        <w:rPr>
          <w:sz w:val="24"/>
          <w:szCs w:val="24"/>
        </w:rPr>
        <w:t xml:space="preserve">Should the sentences issued </w:t>
      </w:r>
      <w:r w:rsidR="00965E46" w:rsidRPr="0035356C">
        <w:rPr>
          <w:sz w:val="24"/>
          <w:szCs w:val="24"/>
        </w:rPr>
        <w:t xml:space="preserve">for the convictions </w:t>
      </w:r>
      <w:r w:rsidR="00664420" w:rsidRPr="0035356C">
        <w:rPr>
          <w:sz w:val="24"/>
          <w:szCs w:val="24"/>
        </w:rPr>
        <w:t>under s</w:t>
      </w:r>
      <w:r w:rsidR="00D01B9F" w:rsidRPr="0035356C">
        <w:rPr>
          <w:sz w:val="24"/>
          <w:szCs w:val="24"/>
        </w:rPr>
        <w:t>s</w:t>
      </w:r>
      <w:r w:rsidR="00664420" w:rsidRPr="0035356C">
        <w:rPr>
          <w:sz w:val="24"/>
          <w:szCs w:val="24"/>
        </w:rPr>
        <w:t xml:space="preserve">. 86(1) and 88(1) </w:t>
      </w:r>
      <w:r w:rsidR="00965E46" w:rsidRPr="0035356C">
        <w:rPr>
          <w:sz w:val="24"/>
          <w:szCs w:val="24"/>
        </w:rPr>
        <w:t xml:space="preserve">by the Court of Appeal </w:t>
      </w:r>
      <w:r w:rsidRPr="0035356C">
        <w:rPr>
          <w:sz w:val="24"/>
          <w:szCs w:val="24"/>
        </w:rPr>
        <w:t xml:space="preserve">be </w:t>
      </w:r>
      <w:r w:rsidR="00965E46" w:rsidRPr="0035356C">
        <w:rPr>
          <w:sz w:val="24"/>
          <w:szCs w:val="24"/>
        </w:rPr>
        <w:t>varied</w:t>
      </w:r>
      <w:r w:rsidR="00C83D89" w:rsidRPr="0035356C">
        <w:rPr>
          <w:sz w:val="24"/>
          <w:szCs w:val="24"/>
        </w:rPr>
        <w:t>?</w:t>
      </w:r>
    </w:p>
    <w:p w:rsidR="00B92BED" w:rsidRPr="0035356C" w:rsidRDefault="00B92BED" w:rsidP="0035356C">
      <w:pPr>
        <w:rPr>
          <w:sz w:val="24"/>
          <w:szCs w:val="24"/>
        </w:rPr>
      </w:pPr>
      <w:r w:rsidRPr="0035356C">
        <w:rPr>
          <w:b/>
          <w:sz w:val="24"/>
          <w:szCs w:val="24"/>
        </w:rPr>
        <w:lastRenderedPageBreak/>
        <w:t>JUDGEMENT</w:t>
      </w:r>
    </w:p>
    <w:p w:rsidR="00D75E4E" w:rsidRDefault="00A60ED7" w:rsidP="0085617A">
      <w:pPr>
        <w:spacing w:after="0" w:line="480" w:lineRule="auto"/>
        <w:rPr>
          <w:sz w:val="24"/>
          <w:szCs w:val="24"/>
        </w:rPr>
      </w:pPr>
      <w:r w:rsidRPr="0035356C">
        <w:rPr>
          <w:sz w:val="24"/>
          <w:szCs w:val="24"/>
        </w:rPr>
        <w:t xml:space="preserve">In delivering the court’s majority decision, </w:t>
      </w:r>
      <w:proofErr w:type="spellStart"/>
      <w:r w:rsidRPr="0035356C">
        <w:rPr>
          <w:sz w:val="24"/>
          <w:szCs w:val="24"/>
        </w:rPr>
        <w:t>LeBel</w:t>
      </w:r>
      <w:proofErr w:type="spellEnd"/>
      <w:r w:rsidRPr="0035356C">
        <w:rPr>
          <w:sz w:val="24"/>
          <w:szCs w:val="24"/>
        </w:rPr>
        <w:t>, J.</w:t>
      </w:r>
      <w:r w:rsidR="0055680F" w:rsidRPr="0035356C">
        <w:rPr>
          <w:sz w:val="24"/>
          <w:szCs w:val="24"/>
        </w:rPr>
        <w:t>,</w:t>
      </w:r>
      <w:r w:rsidR="00965E46" w:rsidRPr="0035356C">
        <w:rPr>
          <w:sz w:val="24"/>
          <w:szCs w:val="24"/>
        </w:rPr>
        <w:t xml:space="preserve"> speaking for</w:t>
      </w:r>
      <w:r w:rsidR="0055680F" w:rsidRPr="0035356C">
        <w:rPr>
          <w:sz w:val="24"/>
          <w:szCs w:val="24"/>
        </w:rPr>
        <w:t xml:space="preserve"> </w:t>
      </w:r>
      <w:proofErr w:type="spellStart"/>
      <w:r w:rsidRPr="0035356C">
        <w:rPr>
          <w:sz w:val="24"/>
          <w:szCs w:val="24"/>
        </w:rPr>
        <w:t>McLachlin</w:t>
      </w:r>
      <w:proofErr w:type="spellEnd"/>
      <w:r w:rsidRPr="0035356C">
        <w:rPr>
          <w:sz w:val="24"/>
          <w:szCs w:val="24"/>
        </w:rPr>
        <w:t xml:space="preserve">, C.J., Fish and </w:t>
      </w:r>
      <w:proofErr w:type="spellStart"/>
      <w:r w:rsidRPr="0035356C">
        <w:rPr>
          <w:sz w:val="24"/>
          <w:szCs w:val="24"/>
        </w:rPr>
        <w:t>Abella</w:t>
      </w:r>
      <w:proofErr w:type="spellEnd"/>
      <w:r w:rsidRPr="0035356C">
        <w:rPr>
          <w:sz w:val="24"/>
          <w:szCs w:val="24"/>
        </w:rPr>
        <w:t xml:space="preserve"> JJ</w:t>
      </w:r>
      <w:r w:rsidR="0026358A" w:rsidRPr="0035356C">
        <w:rPr>
          <w:sz w:val="24"/>
          <w:szCs w:val="24"/>
        </w:rPr>
        <w:t xml:space="preserve">., </w:t>
      </w:r>
      <w:r w:rsidR="00A70FDA" w:rsidRPr="0035356C">
        <w:rPr>
          <w:sz w:val="24"/>
          <w:szCs w:val="24"/>
        </w:rPr>
        <w:t xml:space="preserve">ruled </w:t>
      </w:r>
      <w:r w:rsidRPr="0035356C">
        <w:rPr>
          <w:sz w:val="24"/>
          <w:szCs w:val="24"/>
        </w:rPr>
        <w:t xml:space="preserve">that MacDonald’s s. 8 </w:t>
      </w:r>
      <w:r w:rsidR="00965E46" w:rsidRPr="0035356C">
        <w:rPr>
          <w:i/>
          <w:sz w:val="24"/>
          <w:szCs w:val="24"/>
        </w:rPr>
        <w:t>Charter</w:t>
      </w:r>
      <w:r w:rsidR="00965E46" w:rsidRPr="0035356C">
        <w:rPr>
          <w:sz w:val="24"/>
          <w:szCs w:val="24"/>
        </w:rPr>
        <w:t xml:space="preserve"> r</w:t>
      </w:r>
      <w:r w:rsidRPr="0035356C">
        <w:rPr>
          <w:sz w:val="24"/>
          <w:szCs w:val="24"/>
        </w:rPr>
        <w:t xml:space="preserve">ights were not violated.  </w:t>
      </w:r>
      <w:r w:rsidR="0055680F" w:rsidRPr="0035356C">
        <w:rPr>
          <w:sz w:val="24"/>
          <w:szCs w:val="24"/>
        </w:rPr>
        <w:t>In applying</w:t>
      </w:r>
      <w:r w:rsidR="0055680F" w:rsidRPr="0035356C">
        <w:rPr>
          <w:b/>
          <w:sz w:val="24"/>
          <w:szCs w:val="24"/>
        </w:rPr>
        <w:t xml:space="preserve"> </w:t>
      </w:r>
      <w:r w:rsidRPr="0035356C">
        <w:rPr>
          <w:sz w:val="24"/>
          <w:szCs w:val="24"/>
        </w:rPr>
        <w:t xml:space="preserve">the decision </w:t>
      </w:r>
      <w:r w:rsidRPr="0035356C">
        <w:rPr>
          <w:i/>
          <w:sz w:val="24"/>
          <w:szCs w:val="24"/>
        </w:rPr>
        <w:t xml:space="preserve">in </w:t>
      </w:r>
      <w:r w:rsidR="005B09F4" w:rsidRPr="0035356C">
        <w:rPr>
          <w:i/>
          <w:sz w:val="24"/>
          <w:szCs w:val="24"/>
        </w:rPr>
        <w:t xml:space="preserve">R v </w:t>
      </w:r>
      <w:r w:rsidRPr="0035356C">
        <w:rPr>
          <w:i/>
          <w:sz w:val="24"/>
          <w:szCs w:val="24"/>
        </w:rPr>
        <w:t>Mann (2004) 3 SCR 59</w:t>
      </w:r>
      <w:r w:rsidR="002D2172" w:rsidRPr="0035356C">
        <w:rPr>
          <w:rStyle w:val="FootnoteReference"/>
          <w:sz w:val="24"/>
          <w:szCs w:val="24"/>
        </w:rPr>
        <w:footnoteReference w:id="6"/>
      </w:r>
      <w:r w:rsidRPr="0035356C">
        <w:rPr>
          <w:sz w:val="24"/>
          <w:szCs w:val="24"/>
        </w:rPr>
        <w:t xml:space="preserve">, which </w:t>
      </w:r>
      <w:r w:rsidR="005B09F4" w:rsidRPr="0035356C">
        <w:rPr>
          <w:sz w:val="24"/>
          <w:szCs w:val="24"/>
        </w:rPr>
        <w:t>used the Collin’s Test</w:t>
      </w:r>
      <w:r w:rsidR="002D2172" w:rsidRPr="0035356C">
        <w:rPr>
          <w:rStyle w:val="FootnoteReference"/>
          <w:sz w:val="24"/>
          <w:szCs w:val="24"/>
        </w:rPr>
        <w:footnoteReference w:id="7"/>
      </w:r>
      <w:r w:rsidR="0055680F" w:rsidRPr="0035356C">
        <w:rPr>
          <w:sz w:val="24"/>
          <w:szCs w:val="24"/>
        </w:rPr>
        <w:t>,</w:t>
      </w:r>
      <w:r w:rsidR="0055680F" w:rsidRPr="0035356C">
        <w:rPr>
          <w:b/>
          <w:sz w:val="24"/>
          <w:szCs w:val="24"/>
        </w:rPr>
        <w:t xml:space="preserve"> </w:t>
      </w:r>
      <w:r w:rsidR="0055680F" w:rsidRPr="0035356C">
        <w:rPr>
          <w:sz w:val="24"/>
          <w:szCs w:val="24"/>
        </w:rPr>
        <w:t>t</w:t>
      </w:r>
      <w:r w:rsidR="00782267" w:rsidRPr="0035356C">
        <w:rPr>
          <w:sz w:val="24"/>
          <w:szCs w:val="24"/>
        </w:rPr>
        <w:t xml:space="preserve">he court ruled that </w:t>
      </w:r>
      <w:r w:rsidR="005B09F4" w:rsidRPr="0035356C">
        <w:rPr>
          <w:sz w:val="24"/>
          <w:szCs w:val="24"/>
        </w:rPr>
        <w:t xml:space="preserve">the </w:t>
      </w:r>
      <w:r w:rsidR="00B92BED" w:rsidRPr="0035356C">
        <w:rPr>
          <w:sz w:val="24"/>
          <w:szCs w:val="24"/>
        </w:rPr>
        <w:t xml:space="preserve">security </w:t>
      </w:r>
      <w:r w:rsidR="005B09F4" w:rsidRPr="0035356C">
        <w:rPr>
          <w:sz w:val="24"/>
          <w:szCs w:val="24"/>
        </w:rPr>
        <w:t>search was reasonable because both stages of</w:t>
      </w:r>
      <w:r w:rsidR="00A70FDA" w:rsidRPr="0035356C">
        <w:rPr>
          <w:sz w:val="24"/>
          <w:szCs w:val="24"/>
        </w:rPr>
        <w:t xml:space="preserve"> the</w:t>
      </w:r>
      <w:r w:rsidR="005B09F4" w:rsidRPr="0035356C">
        <w:rPr>
          <w:sz w:val="24"/>
          <w:szCs w:val="24"/>
        </w:rPr>
        <w:t xml:space="preserve"> </w:t>
      </w:r>
      <w:proofErr w:type="spellStart"/>
      <w:r w:rsidR="005B09F4" w:rsidRPr="0035356C">
        <w:rPr>
          <w:sz w:val="24"/>
          <w:szCs w:val="24"/>
        </w:rPr>
        <w:t>Waterfield</w:t>
      </w:r>
      <w:proofErr w:type="spellEnd"/>
      <w:r w:rsidR="005B09F4" w:rsidRPr="0035356C">
        <w:rPr>
          <w:sz w:val="24"/>
          <w:szCs w:val="24"/>
        </w:rPr>
        <w:t xml:space="preserve"> Test</w:t>
      </w:r>
      <w:r w:rsidR="006269A2" w:rsidRPr="0035356C">
        <w:rPr>
          <w:rStyle w:val="FootnoteReference"/>
          <w:sz w:val="24"/>
          <w:szCs w:val="24"/>
        </w:rPr>
        <w:footnoteReference w:id="8"/>
      </w:r>
      <w:r w:rsidR="0095174C" w:rsidRPr="0035356C">
        <w:rPr>
          <w:sz w:val="24"/>
          <w:szCs w:val="24"/>
        </w:rPr>
        <w:t>,</w:t>
      </w:r>
      <w:r w:rsidR="005B09F4" w:rsidRPr="0035356C">
        <w:rPr>
          <w:sz w:val="24"/>
          <w:szCs w:val="24"/>
        </w:rPr>
        <w:t xml:space="preserve"> </w:t>
      </w:r>
      <w:r w:rsidR="0095174C" w:rsidRPr="0035356C">
        <w:rPr>
          <w:sz w:val="24"/>
          <w:szCs w:val="24"/>
        </w:rPr>
        <w:t xml:space="preserve">as was set out by the SCC in </w:t>
      </w:r>
      <w:proofErr w:type="spellStart"/>
      <w:r w:rsidR="0095174C" w:rsidRPr="0035356C">
        <w:rPr>
          <w:i/>
          <w:sz w:val="24"/>
          <w:szCs w:val="24"/>
        </w:rPr>
        <w:t>Dedman</w:t>
      </w:r>
      <w:proofErr w:type="spellEnd"/>
      <w:r w:rsidR="0095174C" w:rsidRPr="0035356C">
        <w:rPr>
          <w:i/>
          <w:sz w:val="24"/>
          <w:szCs w:val="24"/>
        </w:rPr>
        <w:t xml:space="preserve"> v the Queen, [1985] 2 S.C .R 2</w:t>
      </w:r>
      <w:r w:rsidR="0095174C" w:rsidRPr="0035356C">
        <w:rPr>
          <w:rStyle w:val="FootnoteReference"/>
          <w:sz w:val="24"/>
          <w:szCs w:val="24"/>
        </w:rPr>
        <w:footnoteReference w:id="9"/>
      </w:r>
      <w:r w:rsidR="0095174C" w:rsidRPr="0035356C">
        <w:rPr>
          <w:sz w:val="24"/>
          <w:szCs w:val="24"/>
        </w:rPr>
        <w:t xml:space="preserve">, </w:t>
      </w:r>
      <w:r w:rsidR="005B09F4" w:rsidRPr="0035356C">
        <w:rPr>
          <w:sz w:val="24"/>
          <w:szCs w:val="24"/>
        </w:rPr>
        <w:t xml:space="preserve">were satisfied.  </w:t>
      </w:r>
      <w:r w:rsidR="00C83D89" w:rsidRPr="0035356C">
        <w:rPr>
          <w:sz w:val="24"/>
          <w:szCs w:val="24"/>
        </w:rPr>
        <w:t>T</w:t>
      </w:r>
      <w:r w:rsidR="0026358A" w:rsidRPr="0035356C">
        <w:rPr>
          <w:sz w:val="24"/>
          <w:szCs w:val="24"/>
        </w:rPr>
        <w:t xml:space="preserve">he action of the </w:t>
      </w:r>
      <w:r w:rsidR="00B92BED" w:rsidRPr="0035356C">
        <w:rPr>
          <w:sz w:val="24"/>
          <w:szCs w:val="24"/>
        </w:rPr>
        <w:t xml:space="preserve">security </w:t>
      </w:r>
      <w:r w:rsidR="0026358A" w:rsidRPr="0035356C">
        <w:rPr>
          <w:sz w:val="24"/>
          <w:szCs w:val="24"/>
        </w:rPr>
        <w:t xml:space="preserve">search fell within the scope of the </w:t>
      </w:r>
      <w:r w:rsidR="008F74E1" w:rsidRPr="0035356C">
        <w:rPr>
          <w:sz w:val="24"/>
          <w:szCs w:val="24"/>
        </w:rPr>
        <w:t xml:space="preserve">common law that gives police the </w:t>
      </w:r>
      <w:r w:rsidR="0026358A" w:rsidRPr="0035356C">
        <w:rPr>
          <w:sz w:val="24"/>
          <w:szCs w:val="24"/>
        </w:rPr>
        <w:t>duty to protect life and safety</w:t>
      </w:r>
      <w:r w:rsidR="008F74E1" w:rsidRPr="0035356C">
        <w:rPr>
          <w:sz w:val="24"/>
          <w:szCs w:val="24"/>
        </w:rPr>
        <w:t xml:space="preserve">.  </w:t>
      </w:r>
      <w:r w:rsidR="00C83D89" w:rsidRPr="0035356C">
        <w:rPr>
          <w:sz w:val="24"/>
          <w:szCs w:val="24"/>
        </w:rPr>
        <w:t>The</w:t>
      </w:r>
      <w:r w:rsidR="00782267" w:rsidRPr="0035356C">
        <w:rPr>
          <w:sz w:val="24"/>
          <w:szCs w:val="24"/>
        </w:rPr>
        <w:t>y ruled that</w:t>
      </w:r>
      <w:r w:rsidR="008F74E1" w:rsidRPr="0035356C">
        <w:rPr>
          <w:sz w:val="24"/>
          <w:szCs w:val="24"/>
        </w:rPr>
        <w:t xml:space="preserve"> the action was justified as the police believed </w:t>
      </w:r>
      <w:r w:rsidR="001B7A7B" w:rsidRPr="0035356C">
        <w:rPr>
          <w:sz w:val="24"/>
          <w:szCs w:val="24"/>
        </w:rPr>
        <w:t>there was a threat</w:t>
      </w:r>
      <w:r w:rsidR="00782267" w:rsidRPr="0035356C">
        <w:rPr>
          <w:sz w:val="24"/>
          <w:szCs w:val="24"/>
        </w:rPr>
        <w:t xml:space="preserve"> present, </w:t>
      </w:r>
      <w:r w:rsidR="008F74E1" w:rsidRPr="0035356C">
        <w:rPr>
          <w:sz w:val="24"/>
          <w:szCs w:val="24"/>
        </w:rPr>
        <w:t>and acting on th</w:t>
      </w:r>
      <w:r w:rsidR="00B92BED" w:rsidRPr="0035356C">
        <w:rPr>
          <w:sz w:val="24"/>
          <w:szCs w:val="24"/>
        </w:rPr>
        <w:t>at duty</w:t>
      </w:r>
      <w:r w:rsidR="008F74E1" w:rsidRPr="0035356C">
        <w:rPr>
          <w:sz w:val="24"/>
          <w:szCs w:val="24"/>
        </w:rPr>
        <w:t xml:space="preserve">, </w:t>
      </w:r>
      <w:r w:rsidR="00B92BED" w:rsidRPr="0035356C">
        <w:rPr>
          <w:sz w:val="24"/>
          <w:szCs w:val="24"/>
        </w:rPr>
        <w:t>appropriate action was taken.</w:t>
      </w:r>
    </w:p>
    <w:p w:rsidR="0035356C" w:rsidRPr="0035356C" w:rsidRDefault="0035356C" w:rsidP="0085617A">
      <w:pPr>
        <w:spacing w:after="0" w:line="480" w:lineRule="auto"/>
        <w:rPr>
          <w:sz w:val="16"/>
          <w:szCs w:val="16"/>
        </w:rPr>
      </w:pPr>
    </w:p>
    <w:p w:rsidR="00782267" w:rsidRDefault="00B92BED" w:rsidP="0085617A">
      <w:pPr>
        <w:spacing w:after="0" w:line="480" w:lineRule="auto"/>
        <w:rPr>
          <w:sz w:val="24"/>
          <w:szCs w:val="24"/>
        </w:rPr>
      </w:pPr>
      <w:r w:rsidRPr="0035356C">
        <w:rPr>
          <w:sz w:val="24"/>
          <w:szCs w:val="24"/>
        </w:rPr>
        <w:t>T</w:t>
      </w:r>
      <w:r w:rsidR="008F74E1" w:rsidRPr="0035356C">
        <w:rPr>
          <w:sz w:val="24"/>
          <w:szCs w:val="24"/>
        </w:rPr>
        <w:t>he police officer had reasonable grounds to believe that there was an imminent threat to the public and police safety and as such</w:t>
      </w:r>
      <w:r w:rsidR="00D01B9F" w:rsidRPr="0035356C">
        <w:rPr>
          <w:sz w:val="24"/>
          <w:szCs w:val="24"/>
        </w:rPr>
        <w:t>,</w:t>
      </w:r>
      <w:r w:rsidR="008F74E1" w:rsidRPr="0035356C">
        <w:rPr>
          <w:sz w:val="24"/>
          <w:szCs w:val="24"/>
        </w:rPr>
        <w:t xml:space="preserve"> the </w:t>
      </w:r>
      <w:r w:rsidRPr="0035356C">
        <w:rPr>
          <w:sz w:val="24"/>
          <w:szCs w:val="24"/>
        </w:rPr>
        <w:t xml:space="preserve">security </w:t>
      </w:r>
      <w:r w:rsidR="008F74E1" w:rsidRPr="0035356C">
        <w:rPr>
          <w:sz w:val="24"/>
          <w:szCs w:val="24"/>
        </w:rPr>
        <w:t xml:space="preserve">search was necessary to eliminate that threat.  The police action of opening the door further to identify the threat was also </w:t>
      </w:r>
      <w:r w:rsidR="00782267" w:rsidRPr="0035356C">
        <w:rPr>
          <w:sz w:val="24"/>
          <w:szCs w:val="24"/>
        </w:rPr>
        <w:t xml:space="preserve">considered </w:t>
      </w:r>
      <w:r w:rsidR="008F74E1" w:rsidRPr="0035356C">
        <w:rPr>
          <w:sz w:val="24"/>
          <w:szCs w:val="24"/>
        </w:rPr>
        <w:t>reasonable</w:t>
      </w:r>
      <w:r w:rsidR="00782267" w:rsidRPr="0035356C">
        <w:rPr>
          <w:sz w:val="24"/>
          <w:szCs w:val="24"/>
        </w:rPr>
        <w:t>,</w:t>
      </w:r>
      <w:r w:rsidR="008F74E1" w:rsidRPr="0035356C">
        <w:rPr>
          <w:sz w:val="24"/>
          <w:szCs w:val="24"/>
        </w:rPr>
        <w:t xml:space="preserve"> the door was only </w:t>
      </w:r>
      <w:r w:rsidR="0055680F" w:rsidRPr="0035356C">
        <w:rPr>
          <w:sz w:val="24"/>
          <w:szCs w:val="24"/>
        </w:rPr>
        <w:t xml:space="preserve">opened </w:t>
      </w:r>
      <w:r w:rsidR="008F74E1" w:rsidRPr="0035356C">
        <w:rPr>
          <w:sz w:val="24"/>
          <w:szCs w:val="24"/>
        </w:rPr>
        <w:t xml:space="preserve">to the extent that </w:t>
      </w:r>
      <w:r w:rsidR="0055680F" w:rsidRPr="0035356C">
        <w:rPr>
          <w:sz w:val="24"/>
          <w:szCs w:val="24"/>
        </w:rPr>
        <w:t>was required to confirm whether</w:t>
      </w:r>
      <w:r w:rsidR="00782267" w:rsidRPr="0035356C">
        <w:rPr>
          <w:sz w:val="24"/>
          <w:szCs w:val="24"/>
        </w:rPr>
        <w:t xml:space="preserve"> a threat existed.  </w:t>
      </w:r>
    </w:p>
    <w:p w:rsidR="0035356C" w:rsidRPr="0035356C" w:rsidRDefault="0035356C" w:rsidP="0085617A">
      <w:pPr>
        <w:spacing w:after="0" w:line="480" w:lineRule="auto"/>
        <w:rPr>
          <w:sz w:val="16"/>
          <w:szCs w:val="16"/>
        </w:rPr>
      </w:pPr>
    </w:p>
    <w:p w:rsidR="008F74E1" w:rsidRDefault="00782267" w:rsidP="0085617A">
      <w:pPr>
        <w:spacing w:after="0" w:line="480" w:lineRule="auto"/>
        <w:rPr>
          <w:sz w:val="24"/>
          <w:szCs w:val="24"/>
        </w:rPr>
      </w:pPr>
      <w:r w:rsidRPr="0035356C">
        <w:rPr>
          <w:sz w:val="24"/>
          <w:szCs w:val="24"/>
        </w:rPr>
        <w:t>On the issue</w:t>
      </w:r>
      <w:r w:rsidR="008F74E1" w:rsidRPr="0035356C">
        <w:rPr>
          <w:sz w:val="24"/>
          <w:szCs w:val="24"/>
        </w:rPr>
        <w:t xml:space="preserve"> of the Crown</w:t>
      </w:r>
      <w:r w:rsidR="00CE4935" w:rsidRPr="0035356C">
        <w:rPr>
          <w:sz w:val="24"/>
          <w:szCs w:val="24"/>
        </w:rPr>
        <w:t>’s</w:t>
      </w:r>
      <w:r w:rsidR="008F74E1" w:rsidRPr="0035356C">
        <w:rPr>
          <w:sz w:val="24"/>
          <w:szCs w:val="24"/>
        </w:rPr>
        <w:t xml:space="preserve"> appeal </w:t>
      </w:r>
      <w:r w:rsidR="00CE4935" w:rsidRPr="0035356C">
        <w:rPr>
          <w:sz w:val="24"/>
          <w:szCs w:val="24"/>
        </w:rPr>
        <w:t>o</w:t>
      </w:r>
      <w:r w:rsidR="008F74E1" w:rsidRPr="0035356C">
        <w:rPr>
          <w:sz w:val="24"/>
          <w:szCs w:val="24"/>
        </w:rPr>
        <w:t xml:space="preserve">f the s. 95(1) </w:t>
      </w:r>
      <w:r w:rsidR="00CE4935" w:rsidRPr="0035356C">
        <w:rPr>
          <w:sz w:val="24"/>
          <w:szCs w:val="24"/>
        </w:rPr>
        <w:t xml:space="preserve">decision by the </w:t>
      </w:r>
      <w:r w:rsidR="00D01B9F" w:rsidRPr="0035356C">
        <w:rPr>
          <w:sz w:val="24"/>
          <w:szCs w:val="24"/>
        </w:rPr>
        <w:t xml:space="preserve">Court of </w:t>
      </w:r>
      <w:r w:rsidR="00A70FDA" w:rsidRPr="0035356C">
        <w:rPr>
          <w:sz w:val="24"/>
          <w:szCs w:val="24"/>
        </w:rPr>
        <w:t>A</w:t>
      </w:r>
      <w:r w:rsidR="00CE4935" w:rsidRPr="0035356C">
        <w:rPr>
          <w:sz w:val="24"/>
          <w:szCs w:val="24"/>
        </w:rPr>
        <w:t>ppeal, the</w:t>
      </w:r>
      <w:r w:rsidR="00D01B9F" w:rsidRPr="0035356C">
        <w:rPr>
          <w:sz w:val="24"/>
          <w:szCs w:val="24"/>
        </w:rPr>
        <w:t xml:space="preserve"> Court</w:t>
      </w:r>
      <w:r w:rsidR="00CE4935" w:rsidRPr="0035356C">
        <w:rPr>
          <w:sz w:val="24"/>
          <w:szCs w:val="24"/>
        </w:rPr>
        <w:t xml:space="preserve"> ruled that as a </w:t>
      </w:r>
      <w:proofErr w:type="spellStart"/>
      <w:r w:rsidR="00CE4935" w:rsidRPr="0035356C">
        <w:rPr>
          <w:sz w:val="24"/>
          <w:szCs w:val="24"/>
        </w:rPr>
        <w:t>mens</w:t>
      </w:r>
      <w:proofErr w:type="spellEnd"/>
      <w:r w:rsidR="00CE4935" w:rsidRPr="0035356C">
        <w:rPr>
          <w:sz w:val="24"/>
          <w:szCs w:val="24"/>
        </w:rPr>
        <w:t xml:space="preserve"> </w:t>
      </w:r>
      <w:proofErr w:type="spellStart"/>
      <w:r w:rsidR="00CE4935" w:rsidRPr="0035356C">
        <w:rPr>
          <w:sz w:val="24"/>
          <w:szCs w:val="24"/>
        </w:rPr>
        <w:t>rea</w:t>
      </w:r>
      <w:proofErr w:type="spellEnd"/>
      <w:r w:rsidR="00CE4935" w:rsidRPr="0035356C">
        <w:rPr>
          <w:sz w:val="24"/>
          <w:szCs w:val="24"/>
        </w:rPr>
        <w:t xml:space="preserve"> offence, the </w:t>
      </w:r>
      <w:r w:rsidR="00D01B9F" w:rsidRPr="0035356C">
        <w:rPr>
          <w:sz w:val="24"/>
          <w:szCs w:val="24"/>
        </w:rPr>
        <w:t xml:space="preserve">Court of Appeal’s </w:t>
      </w:r>
      <w:r w:rsidR="00CE4935" w:rsidRPr="0035356C">
        <w:rPr>
          <w:sz w:val="24"/>
          <w:szCs w:val="24"/>
        </w:rPr>
        <w:t>ruling that the Crown would be requi</w:t>
      </w:r>
      <w:r w:rsidR="0055680F" w:rsidRPr="0035356C">
        <w:rPr>
          <w:sz w:val="24"/>
          <w:szCs w:val="24"/>
        </w:rPr>
        <w:t>r</w:t>
      </w:r>
      <w:r w:rsidR="00D01B9F" w:rsidRPr="0035356C">
        <w:rPr>
          <w:sz w:val="24"/>
          <w:szCs w:val="24"/>
        </w:rPr>
        <w:t xml:space="preserve">ed to prove MacDonald knew </w:t>
      </w:r>
      <w:r w:rsidR="0055680F" w:rsidRPr="0035356C">
        <w:rPr>
          <w:sz w:val="24"/>
          <w:szCs w:val="24"/>
        </w:rPr>
        <w:t xml:space="preserve">his gun licence did not extend to his residence in Halifax, was inconsistent with the rule </w:t>
      </w:r>
      <w:r w:rsidR="0095174C" w:rsidRPr="0035356C">
        <w:rPr>
          <w:sz w:val="24"/>
          <w:szCs w:val="24"/>
        </w:rPr>
        <w:t>“</w:t>
      </w:r>
      <w:r w:rsidR="00CE4935" w:rsidRPr="0035356C">
        <w:rPr>
          <w:sz w:val="24"/>
          <w:szCs w:val="24"/>
        </w:rPr>
        <w:t>ignorance of the law is no excuse</w:t>
      </w:r>
      <w:r w:rsidR="0095174C" w:rsidRPr="0035356C">
        <w:rPr>
          <w:sz w:val="24"/>
          <w:szCs w:val="24"/>
        </w:rPr>
        <w:t>”</w:t>
      </w:r>
      <w:r w:rsidR="00D01B9F" w:rsidRPr="0035356C">
        <w:rPr>
          <w:rStyle w:val="FootnoteReference"/>
          <w:sz w:val="24"/>
          <w:szCs w:val="24"/>
        </w:rPr>
        <w:footnoteReference w:id="10"/>
      </w:r>
      <w:r w:rsidR="00CE4935" w:rsidRPr="0035356C">
        <w:rPr>
          <w:sz w:val="24"/>
          <w:szCs w:val="24"/>
        </w:rPr>
        <w:t xml:space="preserve">.  As such, the </w:t>
      </w:r>
      <w:r w:rsidR="0055680F" w:rsidRPr="0035356C">
        <w:rPr>
          <w:sz w:val="24"/>
          <w:szCs w:val="24"/>
        </w:rPr>
        <w:t>court</w:t>
      </w:r>
      <w:r w:rsidR="00CE4935" w:rsidRPr="0035356C">
        <w:rPr>
          <w:sz w:val="24"/>
          <w:szCs w:val="24"/>
        </w:rPr>
        <w:t xml:space="preserve"> allowed the Crown’s appeal. </w:t>
      </w:r>
    </w:p>
    <w:p w:rsidR="0035356C" w:rsidRPr="0035356C" w:rsidRDefault="0035356C" w:rsidP="0085617A">
      <w:pPr>
        <w:spacing w:after="0" w:line="480" w:lineRule="auto"/>
        <w:rPr>
          <w:sz w:val="16"/>
          <w:szCs w:val="16"/>
        </w:rPr>
      </w:pPr>
    </w:p>
    <w:p w:rsidR="00CE4935" w:rsidRDefault="00782267" w:rsidP="0085617A">
      <w:pPr>
        <w:spacing w:after="0" w:line="480" w:lineRule="auto"/>
        <w:rPr>
          <w:sz w:val="24"/>
          <w:szCs w:val="24"/>
        </w:rPr>
      </w:pPr>
      <w:r w:rsidRPr="0035356C">
        <w:rPr>
          <w:sz w:val="24"/>
          <w:szCs w:val="24"/>
        </w:rPr>
        <w:t xml:space="preserve">In </w:t>
      </w:r>
      <w:r w:rsidR="00D01B9F" w:rsidRPr="0035356C">
        <w:rPr>
          <w:sz w:val="24"/>
          <w:szCs w:val="24"/>
        </w:rPr>
        <w:t>the final issue on appeal, the C</w:t>
      </w:r>
      <w:r w:rsidRPr="0035356C">
        <w:rPr>
          <w:sz w:val="24"/>
          <w:szCs w:val="24"/>
        </w:rPr>
        <w:t xml:space="preserve">ourt ruled that, since the </w:t>
      </w:r>
      <w:r w:rsidR="00D01B9F" w:rsidRPr="0035356C">
        <w:rPr>
          <w:sz w:val="24"/>
          <w:szCs w:val="24"/>
        </w:rPr>
        <w:t xml:space="preserve">Court of </w:t>
      </w:r>
      <w:r w:rsidRPr="0035356C">
        <w:rPr>
          <w:sz w:val="24"/>
          <w:szCs w:val="24"/>
        </w:rPr>
        <w:t xml:space="preserve">Appeal did not consider </w:t>
      </w:r>
      <w:r w:rsidR="00D46C1A" w:rsidRPr="0035356C">
        <w:rPr>
          <w:sz w:val="24"/>
          <w:szCs w:val="24"/>
        </w:rPr>
        <w:t xml:space="preserve">a </w:t>
      </w:r>
      <w:r w:rsidRPr="0035356C">
        <w:rPr>
          <w:sz w:val="24"/>
          <w:szCs w:val="24"/>
        </w:rPr>
        <w:t xml:space="preserve">sentence for </w:t>
      </w:r>
      <w:r w:rsidR="00D46C1A" w:rsidRPr="0035356C">
        <w:rPr>
          <w:sz w:val="24"/>
          <w:szCs w:val="24"/>
        </w:rPr>
        <w:t xml:space="preserve">the charge under </w:t>
      </w:r>
      <w:r w:rsidRPr="0035356C">
        <w:rPr>
          <w:sz w:val="24"/>
          <w:szCs w:val="24"/>
        </w:rPr>
        <w:t>s. 95(1)</w:t>
      </w:r>
      <w:r w:rsidR="00D46C1A" w:rsidRPr="0035356C">
        <w:rPr>
          <w:sz w:val="24"/>
          <w:szCs w:val="24"/>
        </w:rPr>
        <w:t xml:space="preserve">, </w:t>
      </w:r>
      <w:r w:rsidR="002E4A8F" w:rsidRPr="0035356C">
        <w:rPr>
          <w:sz w:val="24"/>
          <w:szCs w:val="24"/>
        </w:rPr>
        <w:t xml:space="preserve">sentencing for </w:t>
      </w:r>
      <w:r w:rsidR="002E4A8F" w:rsidRPr="0035356C">
        <w:rPr>
          <w:sz w:val="24"/>
          <w:szCs w:val="24"/>
          <w:u w:val="single"/>
        </w:rPr>
        <w:t>all</w:t>
      </w:r>
      <w:r w:rsidR="002E4A8F" w:rsidRPr="0035356C">
        <w:rPr>
          <w:sz w:val="24"/>
          <w:szCs w:val="24"/>
        </w:rPr>
        <w:t xml:space="preserve"> charges w</w:t>
      </w:r>
      <w:r w:rsidR="00A70FDA" w:rsidRPr="0035356C">
        <w:rPr>
          <w:sz w:val="24"/>
          <w:szCs w:val="24"/>
        </w:rPr>
        <w:t>ere</w:t>
      </w:r>
      <w:r w:rsidR="002E4A8F" w:rsidRPr="0035356C">
        <w:rPr>
          <w:sz w:val="24"/>
          <w:szCs w:val="24"/>
        </w:rPr>
        <w:t xml:space="preserve"> not considered </w:t>
      </w:r>
      <w:r w:rsidR="00D46C1A" w:rsidRPr="0035356C">
        <w:rPr>
          <w:sz w:val="24"/>
          <w:szCs w:val="24"/>
        </w:rPr>
        <w:t xml:space="preserve">at that level on appeal, </w:t>
      </w:r>
      <w:r w:rsidR="002E4A8F" w:rsidRPr="0035356C">
        <w:rPr>
          <w:sz w:val="24"/>
          <w:szCs w:val="24"/>
        </w:rPr>
        <w:t xml:space="preserve">as such, the </w:t>
      </w:r>
      <w:r w:rsidR="00CE4935" w:rsidRPr="0035356C">
        <w:rPr>
          <w:sz w:val="24"/>
          <w:szCs w:val="24"/>
        </w:rPr>
        <w:t xml:space="preserve">SCC returned the issue of sentencing back to the </w:t>
      </w:r>
      <w:r w:rsidR="00A70FDA" w:rsidRPr="0035356C">
        <w:rPr>
          <w:sz w:val="24"/>
          <w:szCs w:val="24"/>
        </w:rPr>
        <w:t>Court</w:t>
      </w:r>
      <w:r w:rsidR="00D01B9F" w:rsidRPr="0035356C">
        <w:rPr>
          <w:sz w:val="24"/>
          <w:szCs w:val="24"/>
        </w:rPr>
        <w:t xml:space="preserve"> of Appeal</w:t>
      </w:r>
      <w:r w:rsidR="00A70FDA" w:rsidRPr="0035356C">
        <w:rPr>
          <w:sz w:val="24"/>
          <w:szCs w:val="24"/>
        </w:rPr>
        <w:t>.</w:t>
      </w:r>
    </w:p>
    <w:p w:rsidR="007E4896" w:rsidRDefault="002E4A8F" w:rsidP="0085617A">
      <w:pPr>
        <w:spacing w:after="0" w:line="480" w:lineRule="auto"/>
        <w:rPr>
          <w:sz w:val="24"/>
          <w:szCs w:val="24"/>
        </w:rPr>
      </w:pPr>
      <w:r w:rsidRPr="0035356C">
        <w:rPr>
          <w:sz w:val="24"/>
          <w:szCs w:val="24"/>
        </w:rPr>
        <w:lastRenderedPageBreak/>
        <w:t>T</w:t>
      </w:r>
      <w:r w:rsidR="00137932" w:rsidRPr="0035356C">
        <w:rPr>
          <w:sz w:val="24"/>
          <w:szCs w:val="24"/>
        </w:rPr>
        <w:t>he concur</w:t>
      </w:r>
      <w:r w:rsidR="00CE4935" w:rsidRPr="0035356C">
        <w:rPr>
          <w:sz w:val="24"/>
          <w:szCs w:val="24"/>
        </w:rPr>
        <w:t xml:space="preserve">ring judgement </w:t>
      </w:r>
      <w:r w:rsidRPr="0035356C">
        <w:rPr>
          <w:sz w:val="24"/>
          <w:szCs w:val="24"/>
        </w:rPr>
        <w:t xml:space="preserve">was </w:t>
      </w:r>
      <w:r w:rsidR="00CE4935" w:rsidRPr="0035356C">
        <w:rPr>
          <w:sz w:val="24"/>
          <w:szCs w:val="24"/>
        </w:rPr>
        <w:t xml:space="preserve">delivered by </w:t>
      </w:r>
      <w:proofErr w:type="spellStart"/>
      <w:r w:rsidR="00CE4935" w:rsidRPr="0035356C">
        <w:rPr>
          <w:sz w:val="24"/>
          <w:szCs w:val="24"/>
        </w:rPr>
        <w:t>Moldaver</w:t>
      </w:r>
      <w:proofErr w:type="spellEnd"/>
      <w:r w:rsidR="00C1159F" w:rsidRPr="0035356C">
        <w:rPr>
          <w:sz w:val="24"/>
          <w:szCs w:val="24"/>
        </w:rPr>
        <w:t>, Wagner and Rothstein</w:t>
      </w:r>
      <w:r w:rsidR="00CE4935" w:rsidRPr="0035356C">
        <w:rPr>
          <w:sz w:val="24"/>
          <w:szCs w:val="24"/>
        </w:rPr>
        <w:t>, JJ</w:t>
      </w:r>
      <w:r w:rsidR="00B736EE" w:rsidRPr="0035356C">
        <w:rPr>
          <w:sz w:val="24"/>
          <w:szCs w:val="24"/>
        </w:rPr>
        <w:t xml:space="preserve">.  </w:t>
      </w:r>
      <w:r w:rsidR="00137932" w:rsidRPr="0035356C">
        <w:rPr>
          <w:sz w:val="24"/>
          <w:szCs w:val="24"/>
        </w:rPr>
        <w:t>Th</w:t>
      </w:r>
      <w:r w:rsidR="00B736EE" w:rsidRPr="0035356C">
        <w:rPr>
          <w:sz w:val="24"/>
          <w:szCs w:val="24"/>
        </w:rPr>
        <w:t xml:space="preserve">ey </w:t>
      </w:r>
      <w:r w:rsidRPr="0035356C">
        <w:rPr>
          <w:sz w:val="24"/>
          <w:szCs w:val="24"/>
        </w:rPr>
        <w:t>interpreted Ma</w:t>
      </w:r>
      <w:r w:rsidR="005100E0" w:rsidRPr="0035356C">
        <w:rPr>
          <w:sz w:val="24"/>
          <w:szCs w:val="24"/>
        </w:rPr>
        <w:t xml:space="preserve">nn as a safety search being “justified if it is probable that something </w:t>
      </w:r>
      <w:r w:rsidR="005100E0" w:rsidRPr="0035356C">
        <w:rPr>
          <w:sz w:val="24"/>
          <w:szCs w:val="24"/>
          <w:u w:val="single"/>
        </w:rPr>
        <w:t>might</w:t>
      </w:r>
      <w:r w:rsidR="005100E0" w:rsidRPr="0035356C">
        <w:rPr>
          <w:sz w:val="24"/>
          <w:szCs w:val="24"/>
        </w:rPr>
        <w:t xml:space="preserve"> happen, not that it probable that something </w:t>
      </w:r>
      <w:r w:rsidRPr="0035356C">
        <w:rPr>
          <w:sz w:val="24"/>
          <w:szCs w:val="24"/>
          <w:u w:val="single"/>
        </w:rPr>
        <w:t>will</w:t>
      </w:r>
      <w:r w:rsidR="00137932" w:rsidRPr="0035356C">
        <w:rPr>
          <w:sz w:val="24"/>
          <w:szCs w:val="24"/>
        </w:rPr>
        <w:t xml:space="preserve"> happen</w:t>
      </w:r>
      <w:r w:rsidRPr="0035356C">
        <w:rPr>
          <w:sz w:val="24"/>
          <w:szCs w:val="24"/>
        </w:rPr>
        <w:t>”</w:t>
      </w:r>
      <w:r w:rsidR="005100E0" w:rsidRPr="0035356C">
        <w:rPr>
          <w:sz w:val="24"/>
          <w:szCs w:val="24"/>
        </w:rPr>
        <w:t xml:space="preserve"> (para 70)</w:t>
      </w:r>
      <w:r w:rsidR="00137932" w:rsidRPr="0035356C">
        <w:rPr>
          <w:sz w:val="24"/>
          <w:szCs w:val="24"/>
        </w:rPr>
        <w:t xml:space="preserve">. </w:t>
      </w:r>
      <w:r w:rsidR="00B736EE" w:rsidRPr="0035356C">
        <w:rPr>
          <w:sz w:val="24"/>
          <w:szCs w:val="24"/>
        </w:rPr>
        <w:t xml:space="preserve"> This judgement lowered the threshold under which a search can be conducted, </w:t>
      </w:r>
      <w:r w:rsidR="00137932" w:rsidRPr="0035356C">
        <w:rPr>
          <w:sz w:val="24"/>
          <w:szCs w:val="24"/>
        </w:rPr>
        <w:t>interpret</w:t>
      </w:r>
      <w:r w:rsidR="00B736EE" w:rsidRPr="0035356C">
        <w:rPr>
          <w:sz w:val="24"/>
          <w:szCs w:val="24"/>
        </w:rPr>
        <w:t>ing</w:t>
      </w:r>
      <w:r w:rsidR="00137932" w:rsidRPr="0035356C">
        <w:rPr>
          <w:sz w:val="24"/>
          <w:szCs w:val="24"/>
        </w:rPr>
        <w:t xml:space="preserve"> th</w:t>
      </w:r>
      <w:r w:rsidR="005100E0" w:rsidRPr="0035356C">
        <w:rPr>
          <w:sz w:val="24"/>
          <w:szCs w:val="24"/>
        </w:rPr>
        <w:t>e</w:t>
      </w:r>
      <w:r w:rsidR="00137932" w:rsidRPr="0035356C">
        <w:rPr>
          <w:sz w:val="24"/>
          <w:szCs w:val="24"/>
        </w:rPr>
        <w:t xml:space="preserve"> language </w:t>
      </w:r>
      <w:r w:rsidRPr="0035356C">
        <w:rPr>
          <w:sz w:val="24"/>
          <w:szCs w:val="24"/>
        </w:rPr>
        <w:t xml:space="preserve">in Mann </w:t>
      </w:r>
      <w:r w:rsidR="00137932" w:rsidRPr="0035356C">
        <w:rPr>
          <w:sz w:val="24"/>
          <w:szCs w:val="24"/>
        </w:rPr>
        <w:t>as being a s</w:t>
      </w:r>
      <w:r w:rsidR="00C1159F" w:rsidRPr="0035356C">
        <w:rPr>
          <w:sz w:val="24"/>
          <w:szCs w:val="24"/>
        </w:rPr>
        <w:t xml:space="preserve">uspicion rather than a belief. </w:t>
      </w:r>
    </w:p>
    <w:p w:rsidR="00F22613" w:rsidRPr="00D410CA" w:rsidRDefault="00F22613" w:rsidP="0085617A">
      <w:pPr>
        <w:spacing w:after="0" w:line="480" w:lineRule="auto"/>
        <w:rPr>
          <w:sz w:val="16"/>
          <w:szCs w:val="16"/>
          <w:vertAlign w:val="superscript"/>
        </w:rPr>
      </w:pPr>
    </w:p>
    <w:p w:rsidR="00F22613" w:rsidRPr="0035356C" w:rsidRDefault="00F22613" w:rsidP="0085617A">
      <w:pPr>
        <w:spacing w:after="0" w:line="480" w:lineRule="auto"/>
        <w:rPr>
          <w:sz w:val="24"/>
          <w:szCs w:val="24"/>
        </w:rPr>
      </w:pPr>
      <w:r>
        <w:rPr>
          <w:sz w:val="24"/>
          <w:szCs w:val="24"/>
        </w:rPr>
        <w:t xml:space="preserve">Therefore, the appeal of the s. 8 Charter issue was dismissed by the Court and the Crown’s appeal of the s. 95 </w:t>
      </w:r>
      <w:proofErr w:type="gramStart"/>
      <w:r>
        <w:rPr>
          <w:sz w:val="24"/>
          <w:szCs w:val="24"/>
        </w:rPr>
        <w:t>conviction</w:t>
      </w:r>
      <w:proofErr w:type="gramEnd"/>
      <w:r>
        <w:rPr>
          <w:sz w:val="24"/>
          <w:szCs w:val="24"/>
        </w:rPr>
        <w:t xml:space="preserve"> should be allowed.  The matter was remitted to the Court of Appeal for sentencing.</w:t>
      </w:r>
    </w:p>
    <w:sectPr w:rsidR="00F22613" w:rsidRPr="0035356C" w:rsidSect="00152A52">
      <w:pgSz w:w="12240" w:h="15840"/>
      <w:pgMar w:top="864" w:right="936" w:bottom="720" w:left="936"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49B0" w:rsidRDefault="00FC49B0" w:rsidP="00FE62D2">
      <w:pPr>
        <w:spacing w:after="0" w:line="240" w:lineRule="auto"/>
      </w:pPr>
      <w:r>
        <w:separator/>
      </w:r>
    </w:p>
  </w:endnote>
  <w:endnote w:type="continuationSeparator" w:id="1">
    <w:p w:rsidR="00FC49B0" w:rsidRDefault="00FC49B0" w:rsidP="00FE62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49B0" w:rsidRDefault="00FC49B0" w:rsidP="00FE62D2">
      <w:pPr>
        <w:spacing w:after="0" w:line="240" w:lineRule="auto"/>
      </w:pPr>
      <w:r>
        <w:separator/>
      </w:r>
    </w:p>
  </w:footnote>
  <w:footnote w:type="continuationSeparator" w:id="1">
    <w:p w:rsidR="00FC49B0" w:rsidRDefault="00FC49B0" w:rsidP="00FE62D2">
      <w:pPr>
        <w:spacing w:after="0" w:line="240" w:lineRule="auto"/>
      </w:pPr>
      <w:r>
        <w:continuationSeparator/>
      </w:r>
    </w:p>
  </w:footnote>
  <w:footnote w:id="2">
    <w:p w:rsidR="00647912" w:rsidRPr="00647912" w:rsidRDefault="00647912" w:rsidP="00291206">
      <w:pPr>
        <w:pStyle w:val="FootnoteText"/>
        <w:rPr>
          <w:sz w:val="16"/>
          <w:szCs w:val="16"/>
        </w:rPr>
      </w:pPr>
      <w:r w:rsidRPr="00291206">
        <w:rPr>
          <w:rStyle w:val="FootnoteReference"/>
        </w:rPr>
        <w:footnoteRef/>
      </w:r>
      <w:r w:rsidRPr="00291206">
        <w:t xml:space="preserve"> </w:t>
      </w:r>
      <w:r w:rsidR="00291206" w:rsidRPr="00291206">
        <w:rPr>
          <w:b/>
          <w:sz w:val="16"/>
          <w:szCs w:val="16"/>
        </w:rPr>
        <w:t>Criminal Code of Canada s.</w:t>
      </w:r>
      <w:r w:rsidR="00291206">
        <w:t xml:space="preserve"> </w:t>
      </w:r>
      <w:r w:rsidRPr="00291206">
        <w:rPr>
          <w:rStyle w:val="sectionlabel"/>
          <w:sz w:val="16"/>
          <w:szCs w:val="16"/>
        </w:rPr>
        <w:t>86</w:t>
      </w:r>
      <w:r w:rsidRPr="00291206">
        <w:rPr>
          <w:rStyle w:val="sectionlabel"/>
          <w:b w:val="0"/>
          <w:sz w:val="16"/>
          <w:szCs w:val="16"/>
        </w:rPr>
        <w:t>.</w:t>
      </w:r>
      <w:r w:rsidRPr="00291206">
        <w:rPr>
          <w:b/>
          <w:sz w:val="16"/>
          <w:szCs w:val="16"/>
        </w:rPr>
        <w:t> (1)</w:t>
      </w:r>
      <w:r w:rsidRPr="00647912">
        <w:rPr>
          <w:sz w:val="16"/>
          <w:szCs w:val="16"/>
        </w:rPr>
        <w:t> Every person commits an offence who, without lawful excuse, uses, carries, handles, ships, transports or stores a firearm, a prohibited weapon, a restricted weapon, a prohibited device or any ammunition or prohibited ammunition in a careless manner or without reasonable precautions for the safety of other persons.</w:t>
      </w:r>
    </w:p>
  </w:footnote>
  <w:footnote w:id="3">
    <w:p w:rsidR="00647912" w:rsidRPr="00647912" w:rsidRDefault="00647912" w:rsidP="00291206">
      <w:pPr>
        <w:pStyle w:val="FootnoteText"/>
        <w:rPr>
          <w:sz w:val="16"/>
          <w:szCs w:val="16"/>
        </w:rPr>
      </w:pPr>
      <w:r>
        <w:rPr>
          <w:rStyle w:val="FootnoteReference"/>
        </w:rPr>
        <w:footnoteRef/>
      </w:r>
      <w:proofErr w:type="gramStart"/>
      <w:r w:rsidR="00291206" w:rsidRPr="00291206">
        <w:rPr>
          <w:b/>
          <w:sz w:val="16"/>
          <w:szCs w:val="16"/>
        </w:rPr>
        <w:t>Criminal Code of Canada s.</w:t>
      </w:r>
      <w:proofErr w:type="gramEnd"/>
      <w:r w:rsidR="00291206">
        <w:t xml:space="preserve"> </w:t>
      </w:r>
      <w:r>
        <w:t xml:space="preserve"> </w:t>
      </w:r>
      <w:r w:rsidRPr="00647912">
        <w:rPr>
          <w:rStyle w:val="sectionlabel"/>
          <w:sz w:val="16"/>
          <w:szCs w:val="16"/>
        </w:rPr>
        <w:t>88</w:t>
      </w:r>
      <w:r w:rsidRPr="00291206">
        <w:rPr>
          <w:rStyle w:val="sectionlabel"/>
          <w:b w:val="0"/>
          <w:sz w:val="16"/>
          <w:szCs w:val="16"/>
        </w:rPr>
        <w:t>.</w:t>
      </w:r>
      <w:r w:rsidRPr="00291206">
        <w:rPr>
          <w:b/>
          <w:sz w:val="16"/>
          <w:szCs w:val="16"/>
        </w:rPr>
        <w:t> (1)</w:t>
      </w:r>
      <w:r w:rsidRPr="00647912">
        <w:rPr>
          <w:sz w:val="16"/>
          <w:szCs w:val="16"/>
        </w:rPr>
        <w:t> Every person commits an offence who carries or possesses a weapon, an imitation of a weapon, a prohibited device or any ammunition or prohibited ammunition for a purpose dangerous to the public peace or for the purpose of committing an offence.</w:t>
      </w:r>
    </w:p>
  </w:footnote>
  <w:footnote w:id="4">
    <w:p w:rsidR="00647912" w:rsidRPr="00291206" w:rsidRDefault="00647912" w:rsidP="00291206">
      <w:pPr>
        <w:pStyle w:val="paragraph"/>
        <w:spacing w:before="0" w:after="0"/>
        <w:ind w:left="0"/>
        <w:rPr>
          <w:rFonts w:asciiTheme="minorHAnsi" w:hAnsiTheme="minorHAnsi"/>
          <w:sz w:val="16"/>
          <w:szCs w:val="16"/>
        </w:rPr>
      </w:pPr>
      <w:r w:rsidRPr="00291206">
        <w:rPr>
          <w:rStyle w:val="FootnoteReference"/>
          <w:rFonts w:asciiTheme="minorHAnsi" w:hAnsiTheme="minorHAnsi"/>
          <w:sz w:val="20"/>
          <w:szCs w:val="20"/>
        </w:rPr>
        <w:footnoteRef/>
      </w:r>
      <w:r w:rsidRPr="00291206">
        <w:rPr>
          <w:rFonts w:asciiTheme="minorHAnsi" w:hAnsiTheme="minorHAnsi"/>
          <w:sz w:val="20"/>
          <w:szCs w:val="20"/>
        </w:rPr>
        <w:t xml:space="preserve"> </w:t>
      </w:r>
      <w:r w:rsidR="00291206" w:rsidRPr="00291206">
        <w:rPr>
          <w:rFonts w:asciiTheme="minorHAnsi" w:hAnsiTheme="minorHAnsi"/>
          <w:b/>
          <w:sz w:val="16"/>
          <w:szCs w:val="16"/>
        </w:rPr>
        <w:t>Criminal Code of Canada s.</w:t>
      </w:r>
      <w:r w:rsidR="00291206" w:rsidRPr="00291206">
        <w:rPr>
          <w:rFonts w:asciiTheme="minorHAnsi" w:hAnsiTheme="minorHAnsi"/>
          <w:sz w:val="16"/>
          <w:szCs w:val="16"/>
        </w:rPr>
        <w:t xml:space="preserve"> </w:t>
      </w:r>
      <w:r w:rsidRPr="00291206">
        <w:rPr>
          <w:rFonts w:asciiTheme="minorHAnsi" w:hAnsiTheme="minorHAnsi"/>
          <w:b/>
          <w:sz w:val="16"/>
          <w:szCs w:val="16"/>
        </w:rPr>
        <w:t>95.(1</w:t>
      </w:r>
      <w:r w:rsidRPr="00291206">
        <w:rPr>
          <w:rFonts w:asciiTheme="minorHAnsi" w:hAnsiTheme="minorHAnsi"/>
          <w:sz w:val="16"/>
          <w:szCs w:val="16"/>
        </w:rPr>
        <w:t>) Subject to subsection (3), every person commits an offence who, in any place, possesses a loaded prohibited firearm or restricted firearm, or an unloaded prohibited firearm or restricted firearm together with readily accessible ammunition that is capable of being discharged in the firearm, without being the holder of(</w:t>
      </w:r>
      <w:r w:rsidRPr="00291206">
        <w:rPr>
          <w:rFonts w:asciiTheme="minorHAnsi" w:hAnsiTheme="minorHAnsi"/>
          <w:i/>
          <w:iCs/>
          <w:sz w:val="16"/>
          <w:szCs w:val="16"/>
        </w:rPr>
        <w:t>a</w:t>
      </w:r>
      <w:r w:rsidRPr="00291206">
        <w:rPr>
          <w:rFonts w:asciiTheme="minorHAnsi" w:hAnsiTheme="minorHAnsi"/>
          <w:sz w:val="16"/>
          <w:szCs w:val="16"/>
        </w:rPr>
        <w:t>) an authorization or a licen</w:t>
      </w:r>
      <w:r w:rsidR="00D01B9F">
        <w:rPr>
          <w:rFonts w:asciiTheme="minorHAnsi" w:hAnsiTheme="minorHAnsi"/>
          <w:sz w:val="16"/>
          <w:szCs w:val="16"/>
        </w:rPr>
        <w:t>s</w:t>
      </w:r>
      <w:r w:rsidRPr="00291206">
        <w:rPr>
          <w:rFonts w:asciiTheme="minorHAnsi" w:hAnsiTheme="minorHAnsi"/>
          <w:sz w:val="16"/>
          <w:szCs w:val="16"/>
        </w:rPr>
        <w:t>e under which the person may possess the firearm in that place; and</w:t>
      </w:r>
      <w:r w:rsidR="00D01B9F">
        <w:rPr>
          <w:rFonts w:asciiTheme="minorHAnsi" w:hAnsiTheme="minorHAnsi"/>
          <w:sz w:val="16"/>
          <w:szCs w:val="16"/>
        </w:rPr>
        <w:t xml:space="preserve"> </w:t>
      </w:r>
      <w:r w:rsidRPr="00647912">
        <w:rPr>
          <w:rFonts w:asciiTheme="minorHAnsi" w:hAnsiTheme="minorHAnsi"/>
          <w:sz w:val="16"/>
          <w:szCs w:val="16"/>
        </w:rPr>
        <w:t>(</w:t>
      </w:r>
      <w:r w:rsidRPr="00647912">
        <w:rPr>
          <w:rFonts w:asciiTheme="minorHAnsi" w:hAnsiTheme="minorHAnsi"/>
          <w:i/>
          <w:iCs/>
          <w:sz w:val="16"/>
          <w:szCs w:val="16"/>
        </w:rPr>
        <w:t>b</w:t>
      </w:r>
      <w:r w:rsidRPr="00647912">
        <w:rPr>
          <w:rFonts w:asciiTheme="minorHAnsi" w:hAnsiTheme="minorHAnsi"/>
          <w:sz w:val="16"/>
          <w:szCs w:val="16"/>
        </w:rPr>
        <w:t>) the registration certificate for the firearm</w:t>
      </w:r>
      <w:r w:rsidR="00291206">
        <w:rPr>
          <w:rFonts w:asciiTheme="minorHAnsi" w:hAnsiTheme="minorHAnsi"/>
          <w:sz w:val="16"/>
          <w:szCs w:val="16"/>
        </w:rPr>
        <w:t>.</w:t>
      </w:r>
    </w:p>
  </w:footnote>
  <w:footnote w:id="5">
    <w:p w:rsidR="00D01B9F" w:rsidRDefault="00D01B9F" w:rsidP="00D01B9F">
      <w:pPr>
        <w:pStyle w:val="FootnoteText"/>
      </w:pPr>
      <w:r>
        <w:rPr>
          <w:rStyle w:val="FootnoteReference"/>
        </w:rPr>
        <w:footnoteRef/>
      </w:r>
      <w:r>
        <w:t xml:space="preserve"> </w:t>
      </w:r>
      <w:r w:rsidRPr="00291206">
        <w:rPr>
          <w:b/>
          <w:sz w:val="16"/>
          <w:szCs w:val="16"/>
        </w:rPr>
        <w:t>Canadian Charter of Rights and Freedoms, s</w:t>
      </w:r>
      <w:r w:rsidRPr="00291206">
        <w:rPr>
          <w:sz w:val="16"/>
          <w:szCs w:val="16"/>
        </w:rPr>
        <w:t>.</w:t>
      </w:r>
      <w:r w:rsidRPr="00291206">
        <w:t xml:space="preserve"> </w:t>
      </w:r>
      <w:r w:rsidRPr="00291206">
        <w:rPr>
          <w:rStyle w:val="sectionlabel"/>
          <w:sz w:val="16"/>
          <w:szCs w:val="16"/>
        </w:rPr>
        <w:t>8.</w:t>
      </w:r>
      <w:r w:rsidRPr="00291206">
        <w:rPr>
          <w:b/>
          <w:sz w:val="16"/>
          <w:szCs w:val="16"/>
        </w:rPr>
        <w:t> </w:t>
      </w:r>
      <w:r w:rsidRPr="00291206">
        <w:rPr>
          <w:sz w:val="16"/>
          <w:szCs w:val="16"/>
        </w:rPr>
        <w:t>Everyone has the right to be secure against unreasonable search or seizure</w:t>
      </w:r>
      <w:r>
        <w:t>.</w:t>
      </w:r>
    </w:p>
  </w:footnote>
  <w:footnote w:id="6">
    <w:p w:rsidR="002D2172" w:rsidRDefault="002D2172">
      <w:pPr>
        <w:pStyle w:val="FootnoteText"/>
      </w:pPr>
      <w:r>
        <w:rPr>
          <w:rStyle w:val="FootnoteReference"/>
        </w:rPr>
        <w:footnoteRef/>
      </w:r>
      <w:r>
        <w:t xml:space="preserve"> </w:t>
      </w:r>
      <w:r w:rsidRPr="0095174C">
        <w:rPr>
          <w:sz w:val="16"/>
          <w:szCs w:val="16"/>
        </w:rPr>
        <w:t>R v Mann, 2004 SCC 52, [2004] 3 S.C.R. 59</w:t>
      </w:r>
      <w:bookmarkStart w:id="0" w:name="_GoBack"/>
      <w:bookmarkEnd w:id="0"/>
    </w:p>
  </w:footnote>
  <w:footnote w:id="7">
    <w:p w:rsidR="002D2172" w:rsidRDefault="002D2172">
      <w:pPr>
        <w:pStyle w:val="FootnoteText"/>
      </w:pPr>
      <w:r>
        <w:rPr>
          <w:rStyle w:val="FootnoteReference"/>
        </w:rPr>
        <w:footnoteRef/>
      </w:r>
      <w:r>
        <w:t xml:space="preserve"> </w:t>
      </w:r>
      <w:r w:rsidR="006269A2" w:rsidRPr="0095174C">
        <w:rPr>
          <w:sz w:val="16"/>
          <w:szCs w:val="16"/>
        </w:rPr>
        <w:t xml:space="preserve">R v Collins, 1987 SCC 84, [1987] 1 S.C.R 265 ”…warrantless searches are deemed reasonable if a) they are authorized by law, b) the law itself is reasonable, and c) the manner in </w:t>
      </w:r>
      <w:proofErr w:type="spellStart"/>
      <w:r w:rsidR="006269A2" w:rsidRPr="0095174C">
        <w:rPr>
          <w:sz w:val="16"/>
          <w:szCs w:val="16"/>
        </w:rPr>
        <w:t>whch</w:t>
      </w:r>
      <w:proofErr w:type="spellEnd"/>
      <w:r w:rsidR="006269A2" w:rsidRPr="0095174C">
        <w:rPr>
          <w:sz w:val="16"/>
          <w:szCs w:val="16"/>
        </w:rPr>
        <w:t xml:space="preserve"> the search was carried out was also reasonable.” (p.278)</w:t>
      </w:r>
    </w:p>
  </w:footnote>
  <w:footnote w:id="8">
    <w:p w:rsidR="006269A2" w:rsidRPr="0095174C" w:rsidRDefault="006269A2">
      <w:pPr>
        <w:pStyle w:val="FootnoteText"/>
      </w:pPr>
      <w:r>
        <w:rPr>
          <w:rStyle w:val="FootnoteReference"/>
        </w:rPr>
        <w:footnoteRef/>
      </w:r>
      <w:r>
        <w:t xml:space="preserve"> </w:t>
      </w:r>
      <w:r w:rsidRPr="0095174C">
        <w:rPr>
          <w:sz w:val="16"/>
          <w:szCs w:val="16"/>
        </w:rPr>
        <w:t xml:space="preserve">R v </w:t>
      </w:r>
      <w:proofErr w:type="spellStart"/>
      <w:r w:rsidRPr="0095174C">
        <w:rPr>
          <w:sz w:val="16"/>
          <w:szCs w:val="16"/>
        </w:rPr>
        <w:t>Waterfield</w:t>
      </w:r>
      <w:proofErr w:type="spellEnd"/>
      <w:r w:rsidRPr="0095174C">
        <w:rPr>
          <w:sz w:val="16"/>
          <w:szCs w:val="16"/>
        </w:rPr>
        <w:t>, 1985 SCC 41, [1963] 3 All E.R. 659 (C.C.A) “…</w:t>
      </w:r>
      <w:r w:rsidRPr="0095174C">
        <w:rPr>
          <w:iCs/>
          <w:sz w:val="16"/>
          <w:szCs w:val="16"/>
        </w:rPr>
        <w:t>(a) such conduct falls within the general scope of any duty imposed by statute or recognized at common law and (b) whether such conduct, albeit within the general scope of such a duty, involved a</w:t>
      </w:r>
      <w:r w:rsidR="0095174C">
        <w:rPr>
          <w:iCs/>
          <w:sz w:val="16"/>
          <w:szCs w:val="16"/>
        </w:rPr>
        <w:t xml:space="preserve"> j</w:t>
      </w:r>
      <w:r w:rsidRPr="0095174C">
        <w:rPr>
          <w:iCs/>
          <w:sz w:val="16"/>
          <w:szCs w:val="16"/>
        </w:rPr>
        <w:t>ustifiable use of powers associated with the duty.</w:t>
      </w:r>
    </w:p>
  </w:footnote>
  <w:footnote w:id="9">
    <w:p w:rsidR="0095174C" w:rsidRDefault="0095174C">
      <w:pPr>
        <w:pStyle w:val="FootnoteText"/>
      </w:pPr>
      <w:r>
        <w:rPr>
          <w:rStyle w:val="FootnoteReference"/>
        </w:rPr>
        <w:footnoteRef/>
      </w:r>
      <w:r>
        <w:t xml:space="preserve"> </w:t>
      </w:r>
      <w:r w:rsidRPr="0095174C">
        <w:rPr>
          <w:sz w:val="16"/>
          <w:szCs w:val="16"/>
        </w:rPr>
        <w:t xml:space="preserve">“…the inference with liberty must be necessary for carrying out of the particular police duty and it must be reasonable, having regard to the nature of the liberty interfered with and the importance of the public purpose serviced by the inference.” </w:t>
      </w:r>
      <w:r>
        <w:rPr>
          <w:sz w:val="16"/>
          <w:szCs w:val="16"/>
        </w:rPr>
        <w:t>(</w:t>
      </w:r>
      <w:r w:rsidRPr="0095174C">
        <w:rPr>
          <w:sz w:val="16"/>
          <w:szCs w:val="16"/>
        </w:rPr>
        <w:t>p. 35</w:t>
      </w:r>
      <w:r>
        <w:rPr>
          <w:sz w:val="16"/>
          <w:szCs w:val="16"/>
        </w:rPr>
        <w:t>)</w:t>
      </w:r>
    </w:p>
  </w:footnote>
  <w:footnote w:id="10">
    <w:p w:rsidR="00D01B9F" w:rsidRDefault="00D01B9F">
      <w:pPr>
        <w:pStyle w:val="FootnoteText"/>
      </w:pPr>
      <w:r>
        <w:rPr>
          <w:rStyle w:val="FootnoteReference"/>
        </w:rPr>
        <w:footnoteRef/>
      </w:r>
      <w:r>
        <w:t xml:space="preserve"> </w:t>
      </w:r>
      <w:proofErr w:type="gramStart"/>
      <w:r w:rsidRPr="00291206">
        <w:rPr>
          <w:b/>
          <w:sz w:val="16"/>
          <w:szCs w:val="16"/>
        </w:rPr>
        <w:t>Criminal Code of Canada</w:t>
      </w:r>
      <w:r>
        <w:rPr>
          <w:b/>
          <w:sz w:val="16"/>
          <w:szCs w:val="16"/>
        </w:rPr>
        <w:t xml:space="preserve"> s.</w:t>
      </w:r>
      <w:r>
        <w:rPr>
          <w:rStyle w:val="sectionlabel"/>
        </w:rPr>
        <w:t xml:space="preserve"> </w:t>
      </w:r>
      <w:r w:rsidRPr="00D01B9F">
        <w:rPr>
          <w:rStyle w:val="sectionlabel"/>
          <w:sz w:val="16"/>
          <w:szCs w:val="16"/>
        </w:rPr>
        <w:t>19.</w:t>
      </w:r>
      <w:proofErr w:type="gramEnd"/>
      <w:r w:rsidRPr="00D01B9F">
        <w:rPr>
          <w:sz w:val="16"/>
          <w:szCs w:val="16"/>
        </w:rPr>
        <w:t> Ignorance of the law by a person who commits an offence is not an excuse for committing that offence.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3in;height:3in" o:bullet="t"/>
    </w:pict>
  </w:numPicBullet>
  <w:numPicBullet w:numPicBulletId="1">
    <w:pict>
      <v:shape id="_x0000_i1052" type="#_x0000_t75" style="width:3in;height:3in" o:bullet="t"/>
    </w:pict>
  </w:numPicBullet>
  <w:numPicBullet w:numPicBulletId="2">
    <w:pict>
      <v:shape id="_x0000_i1053" type="#_x0000_t75" style="width:3in;height:3in" o:bullet="t"/>
    </w:pict>
  </w:numPicBullet>
  <w:numPicBullet w:numPicBulletId="3">
    <w:pict>
      <v:shape id="_x0000_i1054" type="#_x0000_t75" style="width:3in;height:3in" o:bullet="t"/>
    </w:pict>
  </w:numPicBullet>
  <w:abstractNum w:abstractNumId="0">
    <w:nsid w:val="0BF56F3C"/>
    <w:multiLevelType w:val="hybridMultilevel"/>
    <w:tmpl w:val="3FCA79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42011B0"/>
    <w:multiLevelType w:val="hybridMultilevel"/>
    <w:tmpl w:val="B8C024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A3B5E88"/>
    <w:multiLevelType w:val="hybridMultilevel"/>
    <w:tmpl w:val="5CDCCD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7E87547"/>
    <w:multiLevelType w:val="multilevel"/>
    <w:tmpl w:val="0658D0E6"/>
    <w:lvl w:ilvl="0">
      <w:start w:val="1"/>
      <w:numFmt w:val="bullet"/>
      <w:lvlText w:val=""/>
      <w:lvlPicBulletId w:val="3"/>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CB38CB"/>
    <w:multiLevelType w:val="multilevel"/>
    <w:tmpl w:val="15D84BD8"/>
    <w:lvl w:ilvl="0">
      <w:start w:val="1"/>
      <w:numFmt w:val="bullet"/>
      <w:lvlText w:val=""/>
      <w:lvlPicBulletId w:val="1"/>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6C15798"/>
    <w:multiLevelType w:val="hybridMultilevel"/>
    <w:tmpl w:val="41AE28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8517BC"/>
    <w:rsid w:val="000645DC"/>
    <w:rsid w:val="0008003D"/>
    <w:rsid w:val="000A3B25"/>
    <w:rsid w:val="000B495A"/>
    <w:rsid w:val="000C2644"/>
    <w:rsid w:val="0011650B"/>
    <w:rsid w:val="00137932"/>
    <w:rsid w:val="00152A52"/>
    <w:rsid w:val="00181190"/>
    <w:rsid w:val="001B7A7B"/>
    <w:rsid w:val="001C6C14"/>
    <w:rsid w:val="002342BF"/>
    <w:rsid w:val="0024095E"/>
    <w:rsid w:val="00244FC9"/>
    <w:rsid w:val="0026358A"/>
    <w:rsid w:val="00267A4E"/>
    <w:rsid w:val="00291206"/>
    <w:rsid w:val="00293E33"/>
    <w:rsid w:val="002D2172"/>
    <w:rsid w:val="002E4A8F"/>
    <w:rsid w:val="00320991"/>
    <w:rsid w:val="0035356C"/>
    <w:rsid w:val="00363DF2"/>
    <w:rsid w:val="00463BDD"/>
    <w:rsid w:val="004A3E5A"/>
    <w:rsid w:val="004D58B2"/>
    <w:rsid w:val="004F401E"/>
    <w:rsid w:val="005100E0"/>
    <w:rsid w:val="00534F67"/>
    <w:rsid w:val="0055680F"/>
    <w:rsid w:val="005B09F4"/>
    <w:rsid w:val="00613F5E"/>
    <w:rsid w:val="006269A2"/>
    <w:rsid w:val="00647912"/>
    <w:rsid w:val="00664420"/>
    <w:rsid w:val="0068521A"/>
    <w:rsid w:val="00687E89"/>
    <w:rsid w:val="006A1BF4"/>
    <w:rsid w:val="00782267"/>
    <w:rsid w:val="007C2151"/>
    <w:rsid w:val="007D10A5"/>
    <w:rsid w:val="007D48F8"/>
    <w:rsid w:val="007E4896"/>
    <w:rsid w:val="007E6C57"/>
    <w:rsid w:val="008314F6"/>
    <w:rsid w:val="008517BC"/>
    <w:rsid w:val="0085617A"/>
    <w:rsid w:val="00893FBC"/>
    <w:rsid w:val="008A479E"/>
    <w:rsid w:val="008F290A"/>
    <w:rsid w:val="008F74E1"/>
    <w:rsid w:val="0095174C"/>
    <w:rsid w:val="00965E46"/>
    <w:rsid w:val="009756AA"/>
    <w:rsid w:val="009C3C3B"/>
    <w:rsid w:val="009D5758"/>
    <w:rsid w:val="00A039A7"/>
    <w:rsid w:val="00A425AA"/>
    <w:rsid w:val="00A60ED7"/>
    <w:rsid w:val="00A659CA"/>
    <w:rsid w:val="00A70FDA"/>
    <w:rsid w:val="00B458B6"/>
    <w:rsid w:val="00B65819"/>
    <w:rsid w:val="00B736EE"/>
    <w:rsid w:val="00B92BED"/>
    <w:rsid w:val="00BC1499"/>
    <w:rsid w:val="00BF25A9"/>
    <w:rsid w:val="00BF3AC6"/>
    <w:rsid w:val="00C1159F"/>
    <w:rsid w:val="00C34D84"/>
    <w:rsid w:val="00C570BC"/>
    <w:rsid w:val="00C83D89"/>
    <w:rsid w:val="00C93FCA"/>
    <w:rsid w:val="00CD4F1A"/>
    <w:rsid w:val="00CE4935"/>
    <w:rsid w:val="00D01B9F"/>
    <w:rsid w:val="00D410CA"/>
    <w:rsid w:val="00D46C1A"/>
    <w:rsid w:val="00D56933"/>
    <w:rsid w:val="00D75E4E"/>
    <w:rsid w:val="00D92764"/>
    <w:rsid w:val="00DB74F7"/>
    <w:rsid w:val="00E15826"/>
    <w:rsid w:val="00EB7BF9"/>
    <w:rsid w:val="00EE1A51"/>
    <w:rsid w:val="00EF78D1"/>
    <w:rsid w:val="00F22613"/>
    <w:rsid w:val="00F61180"/>
    <w:rsid w:val="00F95508"/>
    <w:rsid w:val="00F96705"/>
    <w:rsid w:val="00FA090A"/>
    <w:rsid w:val="00FC49B0"/>
    <w:rsid w:val="00FE149C"/>
    <w:rsid w:val="00FE62D2"/>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7A4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7BC"/>
    <w:pPr>
      <w:ind w:left="720"/>
      <w:contextualSpacing/>
    </w:pPr>
  </w:style>
  <w:style w:type="paragraph" w:styleId="Header">
    <w:name w:val="header"/>
    <w:basedOn w:val="Normal"/>
    <w:link w:val="HeaderChar"/>
    <w:uiPriority w:val="99"/>
    <w:unhideWhenUsed/>
    <w:rsid w:val="00FE62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62D2"/>
  </w:style>
  <w:style w:type="paragraph" w:styleId="Footer">
    <w:name w:val="footer"/>
    <w:basedOn w:val="Normal"/>
    <w:link w:val="FooterChar"/>
    <w:uiPriority w:val="99"/>
    <w:unhideWhenUsed/>
    <w:rsid w:val="00FE62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62D2"/>
  </w:style>
  <w:style w:type="paragraph" w:styleId="FootnoteText">
    <w:name w:val="footnote text"/>
    <w:basedOn w:val="Normal"/>
    <w:link w:val="FootnoteTextChar"/>
    <w:uiPriority w:val="99"/>
    <w:semiHidden/>
    <w:unhideWhenUsed/>
    <w:rsid w:val="00FE62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62D2"/>
    <w:rPr>
      <w:sz w:val="20"/>
      <w:szCs w:val="20"/>
    </w:rPr>
  </w:style>
  <w:style w:type="character" w:styleId="FootnoteReference">
    <w:name w:val="footnote reference"/>
    <w:basedOn w:val="DefaultParagraphFont"/>
    <w:uiPriority w:val="99"/>
    <w:semiHidden/>
    <w:unhideWhenUsed/>
    <w:rsid w:val="00FE62D2"/>
    <w:rPr>
      <w:vertAlign w:val="superscript"/>
    </w:rPr>
  </w:style>
  <w:style w:type="paragraph" w:styleId="EndnoteText">
    <w:name w:val="endnote text"/>
    <w:basedOn w:val="Normal"/>
    <w:link w:val="EndnoteTextChar"/>
    <w:uiPriority w:val="99"/>
    <w:semiHidden/>
    <w:unhideWhenUsed/>
    <w:rsid w:val="00FE62D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E62D2"/>
    <w:rPr>
      <w:sz w:val="20"/>
      <w:szCs w:val="20"/>
    </w:rPr>
  </w:style>
  <w:style w:type="character" w:styleId="EndnoteReference">
    <w:name w:val="endnote reference"/>
    <w:basedOn w:val="DefaultParagraphFont"/>
    <w:uiPriority w:val="99"/>
    <w:semiHidden/>
    <w:unhideWhenUsed/>
    <w:rsid w:val="00FE62D2"/>
    <w:rPr>
      <w:vertAlign w:val="superscript"/>
    </w:rPr>
  </w:style>
  <w:style w:type="paragraph" w:styleId="BalloonText">
    <w:name w:val="Balloon Text"/>
    <w:basedOn w:val="Normal"/>
    <w:link w:val="BalloonTextChar"/>
    <w:uiPriority w:val="99"/>
    <w:semiHidden/>
    <w:unhideWhenUsed/>
    <w:rsid w:val="00EF78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8D1"/>
    <w:rPr>
      <w:rFonts w:ascii="Tahoma" w:hAnsi="Tahoma" w:cs="Tahoma"/>
      <w:sz w:val="16"/>
      <w:szCs w:val="16"/>
    </w:rPr>
  </w:style>
  <w:style w:type="character" w:customStyle="1" w:styleId="sectionlabel">
    <w:name w:val="sectionlabel"/>
    <w:basedOn w:val="DefaultParagraphFont"/>
    <w:rsid w:val="00647912"/>
    <w:rPr>
      <w:b/>
      <w:bCs/>
    </w:rPr>
  </w:style>
  <w:style w:type="paragraph" w:customStyle="1" w:styleId="subsection">
    <w:name w:val="subsection"/>
    <w:basedOn w:val="Normal"/>
    <w:rsid w:val="00647912"/>
    <w:pPr>
      <w:spacing w:before="168" w:after="120" w:line="240" w:lineRule="auto"/>
      <w:ind w:firstLine="360"/>
    </w:pPr>
    <w:rPr>
      <w:rFonts w:ascii="Times New Roman" w:eastAsia="Times New Roman" w:hAnsi="Times New Roman" w:cs="Times New Roman"/>
      <w:sz w:val="24"/>
      <w:szCs w:val="24"/>
      <w:lang w:eastAsia="en-CA"/>
    </w:rPr>
  </w:style>
  <w:style w:type="paragraph" w:customStyle="1" w:styleId="paragraph">
    <w:name w:val="paragraph"/>
    <w:basedOn w:val="Normal"/>
    <w:rsid w:val="00647912"/>
    <w:pPr>
      <w:spacing w:before="168" w:after="120" w:line="240" w:lineRule="auto"/>
      <w:ind w:left="360"/>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64791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7BC"/>
    <w:pPr>
      <w:ind w:left="720"/>
      <w:contextualSpacing/>
    </w:pPr>
  </w:style>
  <w:style w:type="paragraph" w:styleId="Header">
    <w:name w:val="header"/>
    <w:basedOn w:val="Normal"/>
    <w:link w:val="HeaderChar"/>
    <w:uiPriority w:val="99"/>
    <w:unhideWhenUsed/>
    <w:rsid w:val="00FE62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62D2"/>
  </w:style>
  <w:style w:type="paragraph" w:styleId="Footer">
    <w:name w:val="footer"/>
    <w:basedOn w:val="Normal"/>
    <w:link w:val="FooterChar"/>
    <w:uiPriority w:val="99"/>
    <w:unhideWhenUsed/>
    <w:rsid w:val="00FE62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62D2"/>
  </w:style>
  <w:style w:type="paragraph" w:styleId="FootnoteText">
    <w:name w:val="footnote text"/>
    <w:basedOn w:val="Normal"/>
    <w:link w:val="FootnoteTextChar"/>
    <w:uiPriority w:val="99"/>
    <w:semiHidden/>
    <w:unhideWhenUsed/>
    <w:rsid w:val="00FE62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62D2"/>
    <w:rPr>
      <w:sz w:val="20"/>
      <w:szCs w:val="20"/>
    </w:rPr>
  </w:style>
  <w:style w:type="character" w:styleId="FootnoteReference">
    <w:name w:val="footnote reference"/>
    <w:basedOn w:val="DefaultParagraphFont"/>
    <w:uiPriority w:val="99"/>
    <w:semiHidden/>
    <w:unhideWhenUsed/>
    <w:rsid w:val="00FE62D2"/>
    <w:rPr>
      <w:vertAlign w:val="superscript"/>
    </w:rPr>
  </w:style>
  <w:style w:type="paragraph" w:styleId="EndnoteText">
    <w:name w:val="endnote text"/>
    <w:basedOn w:val="Normal"/>
    <w:link w:val="EndnoteTextChar"/>
    <w:uiPriority w:val="99"/>
    <w:semiHidden/>
    <w:unhideWhenUsed/>
    <w:rsid w:val="00FE62D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E62D2"/>
    <w:rPr>
      <w:sz w:val="20"/>
      <w:szCs w:val="20"/>
    </w:rPr>
  </w:style>
  <w:style w:type="character" w:styleId="EndnoteReference">
    <w:name w:val="endnote reference"/>
    <w:basedOn w:val="DefaultParagraphFont"/>
    <w:uiPriority w:val="99"/>
    <w:semiHidden/>
    <w:unhideWhenUsed/>
    <w:rsid w:val="00FE62D2"/>
    <w:rPr>
      <w:vertAlign w:val="superscript"/>
    </w:rPr>
  </w:style>
  <w:style w:type="paragraph" w:styleId="BalloonText">
    <w:name w:val="Balloon Text"/>
    <w:basedOn w:val="Normal"/>
    <w:link w:val="BalloonTextChar"/>
    <w:uiPriority w:val="99"/>
    <w:semiHidden/>
    <w:unhideWhenUsed/>
    <w:rsid w:val="00EF78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8D1"/>
    <w:rPr>
      <w:rFonts w:ascii="Tahoma" w:hAnsi="Tahoma" w:cs="Tahoma"/>
      <w:sz w:val="16"/>
      <w:szCs w:val="16"/>
    </w:rPr>
  </w:style>
  <w:style w:type="character" w:customStyle="1" w:styleId="sectionlabel">
    <w:name w:val="sectionlabel"/>
    <w:basedOn w:val="DefaultParagraphFont"/>
    <w:rsid w:val="00647912"/>
    <w:rPr>
      <w:b/>
      <w:bCs/>
    </w:rPr>
  </w:style>
  <w:style w:type="paragraph" w:customStyle="1" w:styleId="subsection">
    <w:name w:val="subsection"/>
    <w:basedOn w:val="Normal"/>
    <w:rsid w:val="00647912"/>
    <w:pPr>
      <w:spacing w:before="168" w:after="120" w:line="240" w:lineRule="auto"/>
      <w:ind w:firstLine="360"/>
    </w:pPr>
    <w:rPr>
      <w:rFonts w:ascii="Times New Roman" w:eastAsia="Times New Roman" w:hAnsi="Times New Roman" w:cs="Times New Roman"/>
      <w:sz w:val="24"/>
      <w:szCs w:val="24"/>
      <w:lang w:eastAsia="en-CA"/>
    </w:rPr>
  </w:style>
  <w:style w:type="paragraph" w:customStyle="1" w:styleId="paragraph">
    <w:name w:val="paragraph"/>
    <w:basedOn w:val="Normal"/>
    <w:rsid w:val="00647912"/>
    <w:pPr>
      <w:spacing w:before="168" w:after="120" w:line="240" w:lineRule="auto"/>
      <w:ind w:left="360"/>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647912"/>
    <w:rPr>
      <w:i/>
      <w:iCs/>
    </w:rPr>
  </w:style>
</w:styles>
</file>

<file path=word/webSettings.xml><?xml version="1.0" encoding="utf-8"?>
<w:webSettings xmlns:r="http://schemas.openxmlformats.org/officeDocument/2006/relationships" xmlns:w="http://schemas.openxmlformats.org/wordprocessingml/2006/main">
  <w:divs>
    <w:div w:id="37317859">
      <w:bodyDiv w:val="1"/>
      <w:marLeft w:val="0"/>
      <w:marRight w:val="0"/>
      <w:marTop w:val="0"/>
      <w:marBottom w:val="0"/>
      <w:divBdr>
        <w:top w:val="none" w:sz="0" w:space="0" w:color="auto"/>
        <w:left w:val="none" w:sz="0" w:space="0" w:color="auto"/>
        <w:bottom w:val="none" w:sz="0" w:space="0" w:color="auto"/>
        <w:right w:val="none" w:sz="0" w:space="0" w:color="auto"/>
      </w:divBdr>
      <w:divsChild>
        <w:div w:id="923756234">
          <w:marLeft w:val="0"/>
          <w:marRight w:val="0"/>
          <w:marTop w:val="0"/>
          <w:marBottom w:val="0"/>
          <w:divBdr>
            <w:top w:val="none" w:sz="0" w:space="0" w:color="auto"/>
            <w:left w:val="none" w:sz="0" w:space="0" w:color="auto"/>
            <w:bottom w:val="none" w:sz="0" w:space="0" w:color="auto"/>
            <w:right w:val="none" w:sz="0" w:space="0" w:color="auto"/>
          </w:divBdr>
          <w:divsChild>
            <w:div w:id="2106994162">
              <w:marLeft w:val="0"/>
              <w:marRight w:val="0"/>
              <w:marTop w:val="0"/>
              <w:marBottom w:val="0"/>
              <w:divBdr>
                <w:top w:val="none" w:sz="0" w:space="0" w:color="auto"/>
                <w:left w:val="none" w:sz="0" w:space="0" w:color="auto"/>
                <w:bottom w:val="none" w:sz="0" w:space="0" w:color="auto"/>
                <w:right w:val="none" w:sz="0" w:space="0" w:color="auto"/>
              </w:divBdr>
              <w:divsChild>
                <w:div w:id="507912711">
                  <w:marLeft w:val="0"/>
                  <w:marRight w:val="0"/>
                  <w:marTop w:val="0"/>
                  <w:marBottom w:val="0"/>
                  <w:divBdr>
                    <w:top w:val="none" w:sz="0" w:space="0" w:color="auto"/>
                    <w:left w:val="none" w:sz="0" w:space="0" w:color="auto"/>
                    <w:bottom w:val="none" w:sz="0" w:space="0" w:color="auto"/>
                    <w:right w:val="none" w:sz="0" w:space="0" w:color="auto"/>
                  </w:divBdr>
                  <w:divsChild>
                    <w:div w:id="1425957989">
                      <w:marLeft w:val="0"/>
                      <w:marRight w:val="0"/>
                      <w:marTop w:val="0"/>
                      <w:marBottom w:val="0"/>
                      <w:divBdr>
                        <w:top w:val="none" w:sz="0" w:space="0" w:color="auto"/>
                        <w:left w:val="none" w:sz="0" w:space="0" w:color="auto"/>
                        <w:bottom w:val="none" w:sz="0" w:space="0" w:color="auto"/>
                        <w:right w:val="none" w:sz="0" w:space="0" w:color="auto"/>
                      </w:divBdr>
                      <w:divsChild>
                        <w:div w:id="1436511105">
                          <w:marLeft w:val="0"/>
                          <w:marRight w:val="0"/>
                          <w:marTop w:val="0"/>
                          <w:marBottom w:val="0"/>
                          <w:divBdr>
                            <w:top w:val="none" w:sz="0" w:space="0" w:color="auto"/>
                            <w:left w:val="none" w:sz="0" w:space="0" w:color="auto"/>
                            <w:bottom w:val="none" w:sz="0" w:space="0" w:color="auto"/>
                            <w:right w:val="none" w:sz="0" w:space="0" w:color="auto"/>
                          </w:divBdr>
                          <w:divsChild>
                            <w:div w:id="466817901">
                              <w:marLeft w:val="0"/>
                              <w:marRight w:val="0"/>
                              <w:marTop w:val="0"/>
                              <w:marBottom w:val="0"/>
                              <w:divBdr>
                                <w:top w:val="none" w:sz="0" w:space="0" w:color="auto"/>
                                <w:left w:val="none" w:sz="0" w:space="0" w:color="auto"/>
                                <w:bottom w:val="none" w:sz="0" w:space="0" w:color="auto"/>
                                <w:right w:val="none" w:sz="0" w:space="0" w:color="auto"/>
                              </w:divBdr>
                              <w:divsChild>
                                <w:div w:id="204304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1301976">
      <w:bodyDiv w:val="1"/>
      <w:marLeft w:val="0"/>
      <w:marRight w:val="0"/>
      <w:marTop w:val="0"/>
      <w:marBottom w:val="0"/>
      <w:divBdr>
        <w:top w:val="none" w:sz="0" w:space="0" w:color="auto"/>
        <w:left w:val="none" w:sz="0" w:space="0" w:color="auto"/>
        <w:bottom w:val="none" w:sz="0" w:space="0" w:color="auto"/>
        <w:right w:val="none" w:sz="0" w:space="0" w:color="auto"/>
      </w:divBdr>
      <w:divsChild>
        <w:div w:id="1595746945">
          <w:marLeft w:val="0"/>
          <w:marRight w:val="0"/>
          <w:marTop w:val="0"/>
          <w:marBottom w:val="0"/>
          <w:divBdr>
            <w:top w:val="none" w:sz="0" w:space="0" w:color="auto"/>
            <w:left w:val="none" w:sz="0" w:space="0" w:color="auto"/>
            <w:bottom w:val="none" w:sz="0" w:space="0" w:color="auto"/>
            <w:right w:val="none" w:sz="0" w:space="0" w:color="auto"/>
          </w:divBdr>
          <w:divsChild>
            <w:div w:id="70351239">
              <w:marLeft w:val="0"/>
              <w:marRight w:val="0"/>
              <w:marTop w:val="0"/>
              <w:marBottom w:val="0"/>
              <w:divBdr>
                <w:top w:val="none" w:sz="0" w:space="0" w:color="auto"/>
                <w:left w:val="none" w:sz="0" w:space="0" w:color="auto"/>
                <w:bottom w:val="none" w:sz="0" w:space="0" w:color="auto"/>
                <w:right w:val="none" w:sz="0" w:space="0" w:color="auto"/>
              </w:divBdr>
              <w:divsChild>
                <w:div w:id="1968974424">
                  <w:marLeft w:val="0"/>
                  <w:marRight w:val="0"/>
                  <w:marTop w:val="0"/>
                  <w:marBottom w:val="0"/>
                  <w:divBdr>
                    <w:top w:val="none" w:sz="0" w:space="0" w:color="auto"/>
                    <w:left w:val="none" w:sz="0" w:space="0" w:color="auto"/>
                    <w:bottom w:val="none" w:sz="0" w:space="0" w:color="auto"/>
                    <w:right w:val="none" w:sz="0" w:space="0" w:color="auto"/>
                  </w:divBdr>
                  <w:divsChild>
                    <w:div w:id="343164889">
                      <w:marLeft w:val="0"/>
                      <w:marRight w:val="0"/>
                      <w:marTop w:val="0"/>
                      <w:marBottom w:val="0"/>
                      <w:divBdr>
                        <w:top w:val="none" w:sz="0" w:space="0" w:color="auto"/>
                        <w:left w:val="none" w:sz="0" w:space="0" w:color="auto"/>
                        <w:bottom w:val="none" w:sz="0" w:space="0" w:color="auto"/>
                        <w:right w:val="none" w:sz="0" w:space="0" w:color="auto"/>
                      </w:divBdr>
                      <w:divsChild>
                        <w:div w:id="231355102">
                          <w:marLeft w:val="0"/>
                          <w:marRight w:val="0"/>
                          <w:marTop w:val="0"/>
                          <w:marBottom w:val="0"/>
                          <w:divBdr>
                            <w:top w:val="none" w:sz="0" w:space="0" w:color="auto"/>
                            <w:left w:val="none" w:sz="0" w:space="0" w:color="auto"/>
                            <w:bottom w:val="none" w:sz="0" w:space="0" w:color="auto"/>
                            <w:right w:val="none" w:sz="0" w:space="0" w:color="auto"/>
                          </w:divBdr>
                          <w:divsChild>
                            <w:div w:id="25182940">
                              <w:marLeft w:val="0"/>
                              <w:marRight w:val="0"/>
                              <w:marTop w:val="0"/>
                              <w:marBottom w:val="0"/>
                              <w:divBdr>
                                <w:top w:val="none" w:sz="0" w:space="0" w:color="auto"/>
                                <w:left w:val="none" w:sz="0" w:space="0" w:color="auto"/>
                                <w:bottom w:val="none" w:sz="0" w:space="0" w:color="auto"/>
                                <w:right w:val="none" w:sz="0" w:space="0" w:color="auto"/>
                              </w:divBdr>
                              <w:divsChild>
                                <w:div w:id="6195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0402604">
      <w:bodyDiv w:val="1"/>
      <w:marLeft w:val="0"/>
      <w:marRight w:val="0"/>
      <w:marTop w:val="0"/>
      <w:marBottom w:val="0"/>
      <w:divBdr>
        <w:top w:val="none" w:sz="0" w:space="0" w:color="auto"/>
        <w:left w:val="none" w:sz="0" w:space="0" w:color="auto"/>
        <w:bottom w:val="none" w:sz="0" w:space="0" w:color="auto"/>
        <w:right w:val="none" w:sz="0" w:space="0" w:color="auto"/>
      </w:divBdr>
      <w:divsChild>
        <w:div w:id="523136548">
          <w:marLeft w:val="0"/>
          <w:marRight w:val="0"/>
          <w:marTop w:val="0"/>
          <w:marBottom w:val="0"/>
          <w:divBdr>
            <w:top w:val="none" w:sz="0" w:space="0" w:color="auto"/>
            <w:left w:val="none" w:sz="0" w:space="0" w:color="auto"/>
            <w:bottom w:val="none" w:sz="0" w:space="0" w:color="auto"/>
            <w:right w:val="none" w:sz="0" w:space="0" w:color="auto"/>
          </w:divBdr>
          <w:divsChild>
            <w:div w:id="403575173">
              <w:marLeft w:val="0"/>
              <w:marRight w:val="0"/>
              <w:marTop w:val="0"/>
              <w:marBottom w:val="0"/>
              <w:divBdr>
                <w:top w:val="none" w:sz="0" w:space="0" w:color="auto"/>
                <w:left w:val="none" w:sz="0" w:space="0" w:color="auto"/>
                <w:bottom w:val="none" w:sz="0" w:space="0" w:color="auto"/>
                <w:right w:val="none" w:sz="0" w:space="0" w:color="auto"/>
              </w:divBdr>
              <w:divsChild>
                <w:div w:id="1212114355">
                  <w:marLeft w:val="0"/>
                  <w:marRight w:val="0"/>
                  <w:marTop w:val="0"/>
                  <w:marBottom w:val="0"/>
                  <w:divBdr>
                    <w:top w:val="none" w:sz="0" w:space="0" w:color="auto"/>
                    <w:left w:val="none" w:sz="0" w:space="0" w:color="auto"/>
                    <w:bottom w:val="none" w:sz="0" w:space="0" w:color="auto"/>
                    <w:right w:val="none" w:sz="0" w:space="0" w:color="auto"/>
                  </w:divBdr>
                  <w:divsChild>
                    <w:div w:id="300042460">
                      <w:marLeft w:val="0"/>
                      <w:marRight w:val="0"/>
                      <w:marTop w:val="0"/>
                      <w:marBottom w:val="0"/>
                      <w:divBdr>
                        <w:top w:val="none" w:sz="0" w:space="0" w:color="auto"/>
                        <w:left w:val="none" w:sz="0" w:space="0" w:color="auto"/>
                        <w:bottom w:val="none" w:sz="0" w:space="0" w:color="auto"/>
                        <w:right w:val="none" w:sz="0" w:space="0" w:color="auto"/>
                      </w:divBdr>
                      <w:divsChild>
                        <w:div w:id="922952827">
                          <w:marLeft w:val="0"/>
                          <w:marRight w:val="0"/>
                          <w:marTop w:val="0"/>
                          <w:marBottom w:val="0"/>
                          <w:divBdr>
                            <w:top w:val="none" w:sz="0" w:space="0" w:color="auto"/>
                            <w:left w:val="none" w:sz="0" w:space="0" w:color="auto"/>
                            <w:bottom w:val="none" w:sz="0" w:space="0" w:color="auto"/>
                            <w:right w:val="none" w:sz="0" w:space="0" w:color="auto"/>
                          </w:divBdr>
                          <w:divsChild>
                            <w:div w:id="94323698">
                              <w:marLeft w:val="0"/>
                              <w:marRight w:val="0"/>
                              <w:marTop w:val="0"/>
                              <w:marBottom w:val="0"/>
                              <w:divBdr>
                                <w:top w:val="none" w:sz="0" w:space="0" w:color="auto"/>
                                <w:left w:val="none" w:sz="0" w:space="0" w:color="auto"/>
                                <w:bottom w:val="none" w:sz="0" w:space="0" w:color="auto"/>
                                <w:right w:val="none" w:sz="0" w:space="0" w:color="auto"/>
                              </w:divBdr>
                              <w:divsChild>
                                <w:div w:id="20237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5854841">
      <w:bodyDiv w:val="1"/>
      <w:marLeft w:val="0"/>
      <w:marRight w:val="0"/>
      <w:marTop w:val="0"/>
      <w:marBottom w:val="0"/>
      <w:divBdr>
        <w:top w:val="none" w:sz="0" w:space="0" w:color="auto"/>
        <w:left w:val="none" w:sz="0" w:space="0" w:color="auto"/>
        <w:bottom w:val="none" w:sz="0" w:space="0" w:color="auto"/>
        <w:right w:val="none" w:sz="0" w:space="0" w:color="auto"/>
      </w:divBdr>
      <w:divsChild>
        <w:div w:id="949580818">
          <w:marLeft w:val="0"/>
          <w:marRight w:val="0"/>
          <w:marTop w:val="0"/>
          <w:marBottom w:val="0"/>
          <w:divBdr>
            <w:top w:val="none" w:sz="0" w:space="0" w:color="auto"/>
            <w:left w:val="none" w:sz="0" w:space="0" w:color="auto"/>
            <w:bottom w:val="none" w:sz="0" w:space="0" w:color="auto"/>
            <w:right w:val="none" w:sz="0" w:space="0" w:color="auto"/>
          </w:divBdr>
          <w:divsChild>
            <w:div w:id="479348989">
              <w:marLeft w:val="0"/>
              <w:marRight w:val="0"/>
              <w:marTop w:val="0"/>
              <w:marBottom w:val="0"/>
              <w:divBdr>
                <w:top w:val="none" w:sz="0" w:space="0" w:color="auto"/>
                <w:left w:val="none" w:sz="0" w:space="0" w:color="auto"/>
                <w:bottom w:val="none" w:sz="0" w:space="0" w:color="auto"/>
                <w:right w:val="none" w:sz="0" w:space="0" w:color="auto"/>
              </w:divBdr>
              <w:divsChild>
                <w:div w:id="1407412862">
                  <w:marLeft w:val="0"/>
                  <w:marRight w:val="0"/>
                  <w:marTop w:val="0"/>
                  <w:marBottom w:val="0"/>
                  <w:divBdr>
                    <w:top w:val="none" w:sz="0" w:space="0" w:color="auto"/>
                    <w:left w:val="none" w:sz="0" w:space="0" w:color="auto"/>
                    <w:bottom w:val="none" w:sz="0" w:space="0" w:color="auto"/>
                    <w:right w:val="none" w:sz="0" w:space="0" w:color="auto"/>
                  </w:divBdr>
                  <w:divsChild>
                    <w:div w:id="1190754948">
                      <w:marLeft w:val="0"/>
                      <w:marRight w:val="0"/>
                      <w:marTop w:val="0"/>
                      <w:marBottom w:val="0"/>
                      <w:divBdr>
                        <w:top w:val="none" w:sz="0" w:space="0" w:color="auto"/>
                        <w:left w:val="none" w:sz="0" w:space="0" w:color="auto"/>
                        <w:bottom w:val="none" w:sz="0" w:space="0" w:color="auto"/>
                        <w:right w:val="none" w:sz="0" w:space="0" w:color="auto"/>
                      </w:divBdr>
                      <w:divsChild>
                        <w:div w:id="118375661">
                          <w:marLeft w:val="0"/>
                          <w:marRight w:val="0"/>
                          <w:marTop w:val="0"/>
                          <w:marBottom w:val="0"/>
                          <w:divBdr>
                            <w:top w:val="none" w:sz="0" w:space="0" w:color="auto"/>
                            <w:left w:val="none" w:sz="0" w:space="0" w:color="auto"/>
                            <w:bottom w:val="none" w:sz="0" w:space="0" w:color="auto"/>
                            <w:right w:val="none" w:sz="0" w:space="0" w:color="auto"/>
                          </w:divBdr>
                          <w:divsChild>
                            <w:div w:id="1245452817">
                              <w:marLeft w:val="0"/>
                              <w:marRight w:val="0"/>
                              <w:marTop w:val="0"/>
                              <w:marBottom w:val="0"/>
                              <w:divBdr>
                                <w:top w:val="none" w:sz="0" w:space="0" w:color="auto"/>
                                <w:left w:val="none" w:sz="0" w:space="0" w:color="auto"/>
                                <w:bottom w:val="none" w:sz="0" w:space="0" w:color="auto"/>
                                <w:right w:val="none" w:sz="0" w:space="0" w:color="auto"/>
                              </w:divBdr>
                              <w:divsChild>
                                <w:div w:id="131486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RvW98</b:Tag>
    <b:SourceType>Case</b:SourceType>
    <b:Guid>{011324DD-25EF-45F9-8390-B93153380010}</b:Guid>
    <b:Title>R. v. Williams </b:Title>
    <b:Year>1998</b:Year>
    <b:CaseNumber>25375</b:CaseNumber>
    <b:Court>Supreme Court of Canada</b:Court>
    <b:Month>February</b:Month>
    <b:Day>24</b:Day>
    <b:RefOrder>1</b:RefOrder>
  </b:Source>
</b:Sources>
</file>

<file path=customXml/itemProps1.xml><?xml version="1.0" encoding="utf-8"?>
<ds:datastoreItem xmlns:ds="http://schemas.openxmlformats.org/officeDocument/2006/customXml" ds:itemID="{6952154B-2BA5-4AB5-A737-068575BCA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588</Words>
  <Characters>3357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dc:creator>
  <cp:lastModifiedBy>nimcguire</cp:lastModifiedBy>
  <cp:revision>3</cp:revision>
  <cp:lastPrinted>2015-02-13T20:03:00Z</cp:lastPrinted>
  <dcterms:created xsi:type="dcterms:W3CDTF">2015-02-13T20:37:00Z</dcterms:created>
  <dcterms:modified xsi:type="dcterms:W3CDTF">2015-02-13T20:37:00Z</dcterms:modified>
</cp:coreProperties>
</file>