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0CCC" w:rsidRDefault="00A20639" w:rsidP="00A20639">
      <w:pPr>
        <w:pStyle w:val="ListBullet"/>
        <w:numPr>
          <w:ilvl w:val="0"/>
          <w:numId w:val="0"/>
        </w:numPr>
        <w:jc w:val="center"/>
        <w:rPr>
          <w:b/>
        </w:rPr>
      </w:pPr>
      <w:r w:rsidRPr="00A20639">
        <w:rPr>
          <w:b/>
        </w:rPr>
        <w:t>Tutorial Workshop</w:t>
      </w:r>
      <w:r w:rsidR="00B00CCC">
        <w:rPr>
          <w:b/>
        </w:rPr>
        <w:t xml:space="preserve"> Preparation Exercise (Mandatory)</w:t>
      </w:r>
      <w:r w:rsidRPr="00A20639">
        <w:rPr>
          <w:b/>
        </w:rPr>
        <w:t xml:space="preserve">: </w:t>
      </w:r>
    </w:p>
    <w:p w:rsidR="00A20639" w:rsidRDefault="00A20639" w:rsidP="00A20639">
      <w:pPr>
        <w:pStyle w:val="ListBullet"/>
        <w:numPr>
          <w:ilvl w:val="0"/>
          <w:numId w:val="0"/>
        </w:numPr>
        <w:jc w:val="center"/>
        <w:rPr>
          <w:b/>
        </w:rPr>
      </w:pPr>
      <w:r w:rsidRPr="00A20639">
        <w:rPr>
          <w:b/>
        </w:rPr>
        <w:t>Case Law Analysis</w:t>
      </w:r>
    </w:p>
    <w:p w:rsidR="00F8119B" w:rsidRDefault="00F8119B" w:rsidP="0028692D">
      <w:pPr>
        <w:jc w:val="center"/>
        <w:rPr>
          <w:b/>
          <w:sz w:val="24"/>
        </w:rPr>
      </w:pPr>
      <w:r w:rsidRPr="0028692D">
        <w:rPr>
          <w:b/>
          <w:sz w:val="24"/>
        </w:rPr>
        <w:t>Halpern v Canada, 2003</w:t>
      </w:r>
    </w:p>
    <w:p w:rsidR="0028692D" w:rsidRPr="0028692D" w:rsidRDefault="0028692D" w:rsidP="0028692D">
      <w:pPr>
        <w:rPr>
          <w:b/>
          <w:sz w:val="24"/>
        </w:rPr>
      </w:pPr>
      <w:r>
        <w:rPr>
          <w:b/>
          <w:sz w:val="24"/>
        </w:rPr>
        <w:t>TASK:</w:t>
      </w:r>
    </w:p>
    <w:p w:rsidR="00627053" w:rsidRDefault="00D5670B" w:rsidP="00F52711">
      <w:pPr>
        <w:ind w:left="720"/>
      </w:pPr>
      <w:r>
        <w:t xml:space="preserve">Read the case of </w:t>
      </w:r>
      <w:r w:rsidRPr="00510C5A">
        <w:rPr>
          <w:i/>
        </w:rPr>
        <w:t>Halpern</w:t>
      </w:r>
      <w:r>
        <w:t xml:space="preserve"> v </w:t>
      </w:r>
      <w:r w:rsidRPr="00510C5A">
        <w:rPr>
          <w:i/>
        </w:rPr>
        <w:t>Attorney General</w:t>
      </w:r>
      <w:r>
        <w:t xml:space="preserve">, posted in the TUTORIALS material on </w:t>
      </w:r>
      <w:proofErr w:type="spellStart"/>
      <w:r w:rsidR="00B00CCC">
        <w:t>cuLearn</w:t>
      </w:r>
      <w:proofErr w:type="spellEnd"/>
      <w:r w:rsidR="00B00CCC">
        <w:t xml:space="preserve">. </w:t>
      </w:r>
      <w:r>
        <w:t xml:space="preserve"> </w:t>
      </w:r>
    </w:p>
    <w:p w:rsidR="00A20639" w:rsidRDefault="00D3027D" w:rsidP="00A20639">
      <w:pPr>
        <w:ind w:left="720"/>
      </w:pPr>
      <w:r>
        <w:t xml:space="preserve">Read through the </w:t>
      </w:r>
      <w:r w:rsidRPr="00627053">
        <w:rPr>
          <w:i/>
        </w:rPr>
        <w:t>Halpern</w:t>
      </w:r>
      <w:r>
        <w:t xml:space="preserve"> case </w:t>
      </w:r>
      <w:r w:rsidR="00D5670B">
        <w:t xml:space="preserve">with an eye to the ‘framing question’ given </w:t>
      </w:r>
      <w:r>
        <w:t>and write a short sample Case Brief of the decision. Your samp</w:t>
      </w:r>
      <w:r w:rsidR="00A20639">
        <w:t>le should be no longer than 1750</w:t>
      </w:r>
      <w:r>
        <w:t xml:space="preserve"> words. You do not need to focus too much upon literary polish. </w:t>
      </w:r>
      <w:r w:rsidR="00A20639">
        <w:t xml:space="preserve"> </w:t>
      </w:r>
    </w:p>
    <w:p w:rsidR="00F8119B" w:rsidRDefault="00D5670B" w:rsidP="00A20639">
      <w:pPr>
        <w:ind w:left="720"/>
      </w:pPr>
      <w:r>
        <w:t xml:space="preserve">This is </w:t>
      </w:r>
      <w:r w:rsidR="00A20639">
        <w:t xml:space="preserve">a reading and drafting exercise for the purposes of review and discussion in your tutorial. You will learn </w:t>
      </w:r>
      <w:r w:rsidR="00D3027D">
        <w:t xml:space="preserve">from one another about what you think is required </w:t>
      </w:r>
      <w:r>
        <w:t xml:space="preserve">for a Case Brief and compare how you have read the </w:t>
      </w:r>
      <w:r w:rsidR="00D3027D">
        <w:t xml:space="preserve">case. </w:t>
      </w:r>
    </w:p>
    <w:p w:rsidR="004B4222" w:rsidRDefault="00F52711" w:rsidP="0028692D">
      <w:pPr>
        <w:ind w:left="720"/>
      </w:pPr>
      <w:r w:rsidRPr="00F52711">
        <w:rPr>
          <w:b/>
          <w:sz w:val="24"/>
        </w:rPr>
        <w:t>BRING 5 COPIES OF YOUR CASE BRIEF TO THE TUTORIAL</w:t>
      </w:r>
      <w:r w:rsidRPr="00F52711">
        <w:rPr>
          <w:sz w:val="24"/>
        </w:rPr>
        <w:t xml:space="preserve"> </w:t>
      </w:r>
      <w:r w:rsidR="004B4222">
        <w:t>as you wil</w:t>
      </w:r>
      <w:r w:rsidR="00510C5A">
        <w:t>l be reading each other’s work and giving a copy to the TA</w:t>
      </w:r>
      <w:r w:rsidR="0028692D">
        <w:t>.</w:t>
      </w:r>
    </w:p>
    <w:p w:rsidR="006625EB" w:rsidRDefault="00D5670B" w:rsidP="00D5670B">
      <w:r>
        <w:rPr>
          <w:b/>
        </w:rPr>
        <w:t xml:space="preserve">FRAMING </w:t>
      </w:r>
      <w:r w:rsidR="00E72530">
        <w:rPr>
          <w:b/>
        </w:rPr>
        <w:t>QUESTION:</w:t>
      </w:r>
      <w:r>
        <w:t xml:space="preserve"> </w:t>
      </w:r>
    </w:p>
    <w:p w:rsidR="00D5670B" w:rsidRDefault="00D5670B" w:rsidP="00D5670B">
      <w:r>
        <w:t xml:space="preserve">Thinking back to our notional class research question, read this case with a view to answering one of the subsidiary questions: </w:t>
      </w:r>
      <w:r w:rsidR="0028692D">
        <w:t xml:space="preserve">what shift occurred in judicial decision-making on same sex marriage in the </w:t>
      </w:r>
      <w:r w:rsidR="0028692D" w:rsidRPr="00D5670B">
        <w:rPr>
          <w:i/>
        </w:rPr>
        <w:t>Halpern</w:t>
      </w:r>
      <w:r w:rsidR="0028692D">
        <w:t xml:space="preserve"> case? </w:t>
      </w:r>
    </w:p>
    <w:p w:rsidR="006625EB" w:rsidRPr="006625EB" w:rsidRDefault="006625EB" w:rsidP="00D5670B">
      <w:pPr>
        <w:rPr>
          <w:b/>
        </w:rPr>
      </w:pPr>
      <w:r w:rsidRPr="006625EB">
        <w:rPr>
          <w:b/>
        </w:rPr>
        <w:t>BRIEFING HALPERN</w:t>
      </w:r>
    </w:p>
    <w:p w:rsidR="00AF14F4" w:rsidRDefault="0078131E" w:rsidP="00D5670B">
      <w:pPr>
        <w:pStyle w:val="ListParagraph"/>
        <w:numPr>
          <w:ilvl w:val="0"/>
          <w:numId w:val="10"/>
        </w:numPr>
        <w:rPr>
          <w:b/>
        </w:rPr>
      </w:pPr>
      <w:r w:rsidRPr="00D5670B">
        <w:rPr>
          <w:b/>
        </w:rPr>
        <w:t xml:space="preserve">What is the correct, complete citation for the </w:t>
      </w:r>
      <w:r w:rsidRPr="00D5670B">
        <w:rPr>
          <w:b/>
          <w:i/>
        </w:rPr>
        <w:t>Halpern</w:t>
      </w:r>
      <w:r w:rsidRPr="00D5670B">
        <w:rPr>
          <w:b/>
        </w:rPr>
        <w:t xml:space="preserve"> case? </w:t>
      </w:r>
    </w:p>
    <w:p w:rsidR="0078131E" w:rsidRPr="00842918" w:rsidRDefault="00AF14F4" w:rsidP="00AF14F4">
      <w:pPr>
        <w:pStyle w:val="ListParagraph"/>
      </w:pPr>
      <w:r w:rsidRPr="00842918">
        <w:t>Halpern</w:t>
      </w:r>
      <w:r w:rsidR="004D4E5B" w:rsidRPr="00842918">
        <w:t xml:space="preserve"> et al.</w:t>
      </w:r>
      <w:r w:rsidRPr="00842918">
        <w:t xml:space="preserve"> v</w:t>
      </w:r>
      <w:r w:rsidR="004D4E5B" w:rsidRPr="00842918">
        <w:t>.</w:t>
      </w:r>
      <w:r w:rsidRPr="00842918">
        <w:t xml:space="preserve"> Attorney General Halpern et al. v. Attorney General of Canada </w:t>
      </w:r>
      <w:r w:rsidR="004D4E5B" w:rsidRPr="00842918">
        <w:t>et al</w:t>
      </w:r>
      <w:proofErr w:type="gramStart"/>
      <w:r w:rsidR="004D4E5B" w:rsidRPr="00842918">
        <w:t>. ;</w:t>
      </w:r>
      <w:proofErr w:type="gramEnd"/>
      <w:r w:rsidR="004D4E5B" w:rsidRPr="00842918">
        <w:t xml:space="preserve"> </w:t>
      </w:r>
      <w:proofErr w:type="spellStart"/>
      <w:r w:rsidR="004D4E5B" w:rsidRPr="00842918">
        <w:t>Egale</w:t>
      </w:r>
      <w:proofErr w:type="spellEnd"/>
      <w:r w:rsidR="004D4E5B" w:rsidRPr="00842918">
        <w:t xml:space="preserve"> [2003] O.J. No. 2268; 225 D.L.R (4</w:t>
      </w:r>
      <w:r w:rsidR="004D4E5B" w:rsidRPr="00842918">
        <w:rPr>
          <w:vertAlign w:val="superscript"/>
        </w:rPr>
        <w:t>th</w:t>
      </w:r>
      <w:r w:rsidR="004D4E5B" w:rsidRPr="00842918">
        <w:t>) 529</w:t>
      </w:r>
      <w:r w:rsidR="00D5670B" w:rsidRPr="00842918">
        <w:br/>
      </w:r>
    </w:p>
    <w:p w:rsidR="0078131E" w:rsidRPr="0078131E" w:rsidRDefault="0078131E" w:rsidP="0078131E">
      <w:pPr>
        <w:pStyle w:val="ListParagraph"/>
        <w:numPr>
          <w:ilvl w:val="0"/>
          <w:numId w:val="10"/>
        </w:numPr>
        <w:rPr>
          <w:b/>
        </w:rPr>
      </w:pPr>
      <w:r>
        <w:rPr>
          <w:b/>
        </w:rPr>
        <w:t xml:space="preserve">Draft a case  brief of the </w:t>
      </w:r>
      <w:r w:rsidRPr="00E72530">
        <w:rPr>
          <w:b/>
          <w:i/>
        </w:rPr>
        <w:t>Halpern</w:t>
      </w:r>
      <w:r>
        <w:rPr>
          <w:b/>
        </w:rPr>
        <w:t xml:space="preserve"> case containing the following elements:</w:t>
      </w:r>
    </w:p>
    <w:p w:rsidR="0078131E" w:rsidRDefault="0078131E" w:rsidP="0078131E">
      <w:pPr>
        <w:pStyle w:val="ListParagraph"/>
        <w:ind w:left="1440"/>
        <w:rPr>
          <w:b/>
        </w:rPr>
      </w:pPr>
    </w:p>
    <w:p w:rsidR="0078131E" w:rsidRPr="0078131E" w:rsidRDefault="0078131E" w:rsidP="0078131E">
      <w:pPr>
        <w:pStyle w:val="ListParagraph"/>
        <w:numPr>
          <w:ilvl w:val="1"/>
          <w:numId w:val="14"/>
        </w:numPr>
        <w:rPr>
          <w:b/>
        </w:rPr>
      </w:pPr>
      <w:r w:rsidRPr="0078131E">
        <w:rPr>
          <w:b/>
        </w:rPr>
        <w:t>Cause of Action</w:t>
      </w:r>
      <w:r w:rsidR="001D6A4B">
        <w:rPr>
          <w:b/>
        </w:rPr>
        <w:t xml:space="preserve"> </w:t>
      </w:r>
    </w:p>
    <w:p w:rsidR="0078131E" w:rsidRPr="004D4E5B" w:rsidRDefault="001D6A4B" w:rsidP="001D6A4B">
      <w:pPr>
        <w:pStyle w:val="ListParagraph"/>
        <w:numPr>
          <w:ilvl w:val="0"/>
          <w:numId w:val="1"/>
        </w:numPr>
        <w:ind w:left="1800"/>
        <w:rPr>
          <w:b/>
        </w:rPr>
      </w:pPr>
      <w:r>
        <w:t>Identify the parties to the case and the nature of the claim</w:t>
      </w:r>
    </w:p>
    <w:p w:rsidR="004D4E5B" w:rsidRPr="00842918" w:rsidRDefault="004D4E5B" w:rsidP="004D4E5B">
      <w:pPr>
        <w:pStyle w:val="ListParagraph"/>
        <w:ind w:left="1800"/>
      </w:pPr>
      <w:r w:rsidRPr="00842918">
        <w:t>Parties of the case are seven gay and lesbian couples who want to get married.</w:t>
      </w:r>
      <w:r w:rsidR="001C7EA7" w:rsidRPr="00842918">
        <w:t xml:space="preserve"> The claim is to get married like other </w:t>
      </w:r>
      <w:proofErr w:type="spellStart"/>
      <w:r w:rsidR="001C7EA7" w:rsidRPr="00842918">
        <w:t>hetrosexual</w:t>
      </w:r>
      <w:proofErr w:type="spellEnd"/>
      <w:r w:rsidR="001C7EA7" w:rsidRPr="00842918">
        <w:t xml:space="preserve"> couples and to be able to have marriage licences. </w:t>
      </w:r>
    </w:p>
    <w:p w:rsidR="00E47C9A" w:rsidRPr="001D6A4B" w:rsidRDefault="00E47C9A" w:rsidP="00E47C9A">
      <w:pPr>
        <w:pStyle w:val="ListParagraph"/>
        <w:ind w:left="1800"/>
        <w:rPr>
          <w:b/>
        </w:rPr>
      </w:pPr>
    </w:p>
    <w:p w:rsidR="0078131E" w:rsidRPr="0078131E" w:rsidRDefault="001D6A4B" w:rsidP="0078131E">
      <w:pPr>
        <w:pStyle w:val="ListParagraph"/>
        <w:numPr>
          <w:ilvl w:val="1"/>
          <w:numId w:val="14"/>
        </w:numPr>
        <w:rPr>
          <w:b/>
        </w:rPr>
      </w:pPr>
      <w:r>
        <w:rPr>
          <w:b/>
        </w:rPr>
        <w:t>Facts</w:t>
      </w:r>
    </w:p>
    <w:p w:rsidR="001C7EA7" w:rsidRPr="009F2071" w:rsidRDefault="0078131E" w:rsidP="0078131E">
      <w:pPr>
        <w:pStyle w:val="ListParagraph"/>
        <w:numPr>
          <w:ilvl w:val="0"/>
          <w:numId w:val="8"/>
        </w:numPr>
        <w:rPr>
          <w:b/>
        </w:rPr>
      </w:pPr>
      <w:r>
        <w:t xml:space="preserve">Summarize the relevant and material facts that are necessary to understand what </w:t>
      </w:r>
      <w:bookmarkStart w:id="0" w:name="_GoBack"/>
      <w:bookmarkEnd w:id="0"/>
      <w:r>
        <w:t xml:space="preserve">the </w:t>
      </w:r>
      <w:r w:rsidR="001D6A4B">
        <w:t xml:space="preserve">dispute and legal case </w:t>
      </w:r>
      <w:r>
        <w:t>wa</w:t>
      </w:r>
      <w:r w:rsidR="001D6A4B">
        <w:t>s about.</w:t>
      </w:r>
    </w:p>
    <w:p w:rsidR="009F2071" w:rsidRPr="001C7EA7" w:rsidRDefault="009F2071" w:rsidP="0078131E">
      <w:pPr>
        <w:pStyle w:val="ListParagraph"/>
        <w:numPr>
          <w:ilvl w:val="0"/>
          <w:numId w:val="8"/>
        </w:numPr>
        <w:rPr>
          <w:b/>
        </w:rPr>
      </w:pPr>
      <w:r>
        <w:t>This case was at the Ontario court of Appeal level</w:t>
      </w:r>
    </w:p>
    <w:p w:rsidR="001C7EA7" w:rsidRPr="001C7EA7" w:rsidRDefault="001C7EA7" w:rsidP="0078131E">
      <w:pPr>
        <w:pStyle w:val="ListParagraph"/>
        <w:numPr>
          <w:ilvl w:val="0"/>
          <w:numId w:val="8"/>
        </w:numPr>
        <w:rPr>
          <w:b/>
        </w:rPr>
      </w:pPr>
      <w:r>
        <w:t>The seven lesbian and gay couples applied for civil marriage licences unsuccessfully.</w:t>
      </w:r>
    </w:p>
    <w:p w:rsidR="001C7EA7" w:rsidRPr="009F2071" w:rsidRDefault="001C7EA7" w:rsidP="0078131E">
      <w:pPr>
        <w:pStyle w:val="ListParagraph"/>
        <w:numPr>
          <w:ilvl w:val="0"/>
          <w:numId w:val="8"/>
        </w:numPr>
        <w:rPr>
          <w:b/>
        </w:rPr>
      </w:pPr>
      <w:r>
        <w:lastRenderedPageBreak/>
        <w:t xml:space="preserve">Two homosexual couples wanted to get married through the traditional way. </w:t>
      </w:r>
    </w:p>
    <w:p w:rsidR="009F2071" w:rsidRPr="001C7EA7" w:rsidRDefault="00B42C98" w:rsidP="0078131E">
      <w:pPr>
        <w:pStyle w:val="ListParagraph"/>
        <w:numPr>
          <w:ilvl w:val="0"/>
          <w:numId w:val="8"/>
        </w:numPr>
        <w:rPr>
          <w:b/>
        </w:rPr>
      </w:pPr>
      <w:r>
        <w:t xml:space="preserve">Around the same time, </w:t>
      </w:r>
      <w:r w:rsidR="009F2071">
        <w:t>The Metropolitan Community Church of Toronto published the banns of marriage</w:t>
      </w:r>
      <w:r>
        <w:t xml:space="preserve"> for homosexuals.</w:t>
      </w:r>
    </w:p>
    <w:p w:rsidR="009F2071" w:rsidRPr="009F2071" w:rsidRDefault="009F2071" w:rsidP="0078131E">
      <w:pPr>
        <w:pStyle w:val="ListParagraph"/>
        <w:numPr>
          <w:ilvl w:val="0"/>
          <w:numId w:val="8"/>
        </w:numPr>
        <w:rPr>
          <w:b/>
        </w:rPr>
      </w:pPr>
      <w:r>
        <w:t xml:space="preserve">Pastor of </w:t>
      </w:r>
      <w:r w:rsidR="001C7EA7">
        <w:t>MCCT submitted documentation for the two marriages</w:t>
      </w:r>
      <w:r w:rsidR="00B42C98">
        <w:t xml:space="preserve"> for the two homosexual couples</w:t>
      </w:r>
      <w:r w:rsidR="001C7EA7">
        <w:t xml:space="preserve"> to the office of the Registrar General, but were refused </w:t>
      </w:r>
      <w:r>
        <w:t>because federally, same-sex marriage was illegal.</w:t>
      </w:r>
    </w:p>
    <w:p w:rsidR="0078131E" w:rsidRPr="00383647" w:rsidRDefault="009F2071" w:rsidP="0078131E">
      <w:pPr>
        <w:pStyle w:val="ListParagraph"/>
        <w:numPr>
          <w:ilvl w:val="0"/>
          <w:numId w:val="8"/>
        </w:numPr>
        <w:rPr>
          <w:b/>
        </w:rPr>
      </w:pPr>
      <w:r>
        <w:t xml:space="preserve">At common law, the definition of marriage involves the union of man and woman and exclusion of others. </w:t>
      </w:r>
      <w:r w:rsidR="0078131E">
        <w:br/>
      </w:r>
    </w:p>
    <w:p w:rsidR="0078131E" w:rsidRPr="0078131E" w:rsidRDefault="001D6A4B" w:rsidP="0078131E">
      <w:pPr>
        <w:pStyle w:val="ListParagraph"/>
        <w:numPr>
          <w:ilvl w:val="1"/>
          <w:numId w:val="14"/>
        </w:numPr>
        <w:rPr>
          <w:b/>
        </w:rPr>
      </w:pPr>
      <w:r>
        <w:rPr>
          <w:b/>
        </w:rPr>
        <w:t xml:space="preserve">Legal Issues </w:t>
      </w:r>
    </w:p>
    <w:p w:rsidR="0078131E" w:rsidRDefault="0078131E" w:rsidP="0078131E">
      <w:pPr>
        <w:pStyle w:val="ListParagraph"/>
        <w:numPr>
          <w:ilvl w:val="0"/>
          <w:numId w:val="8"/>
        </w:numPr>
      </w:pPr>
      <w:r w:rsidRPr="00D117F1">
        <w:t xml:space="preserve">What were the legal </w:t>
      </w:r>
      <w:r w:rsidR="001D6A4B">
        <w:t>issues for resolution in the case were identified by the Court of Appeal</w:t>
      </w:r>
      <w:r>
        <w:t xml:space="preserve">? </w:t>
      </w:r>
      <w:r w:rsidR="0097208D">
        <w:t>(pg.11)</w:t>
      </w:r>
    </w:p>
    <w:p w:rsidR="00B42C98" w:rsidRDefault="00A03C86" w:rsidP="00A03C86">
      <w:pPr>
        <w:pStyle w:val="ListParagraph"/>
        <w:numPr>
          <w:ilvl w:val="0"/>
          <w:numId w:val="18"/>
        </w:numPr>
      </w:pPr>
      <w:r>
        <w:t>What is the common law definition of marriage and does it prohibit same-sex marriage?</w:t>
      </w:r>
    </w:p>
    <w:p w:rsidR="00A03C86" w:rsidRDefault="00A03C86" w:rsidP="00A03C86">
      <w:pPr>
        <w:pStyle w:val="ListParagraph"/>
        <w:numPr>
          <w:ilvl w:val="0"/>
          <w:numId w:val="18"/>
        </w:numPr>
      </w:pPr>
      <w:r>
        <w:t>Is a constitutional amendment required to change the common law definition of marriage, or can a reformulation be accomplished by Parliament or the courts?</w:t>
      </w:r>
    </w:p>
    <w:p w:rsidR="00A03C86" w:rsidRDefault="00A03C86" w:rsidP="00A03C86">
      <w:pPr>
        <w:pStyle w:val="ListParagraph"/>
        <w:numPr>
          <w:ilvl w:val="0"/>
          <w:numId w:val="18"/>
        </w:numPr>
      </w:pPr>
      <w:r>
        <w:t>Does the definition of marriage infringe MCCT’s rights under sections 2(a) and 15(1) of the charter?</w:t>
      </w:r>
    </w:p>
    <w:p w:rsidR="00A03C86" w:rsidRDefault="00A03C86" w:rsidP="00A03C86">
      <w:pPr>
        <w:pStyle w:val="ListParagraph"/>
        <w:numPr>
          <w:ilvl w:val="0"/>
          <w:numId w:val="18"/>
        </w:numPr>
      </w:pPr>
      <w:r>
        <w:t>Does the definition of marriage infringe the couple’s</w:t>
      </w:r>
      <w:r w:rsidR="00E3019D">
        <w:t xml:space="preserve"> equality</w:t>
      </w:r>
      <w:r>
        <w:t xml:space="preserve"> rights under sections </w:t>
      </w:r>
      <w:r w:rsidR="00E3019D">
        <w:t>15(1) of the charter?</w:t>
      </w:r>
    </w:p>
    <w:p w:rsidR="00E3019D" w:rsidRDefault="00E3019D" w:rsidP="00A03C86">
      <w:pPr>
        <w:pStyle w:val="ListParagraph"/>
        <w:numPr>
          <w:ilvl w:val="0"/>
          <w:numId w:val="18"/>
        </w:numPr>
      </w:pPr>
      <w:r>
        <w:t xml:space="preserve">Is the infringement saved by section 1 of the charter? </w:t>
      </w:r>
    </w:p>
    <w:p w:rsidR="00E3019D" w:rsidRDefault="00E3019D" w:rsidP="00A03C86">
      <w:pPr>
        <w:pStyle w:val="ListParagraph"/>
        <w:numPr>
          <w:ilvl w:val="0"/>
          <w:numId w:val="18"/>
        </w:numPr>
      </w:pPr>
      <w:r>
        <w:t>If the common law definition of marriage is unconstitutional, what is the appropriate remedy and should it be suspended for any period of time?</w:t>
      </w:r>
    </w:p>
    <w:p w:rsidR="00E47C9A" w:rsidRDefault="00E47C9A" w:rsidP="00E47C9A">
      <w:pPr>
        <w:pStyle w:val="ListParagraph"/>
        <w:ind w:left="1800"/>
      </w:pPr>
    </w:p>
    <w:p w:rsidR="00D5670B" w:rsidRDefault="00D5670B" w:rsidP="00E3019D"/>
    <w:p w:rsidR="0078131E" w:rsidRDefault="0078131E" w:rsidP="0078131E">
      <w:pPr>
        <w:numPr>
          <w:ilvl w:val="1"/>
          <w:numId w:val="14"/>
        </w:numPr>
        <w:rPr>
          <w:b/>
        </w:rPr>
      </w:pPr>
      <w:r>
        <w:rPr>
          <w:b/>
        </w:rPr>
        <w:t>Applica</w:t>
      </w:r>
      <w:r w:rsidR="001D6A4B">
        <w:rPr>
          <w:b/>
        </w:rPr>
        <w:t>ble (or Governing) Rules</w:t>
      </w:r>
    </w:p>
    <w:p w:rsidR="0078131E" w:rsidRPr="00E3019D" w:rsidRDefault="001D6A4B" w:rsidP="0078131E">
      <w:pPr>
        <w:pStyle w:val="ListParagraph"/>
        <w:numPr>
          <w:ilvl w:val="0"/>
          <w:numId w:val="2"/>
        </w:numPr>
        <w:rPr>
          <w:b/>
        </w:rPr>
      </w:pPr>
      <w:r>
        <w:t xml:space="preserve">In approaching resolution of the case and consideration of the legal issues, what </w:t>
      </w:r>
      <w:r w:rsidR="0078131E">
        <w:t xml:space="preserve">main legal principles </w:t>
      </w:r>
      <w:r>
        <w:t xml:space="preserve">(case law) </w:t>
      </w:r>
      <w:r w:rsidR="0078131E">
        <w:t xml:space="preserve">or </w:t>
      </w:r>
      <w:r>
        <w:t xml:space="preserve">legislative </w:t>
      </w:r>
      <w:r w:rsidR="0078131E">
        <w:t xml:space="preserve">provisions </w:t>
      </w:r>
      <w:r>
        <w:t xml:space="preserve">were identified by the judges as forming the legal framework for the case? </w:t>
      </w:r>
    </w:p>
    <w:p w:rsidR="00E3019D" w:rsidRPr="00961C52" w:rsidRDefault="00E3019D" w:rsidP="00961C52">
      <w:pPr>
        <w:pStyle w:val="ListParagraph"/>
        <w:numPr>
          <w:ilvl w:val="0"/>
          <w:numId w:val="18"/>
        </w:numPr>
        <w:rPr>
          <w:b/>
        </w:rPr>
      </w:pPr>
      <w:r>
        <w:t xml:space="preserve">The </w:t>
      </w:r>
      <w:r w:rsidR="00961C52">
        <w:t xml:space="preserve">appeal of the </w:t>
      </w:r>
      <w:r>
        <w:t xml:space="preserve">case </w:t>
      </w:r>
      <w:r w:rsidR="00961C52">
        <w:t>focuses</w:t>
      </w:r>
      <w:r>
        <w:t xml:space="preserve"> about the recognition and protection of human dignity and equality in the context of the social structures available to conjugal couples </w:t>
      </w:r>
      <w:r w:rsidR="00961C52">
        <w:t>in Canada. (pg.7)</w:t>
      </w:r>
    </w:p>
    <w:p w:rsidR="00961C52" w:rsidRPr="00961C52" w:rsidRDefault="00961C52" w:rsidP="00961C52">
      <w:pPr>
        <w:pStyle w:val="ListParagraph"/>
        <w:numPr>
          <w:ilvl w:val="0"/>
          <w:numId w:val="18"/>
        </w:numPr>
        <w:rPr>
          <w:b/>
        </w:rPr>
      </w:pPr>
      <w:r>
        <w:t>The public policy in Ontario to recognize the dignity and worth of every person and to provide for equal rights and opportunities without discrimination that is contrary to law (pg.7)</w:t>
      </w:r>
    </w:p>
    <w:p w:rsidR="00961C52" w:rsidRPr="001D6A4B" w:rsidRDefault="00961C52" w:rsidP="00961C52">
      <w:pPr>
        <w:pStyle w:val="ListParagraph"/>
        <w:ind w:left="1800"/>
        <w:rPr>
          <w:b/>
        </w:rPr>
      </w:pPr>
    </w:p>
    <w:p w:rsidR="001D6A4B" w:rsidRPr="001D6A4B" w:rsidRDefault="001D6A4B" w:rsidP="001D6A4B">
      <w:pPr>
        <w:pStyle w:val="ListParagraph"/>
        <w:ind w:left="1440"/>
        <w:rPr>
          <w:b/>
        </w:rPr>
      </w:pPr>
    </w:p>
    <w:p w:rsidR="0078131E" w:rsidRPr="00BF2CDE" w:rsidRDefault="0078131E" w:rsidP="0078131E">
      <w:pPr>
        <w:pStyle w:val="ListParagraph"/>
        <w:ind w:left="1440"/>
        <w:rPr>
          <w:b/>
        </w:rPr>
      </w:pPr>
      <w:r>
        <w:lastRenderedPageBreak/>
        <w:t>(Note: Generally judges set this information out near the beginning of their judgments.</w:t>
      </w:r>
      <w:r w:rsidR="001D6A4B">
        <w:t xml:space="preserve"> Your statement here should be quite short – you do not need to set out the details. You don’t need to include what they thought about this governing law in this short section.) </w:t>
      </w:r>
    </w:p>
    <w:p w:rsidR="0078131E" w:rsidRPr="00837BB8" w:rsidRDefault="00616C35" w:rsidP="0078131E">
      <w:pPr>
        <w:numPr>
          <w:ilvl w:val="1"/>
          <w:numId w:val="14"/>
        </w:numPr>
        <w:rPr>
          <w:b/>
        </w:rPr>
      </w:pPr>
      <w:r>
        <w:rPr>
          <w:b/>
        </w:rPr>
        <w:t>Decision</w:t>
      </w:r>
    </w:p>
    <w:p w:rsidR="0078131E" w:rsidRDefault="0078131E" w:rsidP="0078131E">
      <w:pPr>
        <w:pStyle w:val="ListParagraph"/>
        <w:numPr>
          <w:ilvl w:val="0"/>
          <w:numId w:val="1"/>
        </w:numPr>
        <w:ind w:left="1800"/>
      </w:pPr>
      <w:r>
        <w:t xml:space="preserve">What was the decision in the case?  </w:t>
      </w:r>
    </w:p>
    <w:p w:rsidR="00B22A89" w:rsidRDefault="00B22A89" w:rsidP="00B22A89">
      <w:pPr>
        <w:pStyle w:val="ListParagraph"/>
        <w:numPr>
          <w:ilvl w:val="0"/>
          <w:numId w:val="18"/>
        </w:numPr>
      </w:pPr>
      <w:r>
        <w:t>The final decision of the case was that homosexual couples can get married just like heterosexual couples.</w:t>
      </w:r>
    </w:p>
    <w:p w:rsidR="00B22A89" w:rsidRDefault="00B22A89" w:rsidP="00B22A89">
      <w:pPr>
        <w:pStyle w:val="ListParagraph"/>
        <w:numPr>
          <w:ilvl w:val="0"/>
          <w:numId w:val="18"/>
        </w:numPr>
      </w:pPr>
      <w:r>
        <w:t xml:space="preserve"> Both the attorney general of Canada’s appeal and MCCT’S cross appeal was dismissed. </w:t>
      </w:r>
    </w:p>
    <w:p w:rsidR="00B22A89" w:rsidRDefault="00B22A89" w:rsidP="00B22A89">
      <w:pPr>
        <w:pStyle w:val="ListParagraph"/>
        <w:numPr>
          <w:ilvl w:val="0"/>
          <w:numId w:val="18"/>
        </w:numPr>
      </w:pPr>
      <w:r>
        <w:t xml:space="preserve">Couples’ cross appeal and MCCT’s cross appeal on remedy were allowed. </w:t>
      </w:r>
    </w:p>
    <w:p w:rsidR="001D6A4B" w:rsidRDefault="001D6A4B" w:rsidP="0078131E">
      <w:pPr>
        <w:pStyle w:val="ListParagraph"/>
        <w:numPr>
          <w:ilvl w:val="0"/>
          <w:numId w:val="1"/>
        </w:numPr>
        <w:ind w:left="1800"/>
      </w:pPr>
      <w:r>
        <w:t>What remedy did the court order, if any?</w:t>
      </w:r>
    </w:p>
    <w:p w:rsidR="00B22A89" w:rsidRDefault="00B22A89" w:rsidP="004E353A">
      <w:pPr>
        <w:pStyle w:val="ListParagraph"/>
        <w:numPr>
          <w:ilvl w:val="0"/>
          <w:numId w:val="18"/>
        </w:numPr>
      </w:pPr>
      <w:r>
        <w:t>The common law definition is inconsistent with the charter to the extent that it excludes same-sex couples.</w:t>
      </w:r>
      <w:r w:rsidR="002F45C3">
        <w:t xml:space="preserve"> Pg.(31)</w:t>
      </w:r>
    </w:p>
    <w:p w:rsidR="002F45C3" w:rsidRDefault="002F45C3" w:rsidP="004E353A">
      <w:pPr>
        <w:pStyle w:val="ListParagraph"/>
        <w:numPr>
          <w:ilvl w:val="0"/>
          <w:numId w:val="18"/>
        </w:numPr>
      </w:pPr>
      <w:r>
        <w:t>Declaring invalid the existing definition of marriage to the extent that it refers to “one man and one woman” and to reformulate the definition of marriage as “the voluntary union for life of two persons to the exclusion of all others”, which achieves the equality required by section 15(1) of the Charter. (pg.31)</w:t>
      </w:r>
    </w:p>
    <w:p w:rsidR="004E353A" w:rsidRDefault="004E353A" w:rsidP="004E353A">
      <w:pPr>
        <w:pStyle w:val="ListParagraph"/>
        <w:numPr>
          <w:ilvl w:val="0"/>
          <w:numId w:val="18"/>
        </w:numPr>
      </w:pPr>
      <w:r>
        <w:t>Have immediate effect</w:t>
      </w:r>
    </w:p>
    <w:p w:rsidR="004E353A" w:rsidRDefault="004E353A" w:rsidP="004E353A">
      <w:pPr>
        <w:pStyle w:val="ListParagraph"/>
        <w:numPr>
          <w:ilvl w:val="0"/>
          <w:numId w:val="18"/>
        </w:numPr>
      </w:pPr>
      <w:r>
        <w:t>Ordering the clerk of the city of Toronto to issue marriage licences for the couples. (pg. 34)</w:t>
      </w:r>
    </w:p>
    <w:p w:rsidR="0078131E" w:rsidRDefault="00616C35" w:rsidP="0078131E">
      <w:pPr>
        <w:numPr>
          <w:ilvl w:val="1"/>
          <w:numId w:val="14"/>
        </w:numPr>
        <w:rPr>
          <w:b/>
        </w:rPr>
      </w:pPr>
      <w:r>
        <w:rPr>
          <w:b/>
        </w:rPr>
        <w:t>Judicial Reasoning</w:t>
      </w:r>
    </w:p>
    <w:p w:rsidR="0078131E" w:rsidRPr="0078131E" w:rsidRDefault="0078131E" w:rsidP="0078131E">
      <w:pPr>
        <w:pStyle w:val="ListParagraph"/>
        <w:numPr>
          <w:ilvl w:val="0"/>
          <w:numId w:val="1"/>
        </w:numPr>
        <w:ind w:left="1800"/>
        <w:rPr>
          <w:b/>
        </w:rPr>
      </w:pPr>
      <w:r>
        <w:t>Outline the reasoning of the judges with respect to the following points:</w:t>
      </w:r>
    </w:p>
    <w:p w:rsidR="0078131E" w:rsidRPr="0078131E" w:rsidRDefault="0078131E" w:rsidP="0078131E">
      <w:pPr>
        <w:pStyle w:val="ListParagraph"/>
        <w:numPr>
          <w:ilvl w:val="2"/>
          <w:numId w:val="1"/>
        </w:numPr>
        <w:rPr>
          <w:b/>
        </w:rPr>
      </w:pPr>
      <w:r>
        <w:t>Common law definition of marriage</w:t>
      </w:r>
      <w:r w:rsidR="001C3073">
        <w:t xml:space="preserve"> pg.12</w:t>
      </w:r>
    </w:p>
    <w:p w:rsidR="0078131E" w:rsidRPr="0078131E" w:rsidRDefault="0078131E" w:rsidP="0078131E">
      <w:pPr>
        <w:pStyle w:val="ListParagraph"/>
        <w:numPr>
          <w:ilvl w:val="2"/>
          <w:numId w:val="1"/>
        </w:numPr>
        <w:rPr>
          <w:b/>
        </w:rPr>
      </w:pPr>
      <w:r>
        <w:t>Approach to constitutional interpretation as it relates to defining marriage</w:t>
      </w:r>
    </w:p>
    <w:p w:rsidR="0078131E" w:rsidRPr="0078131E" w:rsidRDefault="0078131E" w:rsidP="0078131E">
      <w:pPr>
        <w:pStyle w:val="ListParagraph"/>
        <w:numPr>
          <w:ilvl w:val="2"/>
          <w:numId w:val="1"/>
        </w:numPr>
        <w:rPr>
          <w:b/>
        </w:rPr>
      </w:pPr>
      <w:r>
        <w:t>Equality law and s15 of the Charter</w:t>
      </w:r>
    </w:p>
    <w:p w:rsidR="0078131E" w:rsidRPr="0078131E" w:rsidRDefault="0078131E" w:rsidP="0078131E">
      <w:pPr>
        <w:pStyle w:val="ListParagraph"/>
        <w:numPr>
          <w:ilvl w:val="2"/>
          <w:numId w:val="1"/>
        </w:numPr>
        <w:rPr>
          <w:b/>
        </w:rPr>
      </w:pPr>
      <w:r>
        <w:t>Reasonable limits in s1 of the Charter</w:t>
      </w:r>
    </w:p>
    <w:p w:rsidR="0078131E" w:rsidRPr="0078131E" w:rsidRDefault="0078131E" w:rsidP="00E47C9A">
      <w:pPr>
        <w:pStyle w:val="ListParagraph"/>
        <w:ind w:left="2160"/>
        <w:rPr>
          <w:b/>
        </w:rPr>
      </w:pPr>
    </w:p>
    <w:p w:rsidR="001D6A4B" w:rsidRPr="001D6A4B" w:rsidRDefault="001D6A4B" w:rsidP="001D6A4B">
      <w:pPr>
        <w:pStyle w:val="ListParagraph"/>
        <w:numPr>
          <w:ilvl w:val="1"/>
          <w:numId w:val="14"/>
        </w:numPr>
        <w:rPr>
          <w:rFonts w:cs="Calibri"/>
          <w:b/>
        </w:rPr>
      </w:pPr>
      <w:r w:rsidRPr="001D6A4B">
        <w:rPr>
          <w:rFonts w:cs="Calibri"/>
          <w:b/>
          <w:i/>
        </w:rPr>
        <w:t xml:space="preserve">Ratio </w:t>
      </w:r>
      <w:proofErr w:type="spellStart"/>
      <w:r w:rsidRPr="001D6A4B">
        <w:rPr>
          <w:rFonts w:cs="Calibri"/>
          <w:b/>
          <w:i/>
        </w:rPr>
        <w:t>Decidendi</w:t>
      </w:r>
      <w:proofErr w:type="spellEnd"/>
      <w:r w:rsidRPr="001D6A4B">
        <w:rPr>
          <w:rFonts w:cs="Calibri"/>
          <w:b/>
        </w:rPr>
        <w:t xml:space="preserve"> </w:t>
      </w:r>
    </w:p>
    <w:p w:rsidR="001D6A4B" w:rsidRPr="00E07D74" w:rsidRDefault="001D6A4B" w:rsidP="001D6A4B">
      <w:pPr>
        <w:pStyle w:val="ListParagraph"/>
        <w:numPr>
          <w:ilvl w:val="2"/>
          <w:numId w:val="1"/>
        </w:numPr>
        <w:rPr>
          <w:rFonts w:cs="Calibri"/>
        </w:rPr>
      </w:pPr>
      <w:r>
        <w:t xml:space="preserve">Identify and state the </w:t>
      </w:r>
      <w:r w:rsidRPr="000C3A5C">
        <w:rPr>
          <w:i/>
        </w:rPr>
        <w:t>ratio</w:t>
      </w:r>
      <w:r>
        <w:t xml:space="preserve"> </w:t>
      </w:r>
      <w:r w:rsidRPr="00583747">
        <w:rPr>
          <w:i/>
        </w:rPr>
        <w:t>decidendi</w:t>
      </w:r>
      <w:r>
        <w:t xml:space="preserve"> arising from th</w:t>
      </w:r>
      <w:r w:rsidR="00D5670B">
        <w:t xml:space="preserve">e majority decision in the case </w:t>
      </w:r>
    </w:p>
    <w:p w:rsidR="00E07D74" w:rsidRDefault="00E07D74" w:rsidP="00E07D74">
      <w:pPr>
        <w:pStyle w:val="ListParagraph"/>
        <w:numPr>
          <w:ilvl w:val="0"/>
          <w:numId w:val="18"/>
        </w:numPr>
        <w:rPr>
          <w:rFonts w:cs="Calibri"/>
        </w:rPr>
      </w:pPr>
      <w:r>
        <w:rPr>
          <w:rFonts w:cs="Calibri"/>
        </w:rPr>
        <w:t>Smith A.C.J.S.C  was of the view that Parliament should legislate the appropriate remedy and that it should be given two years to do so, failing which the parties could return to the court to seek an appropriate remedy.</w:t>
      </w:r>
      <w:r w:rsidR="00BB17A7">
        <w:rPr>
          <w:rFonts w:cs="Calibri"/>
        </w:rPr>
        <w:t xml:space="preserve"> (pg.10) </w:t>
      </w:r>
    </w:p>
    <w:p w:rsidR="00E07D74" w:rsidRDefault="00E07D74" w:rsidP="00E07D74">
      <w:pPr>
        <w:pStyle w:val="ListParagraph"/>
        <w:numPr>
          <w:ilvl w:val="0"/>
          <w:numId w:val="18"/>
        </w:numPr>
        <w:rPr>
          <w:rFonts w:cs="Calibri"/>
        </w:rPr>
      </w:pPr>
      <w:proofErr w:type="spellStart"/>
      <w:r>
        <w:rPr>
          <w:rFonts w:cs="Calibri"/>
        </w:rPr>
        <w:t>LaForme</w:t>
      </w:r>
      <w:proofErr w:type="spellEnd"/>
      <w:r>
        <w:rPr>
          <w:rFonts w:cs="Calibri"/>
        </w:rPr>
        <w:t xml:space="preserve"> J. favoured immediate amendment, by the court, of the common law definition </w:t>
      </w:r>
      <w:r w:rsidR="00BB17A7">
        <w:rPr>
          <w:rFonts w:cs="Calibri"/>
        </w:rPr>
        <w:t>of marriage by substituting the words “two persons” for “one man and one woman”.  (pg.10)</w:t>
      </w:r>
    </w:p>
    <w:p w:rsidR="00BB17A7" w:rsidRDefault="00BB17A7" w:rsidP="00E07D74">
      <w:pPr>
        <w:pStyle w:val="ListParagraph"/>
        <w:numPr>
          <w:ilvl w:val="0"/>
          <w:numId w:val="18"/>
        </w:numPr>
        <w:rPr>
          <w:rFonts w:cs="Calibri"/>
        </w:rPr>
      </w:pPr>
      <w:r>
        <w:rPr>
          <w:rFonts w:cs="Calibri"/>
        </w:rPr>
        <w:t xml:space="preserve">Blair R.S.J. adopted a middle position; he would have allowed Parliament two years to amend the common law rule, failing which the reformulation remedy proposed by </w:t>
      </w:r>
      <w:proofErr w:type="spellStart"/>
      <w:r>
        <w:rPr>
          <w:rFonts w:cs="Calibri"/>
        </w:rPr>
        <w:t>LaForme</w:t>
      </w:r>
      <w:proofErr w:type="spellEnd"/>
      <w:r>
        <w:rPr>
          <w:rFonts w:cs="Calibri"/>
        </w:rPr>
        <w:t xml:space="preserve"> J. </w:t>
      </w:r>
      <w:r w:rsidR="001C3073">
        <w:rPr>
          <w:rFonts w:cs="Calibri"/>
        </w:rPr>
        <w:t>(pg.10)</w:t>
      </w:r>
    </w:p>
    <w:p w:rsidR="00BB17A7" w:rsidRDefault="00BB17A7" w:rsidP="00E07D74">
      <w:pPr>
        <w:pStyle w:val="ListParagraph"/>
        <w:numPr>
          <w:ilvl w:val="0"/>
          <w:numId w:val="18"/>
        </w:numPr>
        <w:rPr>
          <w:rFonts w:cs="Calibri"/>
        </w:rPr>
      </w:pPr>
      <w:r>
        <w:rPr>
          <w:rFonts w:cs="Calibri"/>
        </w:rPr>
        <w:lastRenderedPageBreak/>
        <w:t xml:space="preserve">Blair R.S.J.’s position that is reflected in the formal judgement of the court. </w:t>
      </w:r>
      <w:r w:rsidR="001C3073">
        <w:rPr>
          <w:rFonts w:cs="Calibri"/>
        </w:rPr>
        <w:t>(pg.10)</w:t>
      </w:r>
    </w:p>
    <w:p w:rsidR="00E07D74" w:rsidRPr="00E07D74" w:rsidRDefault="00E07D74" w:rsidP="00E07D74">
      <w:pPr>
        <w:ind w:left="1350"/>
        <w:rPr>
          <w:rFonts w:cs="Calibri"/>
        </w:rPr>
      </w:pPr>
    </w:p>
    <w:p w:rsidR="0078131E" w:rsidRPr="002C6B16" w:rsidRDefault="0078131E" w:rsidP="0078131E">
      <w:pPr>
        <w:spacing w:after="0" w:line="240" w:lineRule="auto"/>
        <w:ind w:left="851"/>
        <w:rPr>
          <w:rFonts w:cstheme="minorHAnsi"/>
        </w:rPr>
      </w:pPr>
    </w:p>
    <w:p w:rsidR="00E72530" w:rsidRPr="0097208D" w:rsidRDefault="0078131E" w:rsidP="00A20639">
      <w:pPr>
        <w:pStyle w:val="ListParagraph"/>
        <w:numPr>
          <w:ilvl w:val="0"/>
          <w:numId w:val="14"/>
        </w:numPr>
        <w:rPr>
          <w:rFonts w:cs="Calibri"/>
          <w:b/>
        </w:rPr>
      </w:pPr>
      <w:r w:rsidRPr="00D5670B">
        <w:rPr>
          <w:b/>
        </w:rPr>
        <w:t>In summary and conclusion,</w:t>
      </w:r>
      <w:r w:rsidRPr="00957092">
        <w:t xml:space="preserve"> based on a reading of the case, </w:t>
      </w:r>
      <w:r w:rsidR="0028692D">
        <w:t>what shift</w:t>
      </w:r>
      <w:r w:rsidR="001D6A4B">
        <w:t>(s)</w:t>
      </w:r>
      <w:r w:rsidR="0028692D">
        <w:t xml:space="preserve"> occurred in judicial decision-making on same sex marriage in the </w:t>
      </w:r>
      <w:r w:rsidR="0028692D" w:rsidRPr="00D5670B">
        <w:rPr>
          <w:i/>
        </w:rPr>
        <w:t>Halpern</w:t>
      </w:r>
      <w:r w:rsidR="0028692D">
        <w:t xml:space="preserve"> case? </w:t>
      </w:r>
    </w:p>
    <w:p w:rsidR="0097208D" w:rsidRPr="0097208D" w:rsidRDefault="0097208D" w:rsidP="0097208D">
      <w:pPr>
        <w:pStyle w:val="ListParagraph"/>
        <w:ind w:left="360"/>
        <w:rPr>
          <w:rFonts w:cs="Calibri"/>
        </w:rPr>
      </w:pPr>
      <w:r>
        <w:t xml:space="preserve">In conclusion, same-sex couples can have marriage licences and benefits like </w:t>
      </w:r>
      <w:proofErr w:type="spellStart"/>
      <w:r>
        <w:t>hetrosexual</w:t>
      </w:r>
      <w:proofErr w:type="spellEnd"/>
      <w:r>
        <w:t xml:space="preserve"> couples. The common law definition of marriage was found to be discriminating and against homosexual couples. In the Halpern case, we can now say same sex-couples have equality rights. </w:t>
      </w:r>
    </w:p>
    <w:p w:rsidR="00D5670B" w:rsidRPr="00D5670B" w:rsidRDefault="00D5670B" w:rsidP="00D5670B">
      <w:pPr>
        <w:pStyle w:val="ListParagraph"/>
        <w:ind w:left="360"/>
        <w:rPr>
          <w:rFonts w:cs="Calibri"/>
          <w:b/>
        </w:rPr>
      </w:pPr>
    </w:p>
    <w:p w:rsidR="0078131E" w:rsidRPr="00E72530" w:rsidRDefault="00E72530" w:rsidP="00A20639">
      <w:pPr>
        <w:rPr>
          <w:rFonts w:cs="Calibri"/>
          <w:b/>
        </w:rPr>
      </w:pPr>
      <w:r w:rsidRPr="00E72530">
        <w:rPr>
          <w:rFonts w:cs="Calibri"/>
          <w:b/>
        </w:rPr>
        <w:t>Note</w:t>
      </w:r>
      <w:r w:rsidR="00F73F95">
        <w:rPr>
          <w:rFonts w:cs="Calibri"/>
          <w:b/>
        </w:rPr>
        <w:t>s</w:t>
      </w:r>
      <w:r w:rsidRPr="00E72530">
        <w:rPr>
          <w:rFonts w:cs="Calibri"/>
          <w:b/>
        </w:rPr>
        <w:t>:</w:t>
      </w:r>
    </w:p>
    <w:p w:rsidR="00E72530" w:rsidRDefault="00D5670B" w:rsidP="00E72530">
      <w:pPr>
        <w:ind w:left="720"/>
      </w:pPr>
      <w:r>
        <w:t xml:space="preserve">In preparing your summary, you may find it helpful to </w:t>
      </w:r>
      <w:r w:rsidR="00E72530">
        <w:t xml:space="preserve">review the following references: </w:t>
      </w:r>
    </w:p>
    <w:p w:rsidR="00E72530" w:rsidRDefault="00D5670B" w:rsidP="00E72530">
      <w:pPr>
        <w:pStyle w:val="Heading2"/>
        <w:numPr>
          <w:ilvl w:val="0"/>
          <w:numId w:val="5"/>
        </w:numPr>
        <w:rPr>
          <w:rFonts w:asciiTheme="minorHAnsi" w:hAnsiTheme="minorHAnsi" w:cstheme="minorHAnsi"/>
          <w:b w:val="0"/>
          <w:sz w:val="22"/>
          <w:szCs w:val="22"/>
        </w:rPr>
      </w:pPr>
      <w:r>
        <w:rPr>
          <w:rFonts w:asciiTheme="minorHAnsi" w:hAnsiTheme="minorHAnsi" w:cstheme="minorHAnsi"/>
          <w:b w:val="0"/>
          <w:sz w:val="22"/>
          <w:szCs w:val="22"/>
        </w:rPr>
        <w:t xml:space="preserve">Class </w:t>
      </w:r>
      <w:proofErr w:type="spellStart"/>
      <w:r>
        <w:rPr>
          <w:rFonts w:asciiTheme="minorHAnsi" w:hAnsiTheme="minorHAnsi" w:cstheme="minorHAnsi"/>
          <w:b w:val="0"/>
          <w:sz w:val="22"/>
          <w:szCs w:val="22"/>
        </w:rPr>
        <w:t>Powerpoint</w:t>
      </w:r>
      <w:r w:rsidR="00F73F95">
        <w:rPr>
          <w:rFonts w:asciiTheme="minorHAnsi" w:hAnsiTheme="minorHAnsi" w:cstheme="minorHAnsi"/>
          <w:b w:val="0"/>
          <w:sz w:val="22"/>
          <w:szCs w:val="22"/>
        </w:rPr>
        <w:t>s</w:t>
      </w:r>
      <w:proofErr w:type="spellEnd"/>
      <w:r w:rsidR="00F73F95">
        <w:rPr>
          <w:rFonts w:asciiTheme="minorHAnsi" w:hAnsiTheme="minorHAnsi" w:cstheme="minorHAnsi"/>
          <w:b w:val="0"/>
          <w:sz w:val="22"/>
          <w:szCs w:val="22"/>
        </w:rPr>
        <w:t xml:space="preserve"> and Lectures on Cases</w:t>
      </w:r>
    </w:p>
    <w:p w:rsidR="00E72530" w:rsidRPr="00D8616A" w:rsidRDefault="00E72530" w:rsidP="00E72530">
      <w:pPr>
        <w:pStyle w:val="Heading2"/>
        <w:numPr>
          <w:ilvl w:val="0"/>
          <w:numId w:val="5"/>
        </w:numPr>
        <w:rPr>
          <w:rFonts w:asciiTheme="minorHAnsi" w:hAnsiTheme="minorHAnsi" w:cstheme="minorHAnsi"/>
          <w:b w:val="0"/>
          <w:sz w:val="22"/>
          <w:szCs w:val="22"/>
        </w:rPr>
      </w:pPr>
      <w:r w:rsidRPr="00D8616A">
        <w:rPr>
          <w:rFonts w:asciiTheme="minorHAnsi" w:hAnsiTheme="minorHAnsi" w:cstheme="minorHAnsi"/>
          <w:b w:val="0"/>
          <w:sz w:val="22"/>
          <w:szCs w:val="22"/>
        </w:rPr>
        <w:t>University of British Columbia, Faculty of Law, “Introduction to Reading and Briefing a Case”</w:t>
      </w:r>
      <w:r>
        <w:rPr>
          <w:rFonts w:asciiTheme="minorHAnsi" w:hAnsiTheme="minorHAnsi" w:cstheme="minorHAnsi"/>
          <w:b w:val="0"/>
          <w:sz w:val="22"/>
          <w:szCs w:val="22"/>
        </w:rPr>
        <w:t xml:space="preserve"> [Jarvis</w:t>
      </w:r>
      <w:r w:rsidR="00F73F95">
        <w:rPr>
          <w:rFonts w:asciiTheme="minorHAnsi" w:hAnsiTheme="minorHAnsi" w:cstheme="minorHAnsi"/>
          <w:b w:val="0"/>
          <w:sz w:val="22"/>
          <w:szCs w:val="22"/>
        </w:rPr>
        <w:t xml:space="preserve"> v Swan Tours], posted on </w:t>
      </w:r>
      <w:proofErr w:type="spellStart"/>
      <w:r w:rsidR="00F73F95">
        <w:rPr>
          <w:rFonts w:asciiTheme="minorHAnsi" w:hAnsiTheme="minorHAnsi" w:cstheme="minorHAnsi"/>
          <w:b w:val="0"/>
          <w:sz w:val="22"/>
          <w:szCs w:val="22"/>
        </w:rPr>
        <w:t>cuLearn</w:t>
      </w:r>
      <w:proofErr w:type="spellEnd"/>
      <w:r w:rsidR="00F73F95">
        <w:rPr>
          <w:rFonts w:asciiTheme="minorHAnsi" w:hAnsiTheme="minorHAnsi" w:cstheme="minorHAnsi"/>
          <w:b w:val="0"/>
          <w:sz w:val="22"/>
          <w:szCs w:val="22"/>
        </w:rPr>
        <w:t xml:space="preserve"> </w:t>
      </w:r>
      <w:r>
        <w:rPr>
          <w:rFonts w:asciiTheme="minorHAnsi" w:hAnsiTheme="minorHAnsi" w:cstheme="minorHAnsi"/>
          <w:b w:val="0"/>
          <w:sz w:val="22"/>
          <w:szCs w:val="22"/>
        </w:rPr>
        <w:t xml:space="preserve">with permission. </w:t>
      </w:r>
      <w:proofErr w:type="gramStart"/>
      <w:r>
        <w:rPr>
          <w:rFonts w:asciiTheme="minorHAnsi" w:hAnsiTheme="minorHAnsi" w:cstheme="minorHAnsi"/>
          <w:b w:val="0"/>
          <w:sz w:val="22"/>
          <w:szCs w:val="22"/>
        </w:rPr>
        <w:t xml:space="preserve">Also linked at: </w:t>
      </w:r>
      <w:hyperlink r:id="rId6" w:history="1">
        <w:r w:rsidRPr="00F8264B">
          <w:rPr>
            <w:rStyle w:val="Hyperlink"/>
            <w:rFonts w:asciiTheme="minorHAnsi" w:hAnsiTheme="minorHAnsi" w:cstheme="minorHAnsi"/>
            <w:b w:val="0"/>
            <w:sz w:val="22"/>
            <w:szCs w:val="22"/>
          </w:rPr>
          <w:t>http://www.law.ubc.ca/files/pdf/current/jd/lrw/Case_Brief_example.pdf</w:t>
        </w:r>
      </w:hyperlink>
      <w:r w:rsidRPr="00F8264B">
        <w:rPr>
          <w:rFonts w:asciiTheme="minorHAnsi" w:hAnsiTheme="minorHAnsi" w:cstheme="minorHAnsi"/>
          <w:b w:val="0"/>
          <w:sz w:val="22"/>
          <w:szCs w:val="22"/>
        </w:rPr>
        <w:t>.</w:t>
      </w:r>
      <w:proofErr w:type="gramEnd"/>
    </w:p>
    <w:p w:rsidR="0078131E" w:rsidRPr="00E47C9A" w:rsidRDefault="00E72530" w:rsidP="00E47C9A">
      <w:pPr>
        <w:pStyle w:val="Heading2"/>
        <w:numPr>
          <w:ilvl w:val="0"/>
          <w:numId w:val="5"/>
        </w:numPr>
        <w:rPr>
          <w:rFonts w:asciiTheme="minorHAnsi" w:hAnsiTheme="minorHAnsi" w:cstheme="minorHAnsi"/>
          <w:b w:val="0"/>
          <w:sz w:val="22"/>
          <w:szCs w:val="22"/>
        </w:rPr>
      </w:pPr>
      <w:proofErr w:type="gramStart"/>
      <w:r w:rsidRPr="00D8616A">
        <w:rPr>
          <w:rFonts w:asciiTheme="minorHAnsi" w:hAnsiTheme="minorHAnsi" w:cstheme="minorHAnsi"/>
          <w:b w:val="0"/>
          <w:sz w:val="22"/>
          <w:szCs w:val="22"/>
        </w:rPr>
        <w:t>Australian Law Postgraduate Network, “</w:t>
      </w:r>
      <w:r>
        <w:rPr>
          <w:rFonts w:asciiTheme="minorHAnsi" w:hAnsiTheme="minorHAnsi" w:cstheme="minorHAnsi"/>
          <w:b w:val="0"/>
          <w:sz w:val="22"/>
          <w:szCs w:val="22"/>
        </w:rPr>
        <w:t xml:space="preserve">Ratio </w:t>
      </w:r>
      <w:proofErr w:type="spellStart"/>
      <w:r>
        <w:rPr>
          <w:rFonts w:asciiTheme="minorHAnsi" w:hAnsiTheme="minorHAnsi" w:cstheme="minorHAnsi"/>
          <w:b w:val="0"/>
          <w:sz w:val="22"/>
          <w:szCs w:val="22"/>
        </w:rPr>
        <w:t>Decidendi</w:t>
      </w:r>
      <w:proofErr w:type="spellEnd"/>
      <w:r>
        <w:rPr>
          <w:rFonts w:asciiTheme="minorHAnsi" w:hAnsiTheme="minorHAnsi" w:cstheme="minorHAnsi"/>
          <w:b w:val="0"/>
          <w:sz w:val="22"/>
          <w:szCs w:val="22"/>
        </w:rPr>
        <w:t xml:space="preserve"> and Obiter D</w:t>
      </w:r>
      <w:r w:rsidRPr="00D8616A">
        <w:rPr>
          <w:rFonts w:asciiTheme="minorHAnsi" w:hAnsiTheme="minorHAnsi" w:cstheme="minorHAnsi"/>
          <w:b w:val="0"/>
          <w:sz w:val="22"/>
          <w:szCs w:val="22"/>
        </w:rPr>
        <w:t xml:space="preserve">icta”, Online at </w:t>
      </w:r>
      <w:hyperlink r:id="rId7" w:history="1">
        <w:r w:rsidRPr="00D8616A">
          <w:rPr>
            <w:rStyle w:val="Hyperlink"/>
            <w:rFonts w:asciiTheme="minorHAnsi" w:hAnsiTheme="minorHAnsi" w:cstheme="minorHAnsi"/>
            <w:b w:val="0"/>
            <w:sz w:val="22"/>
            <w:szCs w:val="22"/>
          </w:rPr>
          <w:t>http://alpn.edu.au/node/60</w:t>
        </w:r>
      </w:hyperlink>
      <w:r>
        <w:rPr>
          <w:rFonts w:asciiTheme="minorHAnsi" w:hAnsiTheme="minorHAnsi" w:cstheme="minorHAnsi"/>
          <w:b w:val="0"/>
          <w:sz w:val="22"/>
          <w:szCs w:val="22"/>
        </w:rPr>
        <w:t>.</w:t>
      </w:r>
      <w:proofErr w:type="gramEnd"/>
      <w:r>
        <w:rPr>
          <w:rFonts w:asciiTheme="minorHAnsi" w:hAnsiTheme="minorHAnsi" w:cstheme="minorHAnsi"/>
          <w:b w:val="0"/>
          <w:sz w:val="22"/>
          <w:szCs w:val="22"/>
        </w:rPr>
        <w:t xml:space="preserve"> </w:t>
      </w:r>
    </w:p>
    <w:sectPr w:rsidR="0078131E" w:rsidRPr="00E47C9A" w:rsidSect="0020681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83E71AE"/>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C04156D"/>
    <w:multiLevelType w:val="multilevel"/>
    <w:tmpl w:val="1D4685A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0D07656F"/>
    <w:multiLevelType w:val="hybridMultilevel"/>
    <w:tmpl w:val="0E902188"/>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
    <w:nsid w:val="13222785"/>
    <w:multiLevelType w:val="multilevel"/>
    <w:tmpl w:val="B92EBC0A"/>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nsid w:val="179F69A8"/>
    <w:multiLevelType w:val="hybridMultilevel"/>
    <w:tmpl w:val="EBD043E6"/>
    <w:lvl w:ilvl="0" w:tplc="ED0453C4">
      <w:numFmt w:val="bullet"/>
      <w:lvlText w:val="-"/>
      <w:lvlJc w:val="left"/>
      <w:pPr>
        <w:ind w:left="1710" w:hanging="360"/>
      </w:pPr>
      <w:rPr>
        <w:rFonts w:ascii="Calibri" w:eastAsiaTheme="minorHAnsi" w:hAnsi="Calibri" w:cstheme="minorBidi" w:hint="default"/>
      </w:rPr>
    </w:lvl>
    <w:lvl w:ilvl="1" w:tplc="10090003" w:tentative="1">
      <w:start w:val="1"/>
      <w:numFmt w:val="bullet"/>
      <w:lvlText w:val="o"/>
      <w:lvlJc w:val="left"/>
      <w:pPr>
        <w:ind w:left="2430" w:hanging="360"/>
      </w:pPr>
      <w:rPr>
        <w:rFonts w:ascii="Courier New" w:hAnsi="Courier New" w:cs="Courier New" w:hint="default"/>
      </w:rPr>
    </w:lvl>
    <w:lvl w:ilvl="2" w:tplc="10090005" w:tentative="1">
      <w:start w:val="1"/>
      <w:numFmt w:val="bullet"/>
      <w:lvlText w:val=""/>
      <w:lvlJc w:val="left"/>
      <w:pPr>
        <w:ind w:left="3150" w:hanging="360"/>
      </w:pPr>
      <w:rPr>
        <w:rFonts w:ascii="Wingdings" w:hAnsi="Wingdings" w:hint="default"/>
      </w:rPr>
    </w:lvl>
    <w:lvl w:ilvl="3" w:tplc="10090001" w:tentative="1">
      <w:start w:val="1"/>
      <w:numFmt w:val="bullet"/>
      <w:lvlText w:val=""/>
      <w:lvlJc w:val="left"/>
      <w:pPr>
        <w:ind w:left="3870" w:hanging="360"/>
      </w:pPr>
      <w:rPr>
        <w:rFonts w:ascii="Symbol" w:hAnsi="Symbol" w:hint="default"/>
      </w:rPr>
    </w:lvl>
    <w:lvl w:ilvl="4" w:tplc="10090003" w:tentative="1">
      <w:start w:val="1"/>
      <w:numFmt w:val="bullet"/>
      <w:lvlText w:val="o"/>
      <w:lvlJc w:val="left"/>
      <w:pPr>
        <w:ind w:left="4590" w:hanging="360"/>
      </w:pPr>
      <w:rPr>
        <w:rFonts w:ascii="Courier New" w:hAnsi="Courier New" w:cs="Courier New" w:hint="default"/>
      </w:rPr>
    </w:lvl>
    <w:lvl w:ilvl="5" w:tplc="10090005" w:tentative="1">
      <w:start w:val="1"/>
      <w:numFmt w:val="bullet"/>
      <w:lvlText w:val=""/>
      <w:lvlJc w:val="left"/>
      <w:pPr>
        <w:ind w:left="5310" w:hanging="360"/>
      </w:pPr>
      <w:rPr>
        <w:rFonts w:ascii="Wingdings" w:hAnsi="Wingdings" w:hint="default"/>
      </w:rPr>
    </w:lvl>
    <w:lvl w:ilvl="6" w:tplc="10090001" w:tentative="1">
      <w:start w:val="1"/>
      <w:numFmt w:val="bullet"/>
      <w:lvlText w:val=""/>
      <w:lvlJc w:val="left"/>
      <w:pPr>
        <w:ind w:left="6030" w:hanging="360"/>
      </w:pPr>
      <w:rPr>
        <w:rFonts w:ascii="Symbol" w:hAnsi="Symbol" w:hint="default"/>
      </w:rPr>
    </w:lvl>
    <w:lvl w:ilvl="7" w:tplc="10090003" w:tentative="1">
      <w:start w:val="1"/>
      <w:numFmt w:val="bullet"/>
      <w:lvlText w:val="o"/>
      <w:lvlJc w:val="left"/>
      <w:pPr>
        <w:ind w:left="6750" w:hanging="360"/>
      </w:pPr>
      <w:rPr>
        <w:rFonts w:ascii="Courier New" w:hAnsi="Courier New" w:cs="Courier New" w:hint="default"/>
      </w:rPr>
    </w:lvl>
    <w:lvl w:ilvl="8" w:tplc="10090005" w:tentative="1">
      <w:start w:val="1"/>
      <w:numFmt w:val="bullet"/>
      <w:lvlText w:val=""/>
      <w:lvlJc w:val="left"/>
      <w:pPr>
        <w:ind w:left="7470" w:hanging="360"/>
      </w:pPr>
      <w:rPr>
        <w:rFonts w:ascii="Wingdings" w:hAnsi="Wingdings" w:hint="default"/>
      </w:rPr>
    </w:lvl>
  </w:abstractNum>
  <w:abstractNum w:abstractNumId="5">
    <w:nsid w:val="1E322049"/>
    <w:multiLevelType w:val="hybridMultilevel"/>
    <w:tmpl w:val="719027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17E20FD"/>
    <w:multiLevelType w:val="multilevel"/>
    <w:tmpl w:val="1D4685AC"/>
    <w:lvl w:ilvl="0">
      <w:start w:val="2"/>
      <w:numFmt w:val="decimal"/>
      <w:lvlText w:val="%1"/>
      <w:lvlJc w:val="left"/>
      <w:pPr>
        <w:ind w:left="108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60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680" w:hanging="1440"/>
      </w:pPr>
      <w:rPr>
        <w:rFonts w:hint="default"/>
      </w:rPr>
    </w:lvl>
    <w:lvl w:ilvl="8">
      <w:start w:val="1"/>
      <w:numFmt w:val="decimal"/>
      <w:lvlText w:val="%1.%2.%3.%4.%5.%6.%7.%8.%9"/>
      <w:lvlJc w:val="left"/>
      <w:pPr>
        <w:ind w:left="5400" w:hanging="1800"/>
      </w:pPr>
      <w:rPr>
        <w:rFonts w:hint="default"/>
      </w:rPr>
    </w:lvl>
  </w:abstractNum>
  <w:abstractNum w:abstractNumId="7">
    <w:nsid w:val="28841BAE"/>
    <w:multiLevelType w:val="multilevel"/>
    <w:tmpl w:val="1D4685A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3D860428"/>
    <w:multiLevelType w:val="hybridMultilevel"/>
    <w:tmpl w:val="79900342"/>
    <w:lvl w:ilvl="0" w:tplc="BFBC1C7E">
      <w:start w:val="1"/>
      <w:numFmt w:val="decimal"/>
      <w:lvlText w:val="%1."/>
      <w:lvlJc w:val="left"/>
      <w:pPr>
        <w:ind w:left="-349" w:hanging="360"/>
      </w:pPr>
      <w:rPr>
        <w:rFonts w:hint="default"/>
      </w:rPr>
    </w:lvl>
    <w:lvl w:ilvl="1" w:tplc="10090019" w:tentative="1">
      <w:start w:val="1"/>
      <w:numFmt w:val="lowerLetter"/>
      <w:lvlText w:val="%2."/>
      <w:lvlJc w:val="left"/>
      <w:pPr>
        <w:ind w:left="371" w:hanging="360"/>
      </w:pPr>
    </w:lvl>
    <w:lvl w:ilvl="2" w:tplc="1009001B" w:tentative="1">
      <w:start w:val="1"/>
      <w:numFmt w:val="lowerRoman"/>
      <w:lvlText w:val="%3."/>
      <w:lvlJc w:val="right"/>
      <w:pPr>
        <w:ind w:left="1091" w:hanging="180"/>
      </w:pPr>
    </w:lvl>
    <w:lvl w:ilvl="3" w:tplc="1009000F" w:tentative="1">
      <w:start w:val="1"/>
      <w:numFmt w:val="decimal"/>
      <w:lvlText w:val="%4."/>
      <w:lvlJc w:val="left"/>
      <w:pPr>
        <w:ind w:left="1811" w:hanging="360"/>
      </w:pPr>
    </w:lvl>
    <w:lvl w:ilvl="4" w:tplc="10090019" w:tentative="1">
      <w:start w:val="1"/>
      <w:numFmt w:val="lowerLetter"/>
      <w:lvlText w:val="%5."/>
      <w:lvlJc w:val="left"/>
      <w:pPr>
        <w:ind w:left="2531" w:hanging="360"/>
      </w:pPr>
    </w:lvl>
    <w:lvl w:ilvl="5" w:tplc="1009001B" w:tentative="1">
      <w:start w:val="1"/>
      <w:numFmt w:val="lowerRoman"/>
      <w:lvlText w:val="%6."/>
      <w:lvlJc w:val="right"/>
      <w:pPr>
        <w:ind w:left="3251" w:hanging="180"/>
      </w:pPr>
    </w:lvl>
    <w:lvl w:ilvl="6" w:tplc="1009000F" w:tentative="1">
      <w:start w:val="1"/>
      <w:numFmt w:val="decimal"/>
      <w:lvlText w:val="%7."/>
      <w:lvlJc w:val="left"/>
      <w:pPr>
        <w:ind w:left="3971" w:hanging="360"/>
      </w:pPr>
    </w:lvl>
    <w:lvl w:ilvl="7" w:tplc="10090019" w:tentative="1">
      <w:start w:val="1"/>
      <w:numFmt w:val="lowerLetter"/>
      <w:lvlText w:val="%8."/>
      <w:lvlJc w:val="left"/>
      <w:pPr>
        <w:ind w:left="4691" w:hanging="360"/>
      </w:pPr>
    </w:lvl>
    <w:lvl w:ilvl="8" w:tplc="1009001B" w:tentative="1">
      <w:start w:val="1"/>
      <w:numFmt w:val="lowerRoman"/>
      <w:lvlText w:val="%9."/>
      <w:lvlJc w:val="right"/>
      <w:pPr>
        <w:ind w:left="5411" w:hanging="180"/>
      </w:pPr>
    </w:lvl>
  </w:abstractNum>
  <w:abstractNum w:abstractNumId="9">
    <w:nsid w:val="407100E7"/>
    <w:multiLevelType w:val="hybridMultilevel"/>
    <w:tmpl w:val="A66CF226"/>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nsid w:val="43AC5E18"/>
    <w:multiLevelType w:val="hybridMultilevel"/>
    <w:tmpl w:val="0DB436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D0127A5"/>
    <w:multiLevelType w:val="hybridMultilevel"/>
    <w:tmpl w:val="2CD06F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632B2A3A"/>
    <w:multiLevelType w:val="hybridMultilevel"/>
    <w:tmpl w:val="012AEAB6"/>
    <w:lvl w:ilvl="0" w:tplc="29CCF672">
      <w:start w:val="1"/>
      <w:numFmt w:val="decimal"/>
      <w:lvlText w:val="%1)"/>
      <w:lvlJc w:val="left"/>
      <w:pPr>
        <w:ind w:left="2160" w:hanging="360"/>
      </w:pPr>
      <w:rPr>
        <w:rFonts w:hint="default"/>
      </w:r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13">
    <w:nsid w:val="69425951"/>
    <w:multiLevelType w:val="hybridMultilevel"/>
    <w:tmpl w:val="E29E4AD6"/>
    <w:lvl w:ilvl="0" w:tplc="30E63FD2">
      <w:numFmt w:val="bullet"/>
      <w:lvlText w:val="-"/>
      <w:lvlJc w:val="left"/>
      <w:pPr>
        <w:ind w:left="2160" w:hanging="360"/>
      </w:pPr>
      <w:rPr>
        <w:rFonts w:ascii="Calibri" w:eastAsiaTheme="minorHAnsi" w:hAnsi="Calibri" w:cstheme="minorBidi"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4">
    <w:nsid w:val="713B3907"/>
    <w:multiLevelType w:val="hybridMultilevel"/>
    <w:tmpl w:val="F8E4D4D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73891564"/>
    <w:multiLevelType w:val="hybridMultilevel"/>
    <w:tmpl w:val="341C9C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78C458E9"/>
    <w:multiLevelType w:val="multilevel"/>
    <w:tmpl w:val="687E2B1E"/>
    <w:lvl w:ilvl="0">
      <w:start w:val="2"/>
      <w:numFmt w:val="decimal"/>
      <w:lvlText w:val="%1"/>
      <w:lvlJc w:val="left"/>
      <w:pPr>
        <w:ind w:left="1800" w:hanging="360"/>
      </w:pPr>
      <w:rPr>
        <w:rFonts w:hint="default"/>
      </w:rPr>
    </w:lvl>
    <w:lvl w:ilvl="1">
      <w:start w:val="1"/>
      <w:numFmt w:val="decimal"/>
      <w:lvlText w:val="%1.%2"/>
      <w:lvlJc w:val="left"/>
      <w:pPr>
        <w:ind w:left="3240" w:hanging="36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648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9720" w:hanging="1080"/>
      </w:pPr>
      <w:rPr>
        <w:rFonts w:hint="default"/>
      </w:rPr>
    </w:lvl>
    <w:lvl w:ilvl="6">
      <w:start w:val="1"/>
      <w:numFmt w:val="decimal"/>
      <w:lvlText w:val="%1.%2.%3.%4.%5.%6.%7"/>
      <w:lvlJc w:val="left"/>
      <w:pPr>
        <w:ind w:left="11520" w:hanging="1440"/>
      </w:pPr>
      <w:rPr>
        <w:rFonts w:hint="default"/>
      </w:rPr>
    </w:lvl>
    <w:lvl w:ilvl="7">
      <w:start w:val="1"/>
      <w:numFmt w:val="decimal"/>
      <w:lvlText w:val="%1.%2.%3.%4.%5.%6.%7.%8"/>
      <w:lvlJc w:val="left"/>
      <w:pPr>
        <w:ind w:left="12960" w:hanging="1440"/>
      </w:pPr>
      <w:rPr>
        <w:rFonts w:hint="default"/>
      </w:rPr>
    </w:lvl>
    <w:lvl w:ilvl="8">
      <w:start w:val="1"/>
      <w:numFmt w:val="decimal"/>
      <w:lvlText w:val="%1.%2.%3.%4.%5.%6.%7.%8.%9"/>
      <w:lvlJc w:val="left"/>
      <w:pPr>
        <w:ind w:left="14760" w:hanging="1800"/>
      </w:pPr>
      <w:rPr>
        <w:rFonts w:hint="default"/>
      </w:rPr>
    </w:lvl>
  </w:abstractNum>
  <w:abstractNum w:abstractNumId="17">
    <w:nsid w:val="7A6E1B8C"/>
    <w:multiLevelType w:val="hybridMultilevel"/>
    <w:tmpl w:val="174886F0"/>
    <w:lvl w:ilvl="0" w:tplc="10090001">
      <w:start w:val="1"/>
      <w:numFmt w:val="bullet"/>
      <w:lvlText w:val=""/>
      <w:lvlJc w:val="left"/>
      <w:pPr>
        <w:ind w:left="1800" w:hanging="360"/>
      </w:pPr>
      <w:rPr>
        <w:rFonts w:ascii="Symbol" w:hAnsi="Symbol"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8">
    <w:nsid w:val="7A997F82"/>
    <w:multiLevelType w:val="hybridMultilevel"/>
    <w:tmpl w:val="98625A3E"/>
    <w:lvl w:ilvl="0" w:tplc="1009000F">
      <w:start w:val="1"/>
      <w:numFmt w:val="decimal"/>
      <w:lvlText w:val="%1."/>
      <w:lvlJc w:val="left"/>
      <w:pPr>
        <w:ind w:left="720" w:hanging="360"/>
      </w:pPr>
      <w:rPr>
        <w:rFonts w:hint="default"/>
      </w:rPr>
    </w:lvl>
    <w:lvl w:ilvl="1" w:tplc="1009000F">
      <w:start w:val="1"/>
      <w:numFmt w:val="decimal"/>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5"/>
  </w:num>
  <w:num w:numId="2">
    <w:abstractNumId w:val="2"/>
  </w:num>
  <w:num w:numId="3">
    <w:abstractNumId w:val="5"/>
  </w:num>
  <w:num w:numId="4">
    <w:abstractNumId w:val="10"/>
  </w:num>
  <w:num w:numId="5">
    <w:abstractNumId w:val="11"/>
  </w:num>
  <w:num w:numId="6">
    <w:abstractNumId w:val="18"/>
  </w:num>
  <w:num w:numId="7">
    <w:abstractNumId w:val="16"/>
  </w:num>
  <w:num w:numId="8">
    <w:abstractNumId w:val="17"/>
  </w:num>
  <w:num w:numId="9">
    <w:abstractNumId w:val="8"/>
  </w:num>
  <w:num w:numId="10">
    <w:abstractNumId w:val="14"/>
  </w:num>
  <w:num w:numId="11">
    <w:abstractNumId w:val="7"/>
  </w:num>
  <w:num w:numId="12">
    <w:abstractNumId w:val="1"/>
  </w:num>
  <w:num w:numId="13">
    <w:abstractNumId w:val="6"/>
  </w:num>
  <w:num w:numId="14">
    <w:abstractNumId w:val="3"/>
  </w:num>
  <w:num w:numId="15">
    <w:abstractNumId w:val="0"/>
  </w:num>
  <w:num w:numId="16">
    <w:abstractNumId w:val="9"/>
  </w:num>
  <w:num w:numId="17">
    <w:abstractNumId w:val="13"/>
  </w:num>
  <w:num w:numId="18">
    <w:abstractNumId w:val="4"/>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119B"/>
    <w:rsid w:val="000017FD"/>
    <w:rsid w:val="00065AA7"/>
    <w:rsid w:val="001254F0"/>
    <w:rsid w:val="001C3073"/>
    <w:rsid w:val="001C7EA7"/>
    <w:rsid w:val="001D6A4B"/>
    <w:rsid w:val="001F4AC0"/>
    <w:rsid w:val="0020681C"/>
    <w:rsid w:val="0028692D"/>
    <w:rsid w:val="002F45C3"/>
    <w:rsid w:val="00353FAE"/>
    <w:rsid w:val="00447AAF"/>
    <w:rsid w:val="004B4222"/>
    <w:rsid w:val="004D4E5B"/>
    <w:rsid w:val="004E353A"/>
    <w:rsid w:val="00510C5A"/>
    <w:rsid w:val="005522D3"/>
    <w:rsid w:val="0058030E"/>
    <w:rsid w:val="005D41F4"/>
    <w:rsid w:val="00610377"/>
    <w:rsid w:val="00616C35"/>
    <w:rsid w:val="00627053"/>
    <w:rsid w:val="006625EB"/>
    <w:rsid w:val="006B4F44"/>
    <w:rsid w:val="00761326"/>
    <w:rsid w:val="0078131E"/>
    <w:rsid w:val="00842918"/>
    <w:rsid w:val="00850E32"/>
    <w:rsid w:val="008B0332"/>
    <w:rsid w:val="00961C52"/>
    <w:rsid w:val="0097208D"/>
    <w:rsid w:val="009D7CCD"/>
    <w:rsid w:val="009E790C"/>
    <w:rsid w:val="009F2071"/>
    <w:rsid w:val="00A03C86"/>
    <w:rsid w:val="00A20639"/>
    <w:rsid w:val="00A342FB"/>
    <w:rsid w:val="00AD30CF"/>
    <w:rsid w:val="00AF14F4"/>
    <w:rsid w:val="00B00CCC"/>
    <w:rsid w:val="00B22A89"/>
    <w:rsid w:val="00B42C98"/>
    <w:rsid w:val="00BB17A7"/>
    <w:rsid w:val="00C52122"/>
    <w:rsid w:val="00C86110"/>
    <w:rsid w:val="00CF2058"/>
    <w:rsid w:val="00D3027D"/>
    <w:rsid w:val="00D5670B"/>
    <w:rsid w:val="00D8616A"/>
    <w:rsid w:val="00E07D74"/>
    <w:rsid w:val="00E3019D"/>
    <w:rsid w:val="00E47C9A"/>
    <w:rsid w:val="00E72530"/>
    <w:rsid w:val="00F52711"/>
    <w:rsid w:val="00F73F95"/>
    <w:rsid w:val="00F8119B"/>
    <w:rsid w:val="00F8264B"/>
    <w:rsid w:val="00FD51D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19B"/>
  </w:style>
  <w:style w:type="paragraph" w:styleId="Heading2">
    <w:name w:val="heading 2"/>
    <w:basedOn w:val="Normal"/>
    <w:link w:val="Heading2Char"/>
    <w:uiPriority w:val="9"/>
    <w:qFormat/>
    <w:rsid w:val="00D8616A"/>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119B"/>
    <w:pPr>
      <w:ind w:left="720"/>
      <w:contextualSpacing/>
    </w:pPr>
  </w:style>
  <w:style w:type="character" w:styleId="Hyperlink">
    <w:name w:val="Hyperlink"/>
    <w:basedOn w:val="DefaultParagraphFont"/>
    <w:uiPriority w:val="99"/>
    <w:unhideWhenUsed/>
    <w:rsid w:val="00F8119B"/>
    <w:rPr>
      <w:color w:val="0000FF" w:themeColor="hyperlink"/>
      <w:u w:val="single"/>
    </w:rPr>
  </w:style>
  <w:style w:type="character" w:customStyle="1" w:styleId="Heading2Char">
    <w:name w:val="Heading 2 Char"/>
    <w:basedOn w:val="DefaultParagraphFont"/>
    <w:link w:val="Heading2"/>
    <w:uiPriority w:val="9"/>
    <w:rsid w:val="00D8616A"/>
    <w:rPr>
      <w:rFonts w:ascii="Times New Roman" w:eastAsia="Times New Roman" w:hAnsi="Times New Roman" w:cs="Times New Roman"/>
      <w:b/>
      <w:bCs/>
      <w:sz w:val="36"/>
      <w:szCs w:val="36"/>
      <w:lang w:eastAsia="en-CA"/>
    </w:rPr>
  </w:style>
  <w:style w:type="paragraph" w:styleId="ListBullet">
    <w:name w:val="List Bullet"/>
    <w:basedOn w:val="Normal"/>
    <w:uiPriority w:val="99"/>
    <w:unhideWhenUsed/>
    <w:rsid w:val="00A20639"/>
    <w:pPr>
      <w:numPr>
        <w:numId w:val="15"/>
      </w:numPr>
      <w:contextualSpacing/>
    </w:pPr>
  </w:style>
  <w:style w:type="paragraph" w:styleId="BalloonText">
    <w:name w:val="Balloon Text"/>
    <w:basedOn w:val="Normal"/>
    <w:link w:val="BalloonTextChar"/>
    <w:uiPriority w:val="99"/>
    <w:semiHidden/>
    <w:unhideWhenUsed/>
    <w:rsid w:val="00447A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7AA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19B"/>
  </w:style>
  <w:style w:type="paragraph" w:styleId="Heading2">
    <w:name w:val="heading 2"/>
    <w:basedOn w:val="Normal"/>
    <w:link w:val="Heading2Char"/>
    <w:uiPriority w:val="9"/>
    <w:qFormat/>
    <w:rsid w:val="00D8616A"/>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119B"/>
    <w:pPr>
      <w:ind w:left="720"/>
      <w:contextualSpacing/>
    </w:pPr>
  </w:style>
  <w:style w:type="character" w:styleId="Hyperlink">
    <w:name w:val="Hyperlink"/>
    <w:basedOn w:val="DefaultParagraphFont"/>
    <w:uiPriority w:val="99"/>
    <w:unhideWhenUsed/>
    <w:rsid w:val="00F8119B"/>
    <w:rPr>
      <w:color w:val="0000FF" w:themeColor="hyperlink"/>
      <w:u w:val="single"/>
    </w:rPr>
  </w:style>
  <w:style w:type="character" w:customStyle="1" w:styleId="Heading2Char">
    <w:name w:val="Heading 2 Char"/>
    <w:basedOn w:val="DefaultParagraphFont"/>
    <w:link w:val="Heading2"/>
    <w:uiPriority w:val="9"/>
    <w:rsid w:val="00D8616A"/>
    <w:rPr>
      <w:rFonts w:ascii="Times New Roman" w:eastAsia="Times New Roman" w:hAnsi="Times New Roman" w:cs="Times New Roman"/>
      <w:b/>
      <w:bCs/>
      <w:sz w:val="36"/>
      <w:szCs w:val="36"/>
      <w:lang w:eastAsia="en-CA"/>
    </w:rPr>
  </w:style>
  <w:style w:type="paragraph" w:styleId="ListBullet">
    <w:name w:val="List Bullet"/>
    <w:basedOn w:val="Normal"/>
    <w:uiPriority w:val="99"/>
    <w:unhideWhenUsed/>
    <w:rsid w:val="00A20639"/>
    <w:pPr>
      <w:numPr>
        <w:numId w:val="15"/>
      </w:numPr>
      <w:contextualSpacing/>
    </w:pPr>
  </w:style>
  <w:style w:type="paragraph" w:styleId="BalloonText">
    <w:name w:val="Balloon Text"/>
    <w:basedOn w:val="Normal"/>
    <w:link w:val="BalloonTextChar"/>
    <w:uiPriority w:val="99"/>
    <w:semiHidden/>
    <w:unhideWhenUsed/>
    <w:rsid w:val="00447A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7AA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9470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alpn.edu.au/node/6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aw.ubc.ca/files/pdf/current/jd/lrw/Case_Brief_example.pdf"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1041</Words>
  <Characters>5939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Brettel Dawson</dc:creator>
  <cp:lastModifiedBy>Admin</cp:lastModifiedBy>
  <cp:revision>2</cp:revision>
  <cp:lastPrinted>2012-01-30T17:03:00Z</cp:lastPrinted>
  <dcterms:created xsi:type="dcterms:W3CDTF">2015-02-05T05:12:00Z</dcterms:created>
  <dcterms:modified xsi:type="dcterms:W3CDTF">2015-02-05T05:12:00Z</dcterms:modified>
</cp:coreProperties>
</file>