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03F856" w14:textId="0F1E214D" w:rsidR="008F28C9" w:rsidRPr="00282F71" w:rsidRDefault="00A11B69">
      <w:pPr>
        <w:rPr>
          <w:rFonts w:ascii="Calibri" w:hAnsi="Calibri"/>
          <w:b/>
          <w:sz w:val="20"/>
          <w:szCs w:val="20"/>
          <w:u w:val="single"/>
        </w:rPr>
      </w:pPr>
      <w:r w:rsidRPr="00282F71">
        <w:rPr>
          <w:rFonts w:ascii="Calibri" w:hAnsi="Calibri"/>
          <w:b/>
          <w:sz w:val="20"/>
          <w:szCs w:val="20"/>
          <w:u w:val="single"/>
        </w:rPr>
        <w:t>Bank of Montreal v. Hall</w:t>
      </w:r>
    </w:p>
    <w:p w14:paraId="175ABD55" w14:textId="6C0E4800" w:rsidR="008F28C9" w:rsidRDefault="008F28C9" w:rsidP="00A11B69">
      <w:pPr>
        <w:pStyle w:val="ListParagraph"/>
        <w:numPr>
          <w:ilvl w:val="0"/>
          <w:numId w:val="1"/>
        </w:numPr>
        <w:rPr>
          <w:rFonts w:ascii="Calibri" w:hAnsi="Calibri"/>
          <w:sz w:val="20"/>
          <w:szCs w:val="20"/>
        </w:rPr>
      </w:pPr>
      <w:r>
        <w:rPr>
          <w:rFonts w:ascii="Calibri" w:hAnsi="Calibri"/>
          <w:sz w:val="20"/>
          <w:szCs w:val="20"/>
        </w:rPr>
        <w:t>This is linked back to concepts</w:t>
      </w:r>
      <w:r w:rsidR="00E9525D">
        <w:rPr>
          <w:rFonts w:ascii="Calibri" w:hAnsi="Calibri"/>
          <w:sz w:val="20"/>
          <w:szCs w:val="20"/>
        </w:rPr>
        <w:t xml:space="preserve"> covered in lecture</w:t>
      </w:r>
      <w:r>
        <w:rPr>
          <w:rFonts w:ascii="Calibri" w:hAnsi="Calibri"/>
          <w:sz w:val="20"/>
          <w:szCs w:val="20"/>
        </w:rPr>
        <w:t>: divi</w:t>
      </w:r>
      <w:r w:rsidR="00E9525D">
        <w:rPr>
          <w:rFonts w:ascii="Calibri" w:hAnsi="Calibri"/>
          <w:sz w:val="20"/>
          <w:szCs w:val="20"/>
        </w:rPr>
        <w:t>sion of power (i.e. Federal/</w:t>
      </w:r>
      <w:r>
        <w:rPr>
          <w:rFonts w:ascii="Calibri" w:hAnsi="Calibri"/>
          <w:sz w:val="20"/>
          <w:szCs w:val="20"/>
        </w:rPr>
        <w:t>Provincial) and their respective statutes)</w:t>
      </w:r>
    </w:p>
    <w:p w14:paraId="62F7C1D7" w14:textId="0F9B47E2" w:rsidR="00A11B69" w:rsidRPr="00DD6CA0" w:rsidRDefault="00A11B69" w:rsidP="00A11B69">
      <w:pPr>
        <w:pStyle w:val="ListParagraph"/>
        <w:numPr>
          <w:ilvl w:val="0"/>
          <w:numId w:val="1"/>
        </w:numPr>
        <w:rPr>
          <w:rFonts w:ascii="Calibri" w:hAnsi="Calibri"/>
          <w:sz w:val="20"/>
          <w:szCs w:val="20"/>
        </w:rPr>
      </w:pPr>
      <w:r w:rsidRPr="00DD6CA0">
        <w:rPr>
          <w:rFonts w:ascii="Calibri" w:hAnsi="Calibri"/>
          <w:sz w:val="20"/>
          <w:szCs w:val="20"/>
        </w:rPr>
        <w:t xml:space="preserve">The principal issue in this appeal is whether a security interest created pursuant to ss. 178 and 179 of the Bank Act, </w:t>
      </w:r>
      <w:r w:rsidR="009D5356" w:rsidRPr="00DD6CA0">
        <w:rPr>
          <w:rFonts w:ascii="Calibri" w:hAnsi="Calibri"/>
          <w:sz w:val="20"/>
          <w:szCs w:val="20"/>
        </w:rPr>
        <w:t>may constituti</w:t>
      </w:r>
      <w:r w:rsidRPr="00DD6CA0">
        <w:rPr>
          <w:rFonts w:ascii="Calibri" w:hAnsi="Calibri"/>
          <w:sz w:val="20"/>
          <w:szCs w:val="20"/>
        </w:rPr>
        <w:t>onally be subjected to the procedures for enforcement of security interests prescribed by the Saskatchewan Limitation of Civil Rights Act</w:t>
      </w:r>
    </w:p>
    <w:p w14:paraId="55D43337" w14:textId="77777777" w:rsidR="00A11B69" w:rsidRPr="00DD6CA0" w:rsidRDefault="00A11B69" w:rsidP="00A11B69">
      <w:pPr>
        <w:pStyle w:val="ListParagraph"/>
        <w:numPr>
          <w:ilvl w:val="0"/>
          <w:numId w:val="1"/>
        </w:numPr>
        <w:rPr>
          <w:rFonts w:ascii="Calibri" w:hAnsi="Calibri"/>
          <w:sz w:val="20"/>
          <w:szCs w:val="20"/>
        </w:rPr>
      </w:pPr>
      <w:r w:rsidRPr="00DD6CA0">
        <w:rPr>
          <w:rFonts w:ascii="Calibri" w:hAnsi="Calibri"/>
          <w:sz w:val="20"/>
          <w:szCs w:val="20"/>
        </w:rPr>
        <w:t>Also raises constitutional validity of the relevant provisions of both the federal and provincial Acts</w:t>
      </w:r>
    </w:p>
    <w:p w14:paraId="48BDA437" w14:textId="77777777" w:rsidR="00A11B69" w:rsidRPr="00DD6CA0" w:rsidRDefault="00A11B69" w:rsidP="00A11B69">
      <w:pPr>
        <w:rPr>
          <w:rFonts w:ascii="Calibri" w:hAnsi="Calibri"/>
          <w:sz w:val="20"/>
          <w:szCs w:val="20"/>
        </w:rPr>
      </w:pPr>
    </w:p>
    <w:p w14:paraId="2E51A6A7" w14:textId="77777777" w:rsidR="00A11B69" w:rsidRPr="00DD6CA0" w:rsidRDefault="00A11B69" w:rsidP="00A11B69">
      <w:pPr>
        <w:rPr>
          <w:rFonts w:ascii="Calibri" w:hAnsi="Calibri"/>
          <w:sz w:val="20"/>
          <w:szCs w:val="20"/>
        </w:rPr>
      </w:pPr>
      <w:r w:rsidRPr="00DD6CA0">
        <w:rPr>
          <w:rFonts w:ascii="Calibri" w:hAnsi="Calibri"/>
          <w:sz w:val="20"/>
          <w:szCs w:val="20"/>
        </w:rPr>
        <w:t>Facts:</w:t>
      </w:r>
    </w:p>
    <w:p w14:paraId="0D7311E3" w14:textId="104E5993" w:rsidR="00A11B69" w:rsidRPr="00DD6CA0" w:rsidRDefault="00A11B69" w:rsidP="00A11B69">
      <w:pPr>
        <w:pStyle w:val="ListParagraph"/>
        <w:numPr>
          <w:ilvl w:val="0"/>
          <w:numId w:val="1"/>
        </w:numPr>
        <w:rPr>
          <w:rFonts w:ascii="Calibri" w:hAnsi="Calibri"/>
          <w:sz w:val="20"/>
          <w:szCs w:val="20"/>
        </w:rPr>
      </w:pPr>
      <w:r w:rsidRPr="00DD6CA0">
        <w:rPr>
          <w:rFonts w:ascii="Calibri" w:hAnsi="Calibri"/>
          <w:sz w:val="20"/>
          <w:szCs w:val="20"/>
        </w:rPr>
        <w:t xml:space="preserve">Arthur Hall, a farmer in </w:t>
      </w:r>
      <w:r w:rsidR="00DD6CA0" w:rsidRPr="00DD6CA0">
        <w:rPr>
          <w:rFonts w:ascii="Calibri" w:hAnsi="Calibri"/>
          <w:sz w:val="20"/>
          <w:szCs w:val="20"/>
        </w:rPr>
        <w:t>Saskatchewan contracted loans</w:t>
      </w:r>
      <w:r w:rsidRPr="00DD6CA0">
        <w:rPr>
          <w:rFonts w:ascii="Calibri" w:hAnsi="Calibri"/>
          <w:sz w:val="20"/>
          <w:szCs w:val="20"/>
        </w:rPr>
        <w:t xml:space="preserve"> from the appellant Bank of Montreal in the 1980s</w:t>
      </w:r>
    </w:p>
    <w:p w14:paraId="1281F44E" w14:textId="77777777" w:rsidR="00A11B69" w:rsidRPr="00DD6CA0" w:rsidRDefault="00A11B69" w:rsidP="00A11B69">
      <w:pPr>
        <w:pStyle w:val="ListParagraph"/>
        <w:numPr>
          <w:ilvl w:val="1"/>
          <w:numId w:val="1"/>
        </w:numPr>
        <w:rPr>
          <w:rFonts w:ascii="Calibri" w:hAnsi="Calibri"/>
          <w:sz w:val="20"/>
          <w:szCs w:val="20"/>
        </w:rPr>
      </w:pPr>
      <w:r w:rsidRPr="00DD6CA0">
        <w:rPr>
          <w:rFonts w:ascii="Calibri" w:hAnsi="Calibri"/>
          <w:sz w:val="20"/>
          <w:szCs w:val="20"/>
        </w:rPr>
        <w:t xml:space="preserve">Collateral: Hall granted two mortgages on his real property in </w:t>
      </w:r>
      <w:proofErr w:type="spellStart"/>
      <w:r w:rsidRPr="00DD6CA0">
        <w:rPr>
          <w:rFonts w:ascii="Calibri" w:hAnsi="Calibri"/>
          <w:sz w:val="20"/>
          <w:szCs w:val="20"/>
        </w:rPr>
        <w:t>favour</w:t>
      </w:r>
      <w:proofErr w:type="spellEnd"/>
      <w:r w:rsidRPr="00DD6CA0">
        <w:rPr>
          <w:rFonts w:ascii="Calibri" w:hAnsi="Calibri"/>
          <w:sz w:val="20"/>
          <w:szCs w:val="20"/>
        </w:rPr>
        <w:t xml:space="preserve"> of the bank</w:t>
      </w:r>
    </w:p>
    <w:p w14:paraId="1E8608B7" w14:textId="77777777" w:rsidR="00A11B69" w:rsidRPr="00DD6CA0" w:rsidRDefault="00A11B69" w:rsidP="00A11B69">
      <w:pPr>
        <w:pStyle w:val="ListParagraph"/>
        <w:numPr>
          <w:ilvl w:val="1"/>
          <w:numId w:val="1"/>
        </w:numPr>
        <w:rPr>
          <w:rFonts w:ascii="Calibri" w:hAnsi="Calibri"/>
          <w:sz w:val="20"/>
          <w:szCs w:val="20"/>
        </w:rPr>
      </w:pPr>
      <w:r w:rsidRPr="00DD6CA0">
        <w:rPr>
          <w:rFonts w:ascii="Calibri" w:hAnsi="Calibri"/>
          <w:sz w:val="20"/>
          <w:szCs w:val="20"/>
        </w:rPr>
        <w:t>The loans were also secured by a security interest in a piece of farm machinery (</w:t>
      </w:r>
      <w:proofErr w:type="spellStart"/>
      <w:r w:rsidRPr="00DD6CA0">
        <w:rPr>
          <w:rFonts w:ascii="Calibri" w:hAnsi="Calibri"/>
          <w:sz w:val="20"/>
          <w:szCs w:val="20"/>
        </w:rPr>
        <w:t>swather</w:t>
      </w:r>
      <w:proofErr w:type="spellEnd"/>
      <w:r w:rsidRPr="00DD6CA0">
        <w:rPr>
          <w:rFonts w:ascii="Calibri" w:hAnsi="Calibri"/>
          <w:sz w:val="20"/>
          <w:szCs w:val="20"/>
        </w:rPr>
        <w:t>)</w:t>
      </w:r>
    </w:p>
    <w:p w14:paraId="170906AF" w14:textId="77777777" w:rsidR="00A11B69" w:rsidRPr="00DD6CA0" w:rsidRDefault="00A11B69" w:rsidP="00A11B69">
      <w:pPr>
        <w:pStyle w:val="ListParagraph"/>
        <w:numPr>
          <w:ilvl w:val="0"/>
          <w:numId w:val="1"/>
        </w:numPr>
        <w:rPr>
          <w:rFonts w:ascii="Calibri" w:hAnsi="Calibri"/>
          <w:sz w:val="20"/>
          <w:szCs w:val="20"/>
        </w:rPr>
      </w:pPr>
      <w:r w:rsidRPr="00DD6CA0">
        <w:rPr>
          <w:rFonts w:ascii="Calibri" w:hAnsi="Calibri"/>
          <w:sz w:val="20"/>
          <w:szCs w:val="20"/>
        </w:rPr>
        <w:t xml:space="preserve">Hall defaulted on his loan, and in August 1984, the bank, pursuant to the provisions of the Bank Act, seized the </w:t>
      </w:r>
      <w:proofErr w:type="spellStart"/>
      <w:r w:rsidRPr="00DD6CA0">
        <w:rPr>
          <w:rFonts w:ascii="Calibri" w:hAnsi="Calibri"/>
          <w:sz w:val="20"/>
          <w:szCs w:val="20"/>
        </w:rPr>
        <w:t>swather</w:t>
      </w:r>
      <w:proofErr w:type="spellEnd"/>
      <w:r w:rsidRPr="00DD6CA0">
        <w:rPr>
          <w:rFonts w:ascii="Calibri" w:hAnsi="Calibri"/>
          <w:sz w:val="20"/>
          <w:szCs w:val="20"/>
        </w:rPr>
        <w:t xml:space="preserve"> and commenced an action to enforce its real property mortgage loan agreement</w:t>
      </w:r>
    </w:p>
    <w:p w14:paraId="505235E0" w14:textId="34C56D1D" w:rsidR="00A11B69" w:rsidRPr="00DD6CA0" w:rsidRDefault="00A11B69" w:rsidP="00A11B69">
      <w:pPr>
        <w:pStyle w:val="ListParagraph"/>
        <w:numPr>
          <w:ilvl w:val="0"/>
          <w:numId w:val="1"/>
        </w:numPr>
        <w:rPr>
          <w:rFonts w:ascii="Calibri" w:hAnsi="Calibri"/>
          <w:sz w:val="20"/>
          <w:szCs w:val="20"/>
        </w:rPr>
      </w:pPr>
      <w:r w:rsidRPr="00DD6CA0">
        <w:rPr>
          <w:rFonts w:ascii="Calibri" w:hAnsi="Calibri"/>
          <w:sz w:val="20"/>
          <w:szCs w:val="20"/>
        </w:rPr>
        <w:t xml:space="preserve">Hall alleged that the bank had not served the notice of intention to seize required under the provisions of the Limitation of Civil Rights Act </w:t>
      </w:r>
      <w:r w:rsidR="00282F71">
        <w:rPr>
          <w:rFonts w:ascii="Calibri" w:hAnsi="Calibri"/>
          <w:sz w:val="20"/>
          <w:szCs w:val="20"/>
        </w:rPr>
        <w:t xml:space="preserve">(Provincial) </w:t>
      </w:r>
      <w:r w:rsidRPr="00DD6CA0">
        <w:rPr>
          <w:rFonts w:ascii="Calibri" w:hAnsi="Calibri"/>
          <w:sz w:val="20"/>
          <w:szCs w:val="20"/>
        </w:rPr>
        <w:t>and sought to gave the foreclosure proceedings dismissed</w:t>
      </w:r>
    </w:p>
    <w:p w14:paraId="75CAA352" w14:textId="14F7B25A" w:rsidR="00E92025" w:rsidRPr="00DD6CA0" w:rsidRDefault="00E92025" w:rsidP="00A11B69">
      <w:pPr>
        <w:pStyle w:val="ListParagraph"/>
        <w:numPr>
          <w:ilvl w:val="0"/>
          <w:numId w:val="1"/>
        </w:numPr>
        <w:rPr>
          <w:rFonts w:ascii="Calibri" w:hAnsi="Calibri"/>
          <w:sz w:val="20"/>
          <w:szCs w:val="20"/>
        </w:rPr>
      </w:pPr>
      <w:r w:rsidRPr="00DD6CA0">
        <w:rPr>
          <w:rFonts w:ascii="Calibri" w:hAnsi="Calibri"/>
          <w:sz w:val="20"/>
          <w:szCs w:val="20"/>
        </w:rPr>
        <w:t>Also brought action for cancellation of the security agreement</w:t>
      </w:r>
      <w:r w:rsidR="00282F71">
        <w:rPr>
          <w:rFonts w:ascii="Calibri" w:hAnsi="Calibri"/>
          <w:sz w:val="20"/>
          <w:szCs w:val="20"/>
        </w:rPr>
        <w:t xml:space="preserve"> (farm machinery)</w:t>
      </w:r>
      <w:r w:rsidRPr="00DD6CA0">
        <w:rPr>
          <w:rFonts w:ascii="Calibri" w:hAnsi="Calibri"/>
          <w:sz w:val="20"/>
          <w:szCs w:val="20"/>
        </w:rPr>
        <w:t xml:space="preserve"> and to recover all moneys paid thereon as provided by this Act</w:t>
      </w:r>
    </w:p>
    <w:p w14:paraId="79E86916" w14:textId="7A4AF3C4" w:rsidR="00E92025" w:rsidRPr="00DD6CA0" w:rsidRDefault="00E92025" w:rsidP="00A11B69">
      <w:pPr>
        <w:pStyle w:val="ListParagraph"/>
        <w:numPr>
          <w:ilvl w:val="0"/>
          <w:numId w:val="1"/>
        </w:numPr>
        <w:rPr>
          <w:rFonts w:ascii="Calibri" w:hAnsi="Calibri"/>
          <w:sz w:val="20"/>
          <w:szCs w:val="20"/>
        </w:rPr>
      </w:pPr>
      <w:r w:rsidRPr="00DD6CA0">
        <w:rPr>
          <w:rFonts w:ascii="Calibri" w:hAnsi="Calibri"/>
          <w:sz w:val="20"/>
          <w:szCs w:val="20"/>
        </w:rPr>
        <w:t xml:space="preserve">BMO countered by alleging that it was not subject to the act </w:t>
      </w:r>
      <w:r w:rsidR="00282F71">
        <w:rPr>
          <w:rFonts w:ascii="Calibri" w:hAnsi="Calibri"/>
          <w:sz w:val="20"/>
          <w:szCs w:val="20"/>
        </w:rPr>
        <w:t>because they deal with the</w:t>
      </w:r>
      <w:r w:rsidRPr="00DD6CA0">
        <w:rPr>
          <w:rFonts w:ascii="Calibri" w:hAnsi="Calibri"/>
          <w:sz w:val="20"/>
          <w:szCs w:val="20"/>
        </w:rPr>
        <w:t xml:space="preserve"> Bank Act</w:t>
      </w:r>
    </w:p>
    <w:p w14:paraId="28CF12E1" w14:textId="77777777" w:rsidR="00DD6CA0" w:rsidRPr="00DD6CA0" w:rsidRDefault="00DD6CA0" w:rsidP="00DD6CA0">
      <w:pPr>
        <w:rPr>
          <w:rFonts w:ascii="Calibri" w:hAnsi="Calibri"/>
          <w:sz w:val="20"/>
          <w:szCs w:val="20"/>
        </w:rPr>
      </w:pPr>
    </w:p>
    <w:p w14:paraId="4CC5EEDD" w14:textId="45B00A72" w:rsidR="00DD6CA0" w:rsidRPr="00DD6CA0" w:rsidRDefault="00DD6CA0" w:rsidP="00DD6CA0">
      <w:pPr>
        <w:rPr>
          <w:rFonts w:ascii="Calibri" w:hAnsi="Calibri"/>
          <w:sz w:val="20"/>
          <w:szCs w:val="20"/>
        </w:rPr>
      </w:pPr>
      <w:r w:rsidRPr="00DD6CA0">
        <w:rPr>
          <w:rFonts w:ascii="Calibri" w:hAnsi="Calibri"/>
          <w:sz w:val="20"/>
          <w:szCs w:val="20"/>
        </w:rPr>
        <w:t>The Appeal to This Court</w:t>
      </w:r>
    </w:p>
    <w:p w14:paraId="0D8D9993" w14:textId="6615A060" w:rsidR="00DD6CA0" w:rsidRPr="00DD6CA0" w:rsidRDefault="00DD6CA0" w:rsidP="00DD6CA0">
      <w:pPr>
        <w:pStyle w:val="ListParagraph"/>
        <w:numPr>
          <w:ilvl w:val="0"/>
          <w:numId w:val="1"/>
        </w:numPr>
        <w:rPr>
          <w:rFonts w:ascii="Calibri" w:hAnsi="Calibri"/>
          <w:sz w:val="20"/>
          <w:szCs w:val="20"/>
        </w:rPr>
      </w:pPr>
      <w:r w:rsidRPr="00DD6CA0">
        <w:rPr>
          <w:rFonts w:ascii="Calibri" w:hAnsi="Calibri"/>
          <w:sz w:val="20"/>
          <w:szCs w:val="20"/>
        </w:rPr>
        <w:t>Was then sought and granted, and the following constitutional questions were stated:</w:t>
      </w:r>
    </w:p>
    <w:p w14:paraId="0C494DEF" w14:textId="7FA251D0" w:rsidR="00DD6CA0" w:rsidRDefault="00DD6CA0" w:rsidP="00DD6CA0">
      <w:pPr>
        <w:pStyle w:val="ListParagraph"/>
        <w:numPr>
          <w:ilvl w:val="1"/>
          <w:numId w:val="1"/>
        </w:numPr>
        <w:rPr>
          <w:rFonts w:ascii="Calibri" w:hAnsi="Calibri"/>
          <w:sz w:val="20"/>
          <w:szCs w:val="20"/>
        </w:rPr>
      </w:pPr>
      <w:proofErr w:type="gramStart"/>
      <w:r w:rsidRPr="00DD6CA0">
        <w:rPr>
          <w:rFonts w:ascii="Calibri" w:hAnsi="Calibri"/>
          <w:sz w:val="20"/>
          <w:szCs w:val="20"/>
        </w:rPr>
        <w:t>Are</w:t>
      </w:r>
      <w:proofErr w:type="gramEnd"/>
      <w:r w:rsidRPr="00DD6CA0">
        <w:rPr>
          <w:rFonts w:ascii="Calibri" w:hAnsi="Calibri"/>
          <w:sz w:val="20"/>
          <w:szCs w:val="20"/>
        </w:rPr>
        <w:t xml:space="preserve"> ss. 19 to 36 of The Limitation </w:t>
      </w:r>
      <w:r w:rsidR="007D0A22">
        <w:rPr>
          <w:rFonts w:ascii="Calibri" w:hAnsi="Calibri"/>
          <w:sz w:val="20"/>
          <w:szCs w:val="20"/>
        </w:rPr>
        <w:t xml:space="preserve">of Civil Rights Act beyond the powers of </w:t>
      </w:r>
      <w:r w:rsidRPr="00DD6CA0">
        <w:rPr>
          <w:rFonts w:ascii="Calibri" w:hAnsi="Calibri"/>
          <w:sz w:val="20"/>
          <w:szCs w:val="20"/>
        </w:rPr>
        <w:t>the Legislature of Saskatchewan in whole or in part?</w:t>
      </w:r>
      <w:r w:rsidR="00723477">
        <w:rPr>
          <w:rFonts w:ascii="Calibri" w:hAnsi="Calibri"/>
          <w:sz w:val="20"/>
          <w:szCs w:val="20"/>
        </w:rPr>
        <w:t xml:space="preserve"> </w:t>
      </w:r>
    </w:p>
    <w:p w14:paraId="424F84B1" w14:textId="11299EC3" w:rsidR="00723477" w:rsidRPr="00DD6CA0" w:rsidRDefault="00723477" w:rsidP="00723477">
      <w:pPr>
        <w:pStyle w:val="ListParagraph"/>
        <w:numPr>
          <w:ilvl w:val="2"/>
          <w:numId w:val="1"/>
        </w:numPr>
        <w:rPr>
          <w:rFonts w:ascii="Calibri" w:hAnsi="Calibri"/>
          <w:sz w:val="20"/>
          <w:szCs w:val="20"/>
        </w:rPr>
      </w:pPr>
      <w:r>
        <w:rPr>
          <w:rFonts w:ascii="Calibri" w:hAnsi="Calibri"/>
          <w:sz w:val="20"/>
          <w:szCs w:val="20"/>
        </w:rPr>
        <w:t>No</w:t>
      </w:r>
    </w:p>
    <w:p w14:paraId="182A631D" w14:textId="654B4E43" w:rsidR="00DD6CA0" w:rsidRDefault="00DD6CA0" w:rsidP="00DD6CA0">
      <w:pPr>
        <w:pStyle w:val="ListParagraph"/>
        <w:numPr>
          <w:ilvl w:val="1"/>
          <w:numId w:val="1"/>
        </w:numPr>
        <w:rPr>
          <w:rFonts w:ascii="Calibri" w:hAnsi="Calibri"/>
          <w:sz w:val="20"/>
          <w:szCs w:val="20"/>
        </w:rPr>
      </w:pPr>
      <w:r w:rsidRPr="00DD6CA0">
        <w:rPr>
          <w:rFonts w:ascii="Calibri" w:hAnsi="Calibri"/>
          <w:sz w:val="20"/>
          <w:szCs w:val="20"/>
        </w:rPr>
        <w:t>Are ss. 178 and 179 of the Banks and Banki</w:t>
      </w:r>
      <w:r w:rsidR="007D0A22">
        <w:rPr>
          <w:rFonts w:ascii="Calibri" w:hAnsi="Calibri"/>
          <w:sz w:val="20"/>
          <w:szCs w:val="20"/>
        </w:rPr>
        <w:t xml:space="preserve">ng Law Revision Act beyond the powers of </w:t>
      </w:r>
      <w:r w:rsidRPr="00DD6CA0">
        <w:rPr>
          <w:rFonts w:ascii="Calibri" w:hAnsi="Calibri"/>
          <w:sz w:val="20"/>
          <w:szCs w:val="20"/>
        </w:rPr>
        <w:t>the Parliament of Canada in whole or in part?</w:t>
      </w:r>
      <w:r w:rsidR="00723477">
        <w:rPr>
          <w:rFonts w:ascii="Calibri" w:hAnsi="Calibri"/>
          <w:sz w:val="20"/>
          <w:szCs w:val="20"/>
        </w:rPr>
        <w:t xml:space="preserve"> </w:t>
      </w:r>
    </w:p>
    <w:p w14:paraId="6272B309" w14:textId="1506530F" w:rsidR="00723477" w:rsidRPr="00DD6CA0" w:rsidRDefault="00723477" w:rsidP="00723477">
      <w:pPr>
        <w:pStyle w:val="ListParagraph"/>
        <w:numPr>
          <w:ilvl w:val="2"/>
          <w:numId w:val="1"/>
        </w:numPr>
        <w:rPr>
          <w:rFonts w:ascii="Calibri" w:hAnsi="Calibri"/>
          <w:sz w:val="20"/>
          <w:szCs w:val="20"/>
        </w:rPr>
      </w:pPr>
      <w:r>
        <w:rPr>
          <w:rFonts w:ascii="Calibri" w:hAnsi="Calibri"/>
          <w:sz w:val="20"/>
          <w:szCs w:val="20"/>
        </w:rPr>
        <w:t>No</w:t>
      </w:r>
    </w:p>
    <w:p w14:paraId="191D7EFF" w14:textId="1254B484" w:rsidR="00DD6CA0" w:rsidRDefault="00DD6CA0" w:rsidP="00DD6CA0">
      <w:pPr>
        <w:pStyle w:val="ListParagraph"/>
        <w:numPr>
          <w:ilvl w:val="1"/>
          <w:numId w:val="1"/>
        </w:numPr>
        <w:rPr>
          <w:rFonts w:ascii="Calibri" w:hAnsi="Calibri"/>
          <w:sz w:val="20"/>
          <w:szCs w:val="20"/>
        </w:rPr>
      </w:pPr>
      <w:r w:rsidRPr="00DD6CA0">
        <w:rPr>
          <w:rFonts w:ascii="Calibri" w:hAnsi="Calibri"/>
          <w:sz w:val="20"/>
          <w:szCs w:val="20"/>
        </w:rPr>
        <w:t xml:space="preserve">Do ss. 178 and 179 </w:t>
      </w:r>
      <w:r w:rsidR="00723477">
        <w:rPr>
          <w:rFonts w:ascii="Calibri" w:hAnsi="Calibri"/>
          <w:sz w:val="20"/>
          <w:szCs w:val="20"/>
        </w:rPr>
        <w:t xml:space="preserve">(Bank Act) </w:t>
      </w:r>
      <w:r w:rsidRPr="00DD6CA0">
        <w:rPr>
          <w:rFonts w:ascii="Calibri" w:hAnsi="Calibri"/>
          <w:sz w:val="20"/>
          <w:szCs w:val="20"/>
        </w:rPr>
        <w:t>conflict with ss. 19 to 36</w:t>
      </w:r>
      <w:r w:rsidR="00723477">
        <w:rPr>
          <w:rFonts w:ascii="Calibri" w:hAnsi="Calibri"/>
          <w:sz w:val="20"/>
          <w:szCs w:val="20"/>
        </w:rPr>
        <w:t xml:space="preserve"> (Provincial)</w:t>
      </w:r>
      <w:r w:rsidRPr="00DD6CA0">
        <w:rPr>
          <w:rFonts w:ascii="Calibri" w:hAnsi="Calibri"/>
          <w:sz w:val="20"/>
          <w:szCs w:val="20"/>
        </w:rPr>
        <w:t xml:space="preserve">, so as to render inoperative </w:t>
      </w:r>
      <w:r w:rsidR="00723477">
        <w:rPr>
          <w:rFonts w:ascii="Calibri" w:hAnsi="Calibri"/>
          <w:sz w:val="20"/>
          <w:szCs w:val="20"/>
        </w:rPr>
        <w:t>Provincial</w:t>
      </w:r>
      <w:r w:rsidRPr="00DD6CA0">
        <w:rPr>
          <w:rFonts w:ascii="Calibri" w:hAnsi="Calibri"/>
          <w:sz w:val="20"/>
          <w:szCs w:val="20"/>
        </w:rPr>
        <w:t xml:space="preserve"> in respect of security taken </w:t>
      </w:r>
      <w:r w:rsidR="00282F71">
        <w:rPr>
          <w:rFonts w:ascii="Calibri" w:hAnsi="Calibri"/>
          <w:sz w:val="20"/>
          <w:szCs w:val="20"/>
        </w:rPr>
        <w:t xml:space="preserve">(farming equipment) </w:t>
      </w:r>
      <w:r w:rsidRPr="00DD6CA0">
        <w:rPr>
          <w:rFonts w:ascii="Calibri" w:hAnsi="Calibri"/>
          <w:sz w:val="20"/>
          <w:szCs w:val="20"/>
        </w:rPr>
        <w:t xml:space="preserve">pursuant to </w:t>
      </w:r>
      <w:r w:rsidR="00723477">
        <w:rPr>
          <w:rFonts w:ascii="Calibri" w:hAnsi="Calibri"/>
          <w:sz w:val="20"/>
          <w:szCs w:val="20"/>
        </w:rPr>
        <w:t xml:space="preserve">Bank Act </w:t>
      </w:r>
      <w:r w:rsidRPr="00DD6CA0">
        <w:rPr>
          <w:rFonts w:ascii="Calibri" w:hAnsi="Calibri"/>
          <w:sz w:val="20"/>
          <w:szCs w:val="20"/>
        </w:rPr>
        <w:t>by a chartered bank?</w:t>
      </w:r>
    </w:p>
    <w:p w14:paraId="04BC5E9C" w14:textId="498629E3" w:rsidR="00723477" w:rsidRPr="00DD6CA0" w:rsidRDefault="00723477" w:rsidP="00723477">
      <w:pPr>
        <w:pStyle w:val="ListParagraph"/>
        <w:numPr>
          <w:ilvl w:val="2"/>
          <w:numId w:val="1"/>
        </w:numPr>
        <w:rPr>
          <w:rFonts w:ascii="Calibri" w:hAnsi="Calibri"/>
          <w:sz w:val="20"/>
          <w:szCs w:val="20"/>
        </w:rPr>
      </w:pPr>
      <w:r>
        <w:rPr>
          <w:rFonts w:ascii="Calibri" w:hAnsi="Calibri"/>
          <w:sz w:val="20"/>
          <w:szCs w:val="20"/>
        </w:rPr>
        <w:t>Sections 19-36 of the Limitation of Civil Rights Act are inapplicable to a security taken pursuant to ss. 178 and 179 of the Bank Act</w:t>
      </w:r>
    </w:p>
    <w:p w14:paraId="06002401" w14:textId="77777777" w:rsidR="00DD6CA0" w:rsidRPr="00DD6CA0" w:rsidRDefault="00DD6CA0" w:rsidP="00DD6CA0">
      <w:pPr>
        <w:rPr>
          <w:rFonts w:ascii="Calibri" w:hAnsi="Calibri"/>
          <w:sz w:val="20"/>
          <w:szCs w:val="20"/>
        </w:rPr>
      </w:pPr>
    </w:p>
    <w:p w14:paraId="0BCA1D39" w14:textId="225F1060" w:rsidR="00DD6CA0" w:rsidRDefault="00DD6CA0" w:rsidP="00DD6CA0">
      <w:pPr>
        <w:rPr>
          <w:rFonts w:ascii="Calibri" w:hAnsi="Calibri"/>
          <w:sz w:val="20"/>
          <w:szCs w:val="20"/>
        </w:rPr>
      </w:pPr>
      <w:r w:rsidRPr="00DD6CA0">
        <w:rPr>
          <w:rFonts w:ascii="Calibri" w:hAnsi="Calibri"/>
          <w:sz w:val="20"/>
          <w:szCs w:val="20"/>
        </w:rPr>
        <w:t>Sections 19 to 36 of the Limitation of Civil Rights Act</w:t>
      </w:r>
      <w:r w:rsidR="008F28C9">
        <w:rPr>
          <w:rFonts w:ascii="Calibri" w:hAnsi="Calibri"/>
          <w:sz w:val="20"/>
          <w:szCs w:val="20"/>
        </w:rPr>
        <w:t xml:space="preserve"> (Provincial)</w:t>
      </w:r>
    </w:p>
    <w:p w14:paraId="2BB3DED4" w14:textId="4519EE33" w:rsidR="009E543B" w:rsidRDefault="009E543B" w:rsidP="0020446C">
      <w:pPr>
        <w:pStyle w:val="ListParagraph"/>
        <w:numPr>
          <w:ilvl w:val="0"/>
          <w:numId w:val="1"/>
        </w:numPr>
        <w:rPr>
          <w:rFonts w:ascii="Calibri" w:hAnsi="Calibri"/>
          <w:sz w:val="20"/>
          <w:szCs w:val="20"/>
        </w:rPr>
      </w:pPr>
      <w:r>
        <w:rPr>
          <w:rFonts w:ascii="Calibri" w:hAnsi="Calibri"/>
          <w:sz w:val="20"/>
          <w:szCs w:val="20"/>
        </w:rPr>
        <w:t>In section 21, the bank needs to notify the farmer that they are taking his stuff and if they don’t then the security agreement is terminated and the farmer is released from all liability and entitled to get all his money back</w:t>
      </w:r>
    </w:p>
    <w:p w14:paraId="0936C931" w14:textId="77777777" w:rsidR="009E543B" w:rsidRDefault="009E543B" w:rsidP="009E543B">
      <w:pPr>
        <w:rPr>
          <w:rFonts w:ascii="Calibri" w:hAnsi="Calibri"/>
          <w:sz w:val="20"/>
          <w:szCs w:val="20"/>
        </w:rPr>
      </w:pPr>
    </w:p>
    <w:p w14:paraId="62B3BF05" w14:textId="70770DF3" w:rsidR="009E543B" w:rsidRDefault="009E543B" w:rsidP="009E543B">
      <w:pPr>
        <w:rPr>
          <w:rFonts w:ascii="Calibri" w:hAnsi="Calibri"/>
          <w:sz w:val="20"/>
          <w:szCs w:val="20"/>
        </w:rPr>
      </w:pPr>
      <w:r>
        <w:rPr>
          <w:rFonts w:ascii="Calibri" w:hAnsi="Calibri"/>
          <w:sz w:val="20"/>
          <w:szCs w:val="20"/>
        </w:rPr>
        <w:t>Sections 178 and 179 of the Banks and Banking Law Re</w:t>
      </w:r>
      <w:r w:rsidR="008F28C9">
        <w:rPr>
          <w:rFonts w:ascii="Calibri" w:hAnsi="Calibri"/>
          <w:sz w:val="20"/>
          <w:szCs w:val="20"/>
        </w:rPr>
        <w:t>vision Act (Federal)</w:t>
      </w:r>
    </w:p>
    <w:p w14:paraId="0ED3F605" w14:textId="3C5EBCBA" w:rsidR="009E543B" w:rsidRPr="00E9525D" w:rsidRDefault="00E9525D" w:rsidP="00E9525D">
      <w:pPr>
        <w:pStyle w:val="ListParagraph"/>
        <w:numPr>
          <w:ilvl w:val="0"/>
          <w:numId w:val="1"/>
        </w:numPr>
        <w:rPr>
          <w:rFonts w:ascii="Calibri" w:eastAsia="Times New Roman" w:hAnsi="Calibri" w:cs="Times New Roman"/>
          <w:sz w:val="20"/>
          <w:szCs w:val="20"/>
        </w:rPr>
      </w:pPr>
      <w:r w:rsidRPr="00E9525D">
        <w:rPr>
          <w:rFonts w:ascii="Calibri" w:eastAsia="Times New Roman" w:hAnsi="Calibri" w:cs="Times New Roman"/>
          <w:sz w:val="20"/>
          <w:szCs w:val="20"/>
        </w:rPr>
        <w:t xml:space="preserve">Section 179 sets out the general powers of the bank in the event of non-payment of the loan or advance secured by the property assigned to it by s. 178. In a word, this section authorizes the bank to sell all or any part of that property and provides that the proceeds of the sale shall be applied against the debt in question. These provisions complement the </w:t>
      </w:r>
      <w:proofErr w:type="gramStart"/>
      <w:r w:rsidRPr="00E9525D">
        <w:rPr>
          <w:rFonts w:ascii="Calibri" w:eastAsia="Times New Roman" w:hAnsi="Calibri" w:cs="Times New Roman"/>
          <w:sz w:val="20"/>
          <w:szCs w:val="20"/>
        </w:rPr>
        <w:t>bank’s</w:t>
      </w:r>
      <w:proofErr w:type="gramEnd"/>
      <w:r w:rsidRPr="00E9525D">
        <w:rPr>
          <w:rFonts w:ascii="Calibri" w:eastAsia="Times New Roman" w:hAnsi="Calibri" w:cs="Times New Roman"/>
          <w:sz w:val="20"/>
          <w:szCs w:val="20"/>
        </w:rPr>
        <w:t xml:space="preserve"> right under s. 178 to take possession of secured property on default.</w:t>
      </w:r>
    </w:p>
    <w:p w14:paraId="48FD1907" w14:textId="77777777" w:rsidR="009E543B" w:rsidRPr="008F28C9" w:rsidRDefault="009E543B" w:rsidP="009E543B">
      <w:pPr>
        <w:rPr>
          <w:rFonts w:ascii="Calibri" w:hAnsi="Calibri"/>
          <w:b/>
          <w:sz w:val="20"/>
          <w:szCs w:val="20"/>
          <w:u w:val="single"/>
        </w:rPr>
      </w:pPr>
    </w:p>
    <w:p w14:paraId="45E44403" w14:textId="77777777" w:rsidR="00A11B69" w:rsidRDefault="00A11B69">
      <w:pPr>
        <w:rPr>
          <w:rFonts w:ascii="Calibri" w:hAnsi="Calibri"/>
          <w:b/>
          <w:sz w:val="20"/>
          <w:szCs w:val="20"/>
          <w:u w:val="single"/>
        </w:rPr>
      </w:pPr>
      <w:r w:rsidRPr="008F28C9">
        <w:rPr>
          <w:rFonts w:ascii="Calibri" w:hAnsi="Calibri"/>
          <w:b/>
          <w:sz w:val="20"/>
          <w:szCs w:val="20"/>
          <w:u w:val="single"/>
        </w:rPr>
        <w:t>Canadian Western Bank v. Alberta</w:t>
      </w:r>
    </w:p>
    <w:p w14:paraId="6AA44D40" w14:textId="475A2687" w:rsidR="00A24A3A" w:rsidRPr="00A24A3A" w:rsidRDefault="00A24A3A" w:rsidP="00A24A3A">
      <w:pPr>
        <w:pStyle w:val="ListParagraph"/>
        <w:numPr>
          <w:ilvl w:val="0"/>
          <w:numId w:val="1"/>
        </w:numPr>
        <w:rPr>
          <w:rFonts w:ascii="Calibri" w:hAnsi="Calibri"/>
          <w:sz w:val="20"/>
          <w:szCs w:val="20"/>
        </w:rPr>
      </w:pPr>
      <w:r>
        <w:rPr>
          <w:rFonts w:ascii="Calibri" w:hAnsi="Calibri"/>
          <w:sz w:val="20"/>
          <w:szCs w:val="20"/>
        </w:rPr>
        <w:t>Facts:</w:t>
      </w:r>
    </w:p>
    <w:p w14:paraId="5B402474" w14:textId="77777777" w:rsid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 xml:space="preserve">Revision to Bank Act – while core services are still deposits and loans, banks have expended to offer other services such as insurance. Authorized to </w:t>
      </w:r>
      <w:r>
        <w:rPr>
          <w:rFonts w:ascii="Calibri" w:hAnsi="Calibri" w:cs="Times New Roman"/>
          <w:sz w:val="20"/>
          <w:szCs w:val="20"/>
        </w:rPr>
        <w:t xml:space="preserve">promote 8 kinds of insurance. </w:t>
      </w:r>
    </w:p>
    <w:p w14:paraId="4E68199B" w14:textId="2E4D7014" w:rsidR="00A24A3A" w:rsidRDefault="00A24A3A" w:rsidP="00A24A3A">
      <w:pPr>
        <w:pStyle w:val="ListParagraph"/>
        <w:numPr>
          <w:ilvl w:val="1"/>
          <w:numId w:val="1"/>
        </w:numPr>
        <w:shd w:val="clear" w:color="auto" w:fill="FFFFFF"/>
        <w:spacing w:after="345"/>
        <w:rPr>
          <w:rFonts w:ascii="Calibri" w:hAnsi="Calibri" w:cs="Times New Roman"/>
          <w:sz w:val="20"/>
          <w:szCs w:val="20"/>
        </w:rPr>
      </w:pPr>
      <w:r>
        <w:rPr>
          <w:rFonts w:ascii="Calibri" w:hAnsi="Calibri" w:cs="Times New Roman"/>
          <w:sz w:val="20"/>
          <w:szCs w:val="20"/>
        </w:rPr>
        <w:t>Alberta</w:t>
      </w:r>
      <w:r w:rsidRPr="00A24A3A">
        <w:rPr>
          <w:rFonts w:ascii="Calibri" w:hAnsi="Calibri" w:cs="Times New Roman"/>
          <w:sz w:val="20"/>
          <w:szCs w:val="20"/>
        </w:rPr>
        <w:t xml:space="preserve"> enacted leg</w:t>
      </w:r>
      <w:r>
        <w:rPr>
          <w:rFonts w:ascii="Calibri" w:hAnsi="Calibri" w:cs="Times New Roman"/>
          <w:sz w:val="20"/>
          <w:szCs w:val="20"/>
        </w:rPr>
        <w:t>islation</w:t>
      </w:r>
      <w:r w:rsidRPr="00A24A3A">
        <w:rPr>
          <w:rFonts w:ascii="Calibri" w:hAnsi="Calibri" w:cs="Times New Roman"/>
          <w:sz w:val="20"/>
          <w:szCs w:val="20"/>
        </w:rPr>
        <w:t xml:space="preserve"> to make banks subject to the prov</w:t>
      </w:r>
      <w:r>
        <w:rPr>
          <w:rFonts w:ascii="Calibri" w:hAnsi="Calibri" w:cs="Times New Roman"/>
          <w:sz w:val="20"/>
          <w:szCs w:val="20"/>
        </w:rPr>
        <w:t>incial</w:t>
      </w:r>
      <w:r w:rsidRPr="00A24A3A">
        <w:rPr>
          <w:rFonts w:ascii="Calibri" w:hAnsi="Calibri" w:cs="Times New Roman"/>
          <w:sz w:val="20"/>
          <w:szCs w:val="20"/>
        </w:rPr>
        <w:t xml:space="preserve"> licensing scheme governing insurance. Banks sought declaration that their promotion of insurance is “banking” under </w:t>
      </w:r>
      <w:proofErr w:type="gramStart"/>
      <w:r w:rsidRPr="00A24A3A">
        <w:rPr>
          <w:rFonts w:ascii="Calibri" w:hAnsi="Calibri" w:cs="Times New Roman"/>
          <w:sz w:val="20"/>
          <w:szCs w:val="20"/>
        </w:rPr>
        <w:t>s.91(</w:t>
      </w:r>
      <w:proofErr w:type="gramEnd"/>
      <w:r w:rsidRPr="00A24A3A">
        <w:rPr>
          <w:rFonts w:ascii="Calibri" w:hAnsi="Calibri" w:cs="Times New Roman"/>
          <w:sz w:val="20"/>
          <w:szCs w:val="20"/>
        </w:rPr>
        <w:t>15)</w:t>
      </w:r>
    </w:p>
    <w:p w14:paraId="6BD17219" w14:textId="434625B7" w:rsidR="00A24A3A" w:rsidRDefault="00A24A3A" w:rsidP="00A24A3A">
      <w:pPr>
        <w:pStyle w:val="ListParagraph"/>
        <w:numPr>
          <w:ilvl w:val="0"/>
          <w:numId w:val="1"/>
        </w:numPr>
        <w:shd w:val="clear" w:color="auto" w:fill="FFFFFF"/>
        <w:spacing w:after="345"/>
        <w:rPr>
          <w:rFonts w:ascii="Calibri" w:hAnsi="Calibri" w:cs="Times New Roman"/>
          <w:sz w:val="20"/>
          <w:szCs w:val="20"/>
        </w:rPr>
      </w:pPr>
      <w:r>
        <w:rPr>
          <w:rFonts w:ascii="Calibri" w:hAnsi="Calibri" w:cs="Times New Roman"/>
          <w:sz w:val="20"/>
          <w:szCs w:val="20"/>
        </w:rPr>
        <w:t>Issue:</w:t>
      </w:r>
    </w:p>
    <w:p w14:paraId="4B0BCB00" w14:textId="77777777" w:rsid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What is the extent to which banks, as federally regulated financial institutions, must comply with provincial laws regulating the promotion and sale of insurance?</w:t>
      </w:r>
    </w:p>
    <w:p w14:paraId="1F4A007B" w14:textId="77777777" w:rsidR="00A24A3A" w:rsidRDefault="00A24A3A" w:rsidP="00A24A3A">
      <w:pPr>
        <w:pStyle w:val="ListParagraph"/>
        <w:numPr>
          <w:ilvl w:val="1"/>
          <w:numId w:val="1"/>
        </w:numPr>
        <w:rPr>
          <w:rFonts w:ascii="Calibri" w:hAnsi="Calibri"/>
          <w:sz w:val="20"/>
          <w:szCs w:val="20"/>
        </w:rPr>
      </w:pPr>
      <w:r>
        <w:rPr>
          <w:rFonts w:ascii="Calibri" w:hAnsi="Calibri"/>
          <w:sz w:val="20"/>
          <w:szCs w:val="20"/>
        </w:rPr>
        <w:t>Specifically, we are required to consider whether and to what extent the market conduct rules enacted for consumer protection in Alberta’s Insurance Act govern the promotion of credit related insurance by banks as now permitted under the Bank Act</w:t>
      </w:r>
    </w:p>
    <w:p w14:paraId="605B07E0" w14:textId="4B652414" w:rsidR="00A24A3A" w:rsidRDefault="00A24A3A" w:rsidP="00A24A3A">
      <w:pPr>
        <w:pStyle w:val="ListParagraph"/>
        <w:numPr>
          <w:ilvl w:val="0"/>
          <w:numId w:val="1"/>
        </w:numPr>
        <w:shd w:val="clear" w:color="auto" w:fill="FFFFFF"/>
        <w:spacing w:after="345"/>
        <w:rPr>
          <w:rFonts w:ascii="Calibri" w:hAnsi="Calibri" w:cs="Times New Roman"/>
          <w:sz w:val="20"/>
          <w:szCs w:val="20"/>
        </w:rPr>
      </w:pPr>
      <w:r>
        <w:rPr>
          <w:rFonts w:ascii="Calibri" w:hAnsi="Calibri" w:cs="Times New Roman"/>
          <w:sz w:val="20"/>
          <w:szCs w:val="20"/>
        </w:rPr>
        <w:t>Ratio:</w:t>
      </w:r>
    </w:p>
    <w:p w14:paraId="68E90CCD" w14:textId="4C6A86FB" w:rsidR="00A24A3A" w:rsidRP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Prov</w:t>
      </w:r>
      <w:r>
        <w:rPr>
          <w:rFonts w:ascii="Calibri" w:hAnsi="Calibri" w:cs="Times New Roman"/>
          <w:sz w:val="20"/>
          <w:szCs w:val="20"/>
        </w:rPr>
        <w:t>incial</w:t>
      </w:r>
      <w:r w:rsidRPr="00A24A3A">
        <w:rPr>
          <w:rFonts w:ascii="Calibri" w:hAnsi="Calibri" w:cs="Times New Roman"/>
          <w:sz w:val="20"/>
          <w:szCs w:val="20"/>
        </w:rPr>
        <w:t xml:space="preserve"> laws will apply to bank so long as they don’t impair the core functions (vital a</w:t>
      </w:r>
      <w:r>
        <w:rPr>
          <w:rFonts w:ascii="Calibri" w:hAnsi="Calibri" w:cs="Times New Roman"/>
          <w:sz w:val="20"/>
          <w:szCs w:val="20"/>
        </w:rPr>
        <w:t xml:space="preserve">nd essential parts) of the bank </w:t>
      </w:r>
      <w:r w:rsidRPr="00A24A3A">
        <w:rPr>
          <w:rFonts w:ascii="Calibri" w:hAnsi="Calibri" w:cs="Times New Roman"/>
          <w:sz w:val="20"/>
          <w:szCs w:val="20"/>
        </w:rPr>
        <w:t>→ If it does impair, then it is inapplicable</w:t>
      </w:r>
    </w:p>
    <w:p w14:paraId="6633C2D0" w14:textId="0022B1C2" w:rsid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lastRenderedPageBreak/>
        <w:t>Promotion of insurance is not vital and essential to the undertaking of banking – and therefor</w:t>
      </w:r>
      <w:r>
        <w:rPr>
          <w:rFonts w:ascii="Calibri" w:hAnsi="Calibri" w:cs="Times New Roman"/>
          <w:sz w:val="20"/>
          <w:szCs w:val="20"/>
        </w:rPr>
        <w:t>e banks are subject to P</w:t>
      </w:r>
      <w:r w:rsidRPr="00A24A3A">
        <w:rPr>
          <w:rFonts w:ascii="Calibri" w:hAnsi="Calibri" w:cs="Times New Roman"/>
          <w:sz w:val="20"/>
          <w:szCs w:val="20"/>
        </w:rPr>
        <w:t>rov</w:t>
      </w:r>
      <w:r>
        <w:rPr>
          <w:rFonts w:ascii="Calibri" w:hAnsi="Calibri" w:cs="Times New Roman"/>
          <w:sz w:val="20"/>
          <w:szCs w:val="20"/>
        </w:rPr>
        <w:t>incial</w:t>
      </w:r>
      <w:r w:rsidRPr="00A24A3A">
        <w:rPr>
          <w:rFonts w:ascii="Calibri" w:hAnsi="Calibri" w:cs="Times New Roman"/>
          <w:sz w:val="20"/>
          <w:szCs w:val="20"/>
        </w:rPr>
        <w:t xml:space="preserve"> licensing schemes re insurance – this only relates to “authorized types of insurance” and “personal accident insurance” not mandatory mortgage insurance</w:t>
      </w:r>
    </w:p>
    <w:p w14:paraId="0F44B577" w14:textId="77777777" w:rsidR="00A24A3A" w:rsidRDefault="00A24A3A" w:rsidP="00A24A3A">
      <w:pPr>
        <w:pStyle w:val="ListParagraph"/>
        <w:numPr>
          <w:ilvl w:val="0"/>
          <w:numId w:val="1"/>
        </w:numPr>
        <w:shd w:val="clear" w:color="auto" w:fill="FFFFFF"/>
        <w:spacing w:after="345"/>
        <w:rPr>
          <w:rFonts w:ascii="Calibri" w:hAnsi="Calibri" w:cs="Times New Roman"/>
          <w:sz w:val="20"/>
          <w:szCs w:val="20"/>
        </w:rPr>
      </w:pPr>
      <w:r>
        <w:rPr>
          <w:rFonts w:ascii="Calibri" w:hAnsi="Calibri" w:cs="Times New Roman"/>
          <w:sz w:val="20"/>
          <w:szCs w:val="20"/>
        </w:rPr>
        <w:t>Analysis:</w:t>
      </w:r>
    </w:p>
    <w:p w14:paraId="2D41878A" w14:textId="77777777" w:rsid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Credit-related insurance is not a vital or essential element of the banking undertaking</w:t>
      </w:r>
      <w:r w:rsidRPr="00A24A3A">
        <w:rPr>
          <w:rFonts w:ascii="Calibri" w:hAnsi="Calibri" w:cs="Times New Roman"/>
          <w:sz w:val="20"/>
          <w:szCs w:val="20"/>
        </w:rPr>
        <w:br/>
        <w:t>*The question is whether the bank in promoting optional insurance is engaged in an activity vital or essential to banking – NO</w:t>
      </w:r>
      <w:r w:rsidRPr="00A24A3A">
        <w:rPr>
          <w:rFonts w:ascii="Calibri" w:hAnsi="Calibri" w:cs="Times New Roman"/>
          <w:sz w:val="20"/>
          <w:szCs w:val="20"/>
        </w:rPr>
        <w:br/>
        <w:t>*Just because Parliament can create innovative forms for financing does not mean that s. 91(15) grants Parliament exclusive authority to regulate their promotion</w:t>
      </w:r>
      <w:r w:rsidRPr="00A24A3A">
        <w:rPr>
          <w:rFonts w:ascii="Calibri" w:hAnsi="Calibri" w:cs="Times New Roman"/>
          <w:sz w:val="20"/>
          <w:szCs w:val="20"/>
        </w:rPr>
        <w:br/>
        <w:t>*Insurance promoted by the banks (in this case) is not mandatory, can be cancelled at any time by customer and is often no promoted until after loan agreement finalized</w:t>
      </w:r>
    </w:p>
    <w:p w14:paraId="634DDDE6" w14:textId="77777777" w:rsidR="00A24A3A" w:rsidRDefault="00A24A3A" w:rsidP="00A24A3A">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Pith and Substance of AB Act</w:t>
      </w:r>
      <w:r w:rsidRPr="00A24A3A">
        <w:rPr>
          <w:rFonts w:ascii="Calibri" w:hAnsi="Calibri" w:cs="Times New Roman"/>
          <w:sz w:val="20"/>
          <w:szCs w:val="20"/>
        </w:rPr>
        <w:br/>
        <w:t>*It is valid law – insurance falls under prop and civil rights</w:t>
      </w:r>
      <w:r w:rsidRPr="00A24A3A">
        <w:rPr>
          <w:rFonts w:ascii="Calibri" w:hAnsi="Calibri" w:cs="Times New Roman"/>
          <w:sz w:val="20"/>
          <w:szCs w:val="20"/>
        </w:rPr>
        <w:br/>
        <w:t>→ A federally incorporated company remains subject to provincial regulation in respect of its insurance business: Canadian Indemnity</w:t>
      </w:r>
    </w:p>
    <w:p w14:paraId="400B6132" w14:textId="11C94DA4" w:rsidR="00DE7C47" w:rsidRPr="00625DC4" w:rsidRDefault="00A24A3A" w:rsidP="00625DC4">
      <w:pPr>
        <w:pStyle w:val="ListParagraph"/>
        <w:numPr>
          <w:ilvl w:val="1"/>
          <w:numId w:val="1"/>
        </w:numPr>
        <w:shd w:val="clear" w:color="auto" w:fill="FFFFFF"/>
        <w:spacing w:after="345"/>
        <w:rPr>
          <w:rFonts w:ascii="Calibri" w:hAnsi="Calibri" w:cs="Times New Roman"/>
          <w:sz w:val="20"/>
          <w:szCs w:val="20"/>
        </w:rPr>
      </w:pPr>
      <w:r w:rsidRPr="00A24A3A">
        <w:rPr>
          <w:rFonts w:ascii="Calibri" w:hAnsi="Calibri" w:cs="Times New Roman"/>
          <w:sz w:val="20"/>
          <w:szCs w:val="20"/>
        </w:rPr>
        <w:t xml:space="preserve">Federal </w:t>
      </w:r>
      <w:proofErr w:type="spellStart"/>
      <w:r w:rsidRPr="00A24A3A">
        <w:rPr>
          <w:rFonts w:ascii="Calibri" w:hAnsi="Calibri" w:cs="Times New Roman"/>
          <w:sz w:val="20"/>
          <w:szCs w:val="20"/>
        </w:rPr>
        <w:t>Paramountcy</w:t>
      </w:r>
      <w:proofErr w:type="spellEnd"/>
      <w:r w:rsidRPr="00A24A3A">
        <w:rPr>
          <w:rFonts w:ascii="Calibri" w:hAnsi="Calibri" w:cs="Times New Roman"/>
          <w:sz w:val="20"/>
          <w:szCs w:val="20"/>
        </w:rPr>
        <w:t xml:space="preserve"> Does not Apply</w:t>
      </w:r>
      <w:r w:rsidRPr="00A24A3A">
        <w:rPr>
          <w:rFonts w:ascii="Calibri" w:hAnsi="Calibri" w:cs="Times New Roman"/>
          <w:sz w:val="20"/>
          <w:szCs w:val="20"/>
        </w:rPr>
        <w:br/>
        <w:t>*There is no fed laws re insurance – so prov</w:t>
      </w:r>
      <w:r w:rsidR="00625DC4">
        <w:rPr>
          <w:rFonts w:ascii="Calibri" w:hAnsi="Calibri" w:cs="Times New Roman"/>
          <w:sz w:val="20"/>
          <w:szCs w:val="20"/>
        </w:rPr>
        <w:t>incial</w:t>
      </w:r>
      <w:r w:rsidRPr="00625DC4">
        <w:rPr>
          <w:rFonts w:ascii="Calibri" w:hAnsi="Calibri" w:cs="Times New Roman"/>
          <w:sz w:val="20"/>
          <w:szCs w:val="20"/>
        </w:rPr>
        <w:t xml:space="preserve"> law is valid under this</w:t>
      </w:r>
      <w:r w:rsidRPr="00625DC4">
        <w:rPr>
          <w:rFonts w:ascii="Calibri" w:hAnsi="Calibri" w:cs="Times New Roman"/>
          <w:sz w:val="20"/>
          <w:szCs w:val="20"/>
        </w:rPr>
        <w:br/>
        <w:t>*</w:t>
      </w:r>
      <w:proofErr w:type="gramStart"/>
      <w:r w:rsidRPr="00625DC4">
        <w:rPr>
          <w:rFonts w:ascii="Calibri" w:hAnsi="Calibri" w:cs="Times New Roman"/>
          <w:sz w:val="20"/>
          <w:szCs w:val="20"/>
        </w:rPr>
        <w:t>Neither</w:t>
      </w:r>
      <w:proofErr w:type="gramEnd"/>
      <w:r w:rsidRPr="00625DC4">
        <w:rPr>
          <w:rFonts w:ascii="Calibri" w:hAnsi="Calibri" w:cs="Times New Roman"/>
          <w:sz w:val="20"/>
          <w:szCs w:val="20"/>
        </w:rPr>
        <w:t xml:space="preserve"> operational incompatibility nor the frustration of a federal purpose have been made out.</w:t>
      </w:r>
    </w:p>
    <w:p w14:paraId="70E59D77" w14:textId="33D6D0A6" w:rsidR="00DE7C47" w:rsidRPr="00DE7C47" w:rsidRDefault="00DE7C47" w:rsidP="00DE7C47">
      <w:pPr>
        <w:rPr>
          <w:rFonts w:ascii="Calibri" w:hAnsi="Calibri"/>
          <w:sz w:val="20"/>
          <w:szCs w:val="20"/>
        </w:rPr>
      </w:pPr>
      <w:r w:rsidRPr="00A24A3A">
        <w:rPr>
          <w:rFonts w:ascii="Calibri" w:hAnsi="Calibri"/>
          <w:sz w:val="20"/>
          <w:szCs w:val="20"/>
          <w:highlight w:val="cyan"/>
        </w:rPr>
        <w:t>WHAT CONCEPT IS THIS REGARDING?</w:t>
      </w:r>
      <w:bookmarkStart w:id="0" w:name="_GoBack"/>
      <w:bookmarkEnd w:id="0"/>
    </w:p>
    <w:sectPr w:rsidR="00DE7C47" w:rsidRPr="00DE7C47" w:rsidSect="00DD6CA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D34D64"/>
    <w:multiLevelType w:val="hybridMultilevel"/>
    <w:tmpl w:val="11D807C6"/>
    <w:lvl w:ilvl="0" w:tplc="9B24204A">
      <w:start w:val="3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B69"/>
    <w:rsid w:val="0020446C"/>
    <w:rsid w:val="00237D75"/>
    <w:rsid w:val="00282F71"/>
    <w:rsid w:val="004C6A8C"/>
    <w:rsid w:val="00625DC4"/>
    <w:rsid w:val="00723477"/>
    <w:rsid w:val="007D0A22"/>
    <w:rsid w:val="008F28C9"/>
    <w:rsid w:val="009D5356"/>
    <w:rsid w:val="009E543B"/>
    <w:rsid w:val="00A11B69"/>
    <w:rsid w:val="00A24A3A"/>
    <w:rsid w:val="00D92777"/>
    <w:rsid w:val="00DD6CA0"/>
    <w:rsid w:val="00DE7C47"/>
    <w:rsid w:val="00E92025"/>
    <w:rsid w:val="00E9525D"/>
    <w:rsid w:val="00F463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555E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B69"/>
    <w:pPr>
      <w:ind w:left="720"/>
      <w:contextualSpacing/>
    </w:pPr>
  </w:style>
  <w:style w:type="character" w:styleId="Strong">
    <w:name w:val="Strong"/>
    <w:basedOn w:val="DefaultParagraphFont"/>
    <w:uiPriority w:val="22"/>
    <w:qFormat/>
    <w:rsid w:val="00A24A3A"/>
    <w:rPr>
      <w:b/>
      <w:bCs/>
    </w:rPr>
  </w:style>
  <w:style w:type="character" w:customStyle="1" w:styleId="apple-converted-space">
    <w:name w:val="apple-converted-space"/>
    <w:basedOn w:val="DefaultParagraphFont"/>
    <w:rsid w:val="00A24A3A"/>
  </w:style>
  <w:style w:type="paragraph" w:styleId="NormalWeb">
    <w:name w:val="Normal (Web)"/>
    <w:basedOn w:val="Normal"/>
    <w:uiPriority w:val="99"/>
    <w:semiHidden/>
    <w:unhideWhenUsed/>
    <w:rsid w:val="00A24A3A"/>
    <w:pPr>
      <w:spacing w:before="100" w:beforeAutospacing="1" w:after="100" w:afterAutospacing="1"/>
    </w:pPr>
    <w:rPr>
      <w:rFonts w:ascii="Times" w:hAnsi="Times" w:cs="Times New Roman"/>
      <w:sz w:val="20"/>
      <w:szCs w:val="20"/>
    </w:rPr>
  </w:style>
  <w:style w:type="character" w:customStyle="1" w:styleId="arrow1">
    <w:name w:val="arrow1"/>
    <w:basedOn w:val="DefaultParagraphFont"/>
    <w:rsid w:val="00A24A3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B69"/>
    <w:pPr>
      <w:ind w:left="720"/>
      <w:contextualSpacing/>
    </w:pPr>
  </w:style>
  <w:style w:type="character" w:styleId="Strong">
    <w:name w:val="Strong"/>
    <w:basedOn w:val="DefaultParagraphFont"/>
    <w:uiPriority w:val="22"/>
    <w:qFormat/>
    <w:rsid w:val="00A24A3A"/>
    <w:rPr>
      <w:b/>
      <w:bCs/>
    </w:rPr>
  </w:style>
  <w:style w:type="character" w:customStyle="1" w:styleId="apple-converted-space">
    <w:name w:val="apple-converted-space"/>
    <w:basedOn w:val="DefaultParagraphFont"/>
    <w:rsid w:val="00A24A3A"/>
  </w:style>
  <w:style w:type="paragraph" w:styleId="NormalWeb">
    <w:name w:val="Normal (Web)"/>
    <w:basedOn w:val="Normal"/>
    <w:uiPriority w:val="99"/>
    <w:semiHidden/>
    <w:unhideWhenUsed/>
    <w:rsid w:val="00A24A3A"/>
    <w:pPr>
      <w:spacing w:before="100" w:beforeAutospacing="1" w:after="100" w:afterAutospacing="1"/>
    </w:pPr>
    <w:rPr>
      <w:rFonts w:ascii="Times" w:hAnsi="Times" w:cs="Times New Roman"/>
      <w:sz w:val="20"/>
      <w:szCs w:val="20"/>
    </w:rPr>
  </w:style>
  <w:style w:type="character" w:customStyle="1" w:styleId="arrow1">
    <w:name w:val="arrow1"/>
    <w:basedOn w:val="DefaultParagraphFont"/>
    <w:rsid w:val="00A24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129615">
      <w:bodyDiv w:val="1"/>
      <w:marLeft w:val="0"/>
      <w:marRight w:val="0"/>
      <w:marTop w:val="0"/>
      <w:marBottom w:val="0"/>
      <w:divBdr>
        <w:top w:val="none" w:sz="0" w:space="0" w:color="auto"/>
        <w:left w:val="none" w:sz="0" w:space="0" w:color="auto"/>
        <w:bottom w:val="none" w:sz="0" w:space="0" w:color="auto"/>
        <w:right w:val="none" w:sz="0" w:space="0" w:color="auto"/>
      </w:divBdr>
    </w:div>
    <w:div w:id="1239557766">
      <w:bodyDiv w:val="1"/>
      <w:marLeft w:val="0"/>
      <w:marRight w:val="0"/>
      <w:marTop w:val="0"/>
      <w:marBottom w:val="0"/>
      <w:divBdr>
        <w:top w:val="none" w:sz="0" w:space="0" w:color="auto"/>
        <w:left w:val="none" w:sz="0" w:space="0" w:color="auto"/>
        <w:bottom w:val="none" w:sz="0" w:space="0" w:color="auto"/>
        <w:right w:val="none" w:sz="0" w:space="0" w:color="auto"/>
      </w:divBdr>
      <w:divsChild>
        <w:div w:id="29383517">
          <w:marLeft w:val="0"/>
          <w:marRight w:val="0"/>
          <w:marTop w:val="0"/>
          <w:marBottom w:val="240"/>
          <w:divBdr>
            <w:top w:val="none" w:sz="0" w:space="0" w:color="auto"/>
            <w:left w:val="none" w:sz="0" w:space="0" w:color="auto"/>
            <w:bottom w:val="none" w:sz="0" w:space="0" w:color="auto"/>
            <w:right w:val="none" w:sz="0" w:space="0" w:color="auto"/>
          </w:divBdr>
        </w:div>
        <w:div w:id="408424537">
          <w:marLeft w:val="0"/>
          <w:marRight w:val="0"/>
          <w:marTop w:val="0"/>
          <w:marBottom w:val="240"/>
          <w:divBdr>
            <w:top w:val="none" w:sz="0" w:space="0" w:color="auto"/>
            <w:left w:val="none" w:sz="0" w:space="0" w:color="auto"/>
            <w:bottom w:val="none" w:sz="0" w:space="0" w:color="auto"/>
            <w:right w:val="none" w:sz="0" w:space="0" w:color="auto"/>
          </w:divBdr>
        </w:div>
        <w:div w:id="1134443981">
          <w:marLeft w:val="0"/>
          <w:marRight w:val="0"/>
          <w:marTop w:val="0"/>
          <w:marBottom w:val="240"/>
          <w:divBdr>
            <w:top w:val="none" w:sz="0" w:space="0" w:color="auto"/>
            <w:left w:val="none" w:sz="0" w:space="0" w:color="auto"/>
            <w:bottom w:val="none" w:sz="0" w:space="0" w:color="auto"/>
            <w:right w:val="none" w:sz="0" w:space="0" w:color="auto"/>
          </w:divBdr>
        </w:div>
        <w:div w:id="249243203">
          <w:marLeft w:val="0"/>
          <w:marRight w:val="0"/>
          <w:marTop w:val="0"/>
          <w:marBottom w:val="240"/>
          <w:divBdr>
            <w:top w:val="none" w:sz="0" w:space="0" w:color="auto"/>
            <w:left w:val="none" w:sz="0" w:space="0" w:color="auto"/>
            <w:bottom w:val="none" w:sz="0" w:space="0" w:color="auto"/>
            <w:right w:val="none" w:sz="0" w:space="0" w:color="auto"/>
          </w:divBdr>
        </w:div>
        <w:div w:id="2040692503">
          <w:marLeft w:val="0"/>
          <w:marRight w:val="0"/>
          <w:marTop w:val="0"/>
          <w:marBottom w:val="2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789</Words>
  <Characters>4501</Characters>
  <Application>Microsoft Macintosh Word</Application>
  <DocSecurity>0</DocSecurity>
  <Lines>37</Lines>
  <Paragraphs>10</Paragraphs>
  <ScaleCrop>false</ScaleCrop>
  <Company>Carleton University</Company>
  <LinksUpToDate>false</LinksUpToDate>
  <CharactersWithSpaces>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 Reid</dc:creator>
  <cp:keywords/>
  <dc:description/>
  <cp:lastModifiedBy>Stef Reid</cp:lastModifiedBy>
  <cp:revision>10</cp:revision>
  <dcterms:created xsi:type="dcterms:W3CDTF">2015-01-31T19:37:00Z</dcterms:created>
  <dcterms:modified xsi:type="dcterms:W3CDTF">2015-02-02T17:51:00Z</dcterms:modified>
</cp:coreProperties>
</file>