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word/charts/chart1.xml" ContentType="application/vnd.openxmlformats-officedocument.drawingml.chart+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charts/chart2.xml" ContentType="application/vnd.openxmlformats-officedocument.drawingml.chart+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00547" w:rsidRPr="004A42C8" w:rsidRDefault="00900547" w:rsidP="00BD6E28">
      <w:pPr>
        <w:spacing w:after="0"/>
        <w:jc w:val="right"/>
        <w:rPr>
          <w:sz w:val="56"/>
        </w:rPr>
      </w:pPr>
      <w:r w:rsidRPr="004A42C8">
        <w:rPr>
          <w:sz w:val="56"/>
        </w:rPr>
        <w:t>CIVE 3208 Lab # 6</w:t>
      </w:r>
    </w:p>
    <w:p w:rsidR="00273C0B" w:rsidRPr="004A42C8" w:rsidRDefault="00900547" w:rsidP="00BD6E28">
      <w:pPr>
        <w:pBdr>
          <w:bottom w:val="single" w:sz="12" w:space="1" w:color="auto"/>
        </w:pBdr>
        <w:spacing w:after="0"/>
        <w:jc w:val="right"/>
        <w:rPr>
          <w:sz w:val="56"/>
        </w:rPr>
      </w:pPr>
      <w:r w:rsidRPr="004A42C8">
        <w:rPr>
          <w:sz w:val="56"/>
        </w:rPr>
        <w:t>Consolidation</w:t>
      </w:r>
    </w:p>
    <w:p w:rsidR="00900547" w:rsidRPr="004A42C8" w:rsidRDefault="00900547" w:rsidP="00BD6E28">
      <w:pPr>
        <w:spacing w:after="0"/>
        <w:jc w:val="right"/>
        <w:rPr>
          <w:sz w:val="56"/>
        </w:rPr>
      </w:pPr>
      <w:r w:rsidRPr="004A42C8">
        <w:rPr>
          <w:sz w:val="56"/>
        </w:rPr>
        <w:t>Group #6:</w:t>
      </w:r>
    </w:p>
    <w:p w:rsidR="00273C0B" w:rsidRPr="004A42C8" w:rsidRDefault="00273C0B" w:rsidP="00BD6E28">
      <w:pPr>
        <w:spacing w:after="0"/>
        <w:jc w:val="right"/>
        <w:rPr>
          <w:rFonts w:cs="Helvetica"/>
          <w:sz w:val="40"/>
        </w:rPr>
      </w:pPr>
    </w:p>
    <w:p w:rsidR="00273C0B" w:rsidRPr="004A42C8" w:rsidRDefault="00273C0B" w:rsidP="00BD6E28">
      <w:pPr>
        <w:spacing w:after="0"/>
        <w:jc w:val="right"/>
        <w:rPr>
          <w:rFonts w:cs="Helvetica"/>
          <w:sz w:val="40"/>
        </w:rPr>
      </w:pPr>
      <w:r w:rsidRPr="004A42C8">
        <w:rPr>
          <w:rFonts w:cs="Helvetica"/>
          <w:sz w:val="40"/>
        </w:rPr>
        <w:t>Due November 27</w:t>
      </w:r>
      <w:r w:rsidRPr="004A42C8">
        <w:rPr>
          <w:rFonts w:cs="Helvetica"/>
          <w:sz w:val="40"/>
          <w:vertAlign w:val="superscript"/>
        </w:rPr>
        <w:t>th</w:t>
      </w:r>
      <w:r w:rsidRPr="004A42C8">
        <w:rPr>
          <w:rFonts w:cs="Helvetica"/>
          <w:sz w:val="40"/>
        </w:rPr>
        <w:t>, 2014</w:t>
      </w:r>
    </w:p>
    <w:p w:rsidR="00273C0B" w:rsidRPr="004A42C8" w:rsidRDefault="00273C0B" w:rsidP="00BD6E28">
      <w:pPr>
        <w:spacing w:after="0"/>
        <w:jc w:val="right"/>
        <w:rPr>
          <w:rFonts w:cs="Helvetica"/>
          <w:sz w:val="40"/>
        </w:rPr>
      </w:pPr>
    </w:p>
    <w:p w:rsidR="00273C0B" w:rsidRPr="004A42C8" w:rsidRDefault="00273C0B" w:rsidP="00BD6E28">
      <w:pPr>
        <w:spacing w:after="0"/>
        <w:jc w:val="right"/>
        <w:rPr>
          <w:rFonts w:cs="Helvetica"/>
          <w:sz w:val="40"/>
        </w:rPr>
      </w:pPr>
    </w:p>
    <w:p w:rsidR="00273C0B" w:rsidRPr="004A42C8" w:rsidRDefault="00273C0B" w:rsidP="00BD6E28">
      <w:pPr>
        <w:spacing w:after="0"/>
        <w:jc w:val="right"/>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273C0B" w:rsidRPr="004A42C8" w:rsidRDefault="00273C0B" w:rsidP="00BD6E28">
      <w:pPr>
        <w:spacing w:after="0"/>
        <w:rPr>
          <w:rFonts w:cs="Helvetica"/>
          <w:sz w:val="40"/>
        </w:rPr>
      </w:pPr>
    </w:p>
    <w:p w:rsidR="004A42C8" w:rsidRDefault="004A42C8" w:rsidP="00BD6E28">
      <w:pPr>
        <w:spacing w:after="0"/>
        <w:rPr>
          <w:rFonts w:cs="Helvetica"/>
          <w:sz w:val="40"/>
        </w:rPr>
      </w:pPr>
    </w:p>
    <w:p w:rsidR="00976467" w:rsidRPr="004A42C8" w:rsidRDefault="00976467" w:rsidP="00BD6E28">
      <w:pPr>
        <w:spacing w:after="0"/>
        <w:rPr>
          <w:rFonts w:cs="Helvetica"/>
          <w:sz w:val="40"/>
        </w:rPr>
      </w:pPr>
    </w:p>
    <w:p w:rsidR="00976467" w:rsidRPr="004A42C8" w:rsidRDefault="00976467" w:rsidP="00BD6E28">
      <w:pPr>
        <w:spacing w:after="0"/>
        <w:rPr>
          <w:rFonts w:cs="Helvetica"/>
        </w:rPr>
      </w:pPr>
      <w:r w:rsidRPr="004A42C8">
        <w:rPr>
          <w:rFonts w:cs="Helvetica"/>
          <w:b/>
          <w:u w:val="single"/>
        </w:rPr>
        <w:t>Introduction</w:t>
      </w:r>
    </w:p>
    <w:p w:rsidR="00853D74" w:rsidRPr="004A42C8" w:rsidRDefault="00976467" w:rsidP="00BD6E28">
      <w:pPr>
        <w:spacing w:after="0"/>
        <w:rPr>
          <w:rFonts w:cs="Helvetica"/>
        </w:rPr>
      </w:pPr>
      <w:r w:rsidRPr="004A42C8">
        <w:rPr>
          <w:rFonts w:cs="Helvetica"/>
        </w:rPr>
        <w:tab/>
        <w:t xml:space="preserve">Hundreds of structures are built every year in Ottawa alone, on all different kinds of soil. It is important to know the load bearing properties as well as how the soil will behave under loading. These parameters vary depending on the location of the site and can very even over such a small distance as 10 meters. This can be dangerous and cause severe damage to the structure over time. In this lab we will be addressing </w:t>
      </w:r>
      <w:r w:rsidR="00853D74" w:rsidRPr="004A42C8">
        <w:rPr>
          <w:rFonts w:cs="Helvetica"/>
        </w:rPr>
        <w:t xml:space="preserve">consolidation, which involves </w:t>
      </w:r>
      <w:r w:rsidRPr="004A42C8">
        <w:rPr>
          <w:rFonts w:cs="Helvetica"/>
        </w:rPr>
        <w:t>how a given soil sample will compact</w:t>
      </w:r>
      <w:r w:rsidR="00853D74" w:rsidRPr="004A42C8">
        <w:rPr>
          <w:rFonts w:cs="Helvetica"/>
        </w:rPr>
        <w:t>/settle</w:t>
      </w:r>
      <w:r w:rsidRPr="004A42C8">
        <w:rPr>
          <w:rFonts w:cs="Helvetica"/>
        </w:rPr>
        <w:t xml:space="preserve"> over time. This is important because with the possibility of the soil parameters changing over a short distance, it is entirely possible that one corner of the structure w</w:t>
      </w:r>
      <w:r w:rsidR="00574FCD" w:rsidRPr="004A42C8">
        <w:rPr>
          <w:rFonts w:cs="Helvetica"/>
        </w:rPr>
        <w:t xml:space="preserve">ill settle more than another. </w:t>
      </w:r>
      <w:r w:rsidR="00853D74" w:rsidRPr="004A42C8">
        <w:rPr>
          <w:rFonts w:cs="Helvetica"/>
        </w:rPr>
        <w:t>F</w:t>
      </w:r>
      <w:r w:rsidRPr="004A42C8">
        <w:rPr>
          <w:rFonts w:cs="Helvetica"/>
        </w:rPr>
        <w:t>or exa</w:t>
      </w:r>
      <w:r w:rsidR="00574FCD" w:rsidRPr="004A42C8">
        <w:rPr>
          <w:rFonts w:cs="Helvetica"/>
        </w:rPr>
        <w:t>mple The Leaning Tower of Pisa.</w:t>
      </w:r>
    </w:p>
    <w:p w:rsidR="002E2081" w:rsidRPr="004A42C8" w:rsidRDefault="00853D74" w:rsidP="00BD6E28">
      <w:pPr>
        <w:spacing w:after="0"/>
        <w:rPr>
          <w:rFonts w:cs="Helvetica"/>
        </w:rPr>
      </w:pPr>
      <w:r w:rsidRPr="004A42C8">
        <w:rPr>
          <w:rFonts w:cs="Helvetica"/>
        </w:rPr>
        <w:tab/>
        <w:t xml:space="preserve">This test is important because it provides the information required to determine the rate of consolidation. This value represents the rate of settlement over time. It is important to note the assumption that the settlement only occurs in the vertical direction. </w:t>
      </w:r>
    </w:p>
    <w:p w:rsidR="00B33814" w:rsidRPr="004A42C8" w:rsidRDefault="002E2081" w:rsidP="00BD6E28">
      <w:pPr>
        <w:autoSpaceDE w:val="0"/>
        <w:autoSpaceDN w:val="0"/>
        <w:adjustRightInd w:val="0"/>
        <w:spacing w:after="0"/>
        <w:rPr>
          <w:rFonts w:cs="Calibri"/>
        </w:rPr>
      </w:pPr>
      <w:r w:rsidRPr="004A42C8">
        <w:rPr>
          <w:rFonts w:cs="Helvetica"/>
        </w:rPr>
        <w:tab/>
      </w:r>
      <w:r w:rsidRPr="004A42C8">
        <w:rPr>
          <w:rFonts w:cs="Calibri"/>
        </w:rPr>
        <w:t xml:space="preserve">This report includes: The data recorded in the lab session, </w:t>
      </w:r>
      <w:r w:rsidR="00BD6E28" w:rsidRPr="004A42C8">
        <w:rPr>
          <w:rFonts w:cs="Calibri"/>
        </w:rPr>
        <w:t xml:space="preserve">their related plots, </w:t>
      </w:r>
      <w:r w:rsidRPr="004A42C8">
        <w:rPr>
          <w:rFonts w:cs="Calibri"/>
        </w:rPr>
        <w:t xml:space="preserve">sample calculations, and a discussion of the conclusions reached. </w:t>
      </w:r>
      <w:r w:rsidR="00B33814" w:rsidRPr="004A42C8">
        <w:rPr>
          <w:rFonts w:cs="Calibri"/>
        </w:rPr>
        <w:t>The calculations determine:</w:t>
      </w:r>
    </w:p>
    <w:p w:rsidR="00B33814" w:rsidRPr="004A42C8" w:rsidRDefault="00B33814" w:rsidP="00BD6E28">
      <w:pPr>
        <w:pStyle w:val="ListParagraph"/>
        <w:numPr>
          <w:ilvl w:val="0"/>
          <w:numId w:val="2"/>
        </w:numPr>
        <w:autoSpaceDE w:val="0"/>
        <w:autoSpaceDN w:val="0"/>
        <w:adjustRightInd w:val="0"/>
        <w:spacing w:after="0"/>
        <w:rPr>
          <w:rFonts w:cs="Calibri"/>
        </w:rPr>
      </w:pPr>
      <w:r w:rsidRPr="004A42C8">
        <w:rPr>
          <w:rFonts w:cs="Calibri"/>
        </w:rPr>
        <w:t>The height of the sample after consolidation</w:t>
      </w:r>
    </w:p>
    <w:p w:rsidR="00B33814" w:rsidRPr="004A42C8" w:rsidRDefault="00B33814" w:rsidP="00BD6E28">
      <w:pPr>
        <w:pStyle w:val="ListParagraph"/>
        <w:numPr>
          <w:ilvl w:val="0"/>
          <w:numId w:val="2"/>
        </w:numPr>
        <w:autoSpaceDE w:val="0"/>
        <w:autoSpaceDN w:val="0"/>
        <w:adjustRightInd w:val="0"/>
        <w:spacing w:after="0"/>
        <w:rPr>
          <w:rFonts w:cs="Calibri"/>
        </w:rPr>
      </w:pPr>
      <w:r w:rsidRPr="004A42C8">
        <w:rPr>
          <w:rFonts w:cs="Calibri"/>
        </w:rPr>
        <w:t>The volume of voids both before and after consolidation</w:t>
      </w:r>
    </w:p>
    <w:p w:rsidR="00BD6E28" w:rsidRPr="004A42C8" w:rsidRDefault="00B33814" w:rsidP="00BD6E28">
      <w:pPr>
        <w:pStyle w:val="ListParagraph"/>
        <w:numPr>
          <w:ilvl w:val="0"/>
          <w:numId w:val="2"/>
        </w:numPr>
        <w:autoSpaceDE w:val="0"/>
        <w:autoSpaceDN w:val="0"/>
        <w:adjustRightInd w:val="0"/>
        <w:spacing w:after="0"/>
        <w:rPr>
          <w:rFonts w:cs="Calibri"/>
        </w:rPr>
      </w:pPr>
      <w:r w:rsidRPr="004A42C8">
        <w:rPr>
          <w:rFonts w:cs="Calibri"/>
        </w:rPr>
        <w:t>The void ratio before and after consolidation</w:t>
      </w:r>
    </w:p>
    <w:p w:rsidR="00B33814" w:rsidRPr="004A42C8" w:rsidRDefault="00BD6E28" w:rsidP="00BD6E28">
      <w:pPr>
        <w:pStyle w:val="ListParagraph"/>
        <w:numPr>
          <w:ilvl w:val="0"/>
          <w:numId w:val="2"/>
        </w:numPr>
        <w:autoSpaceDE w:val="0"/>
        <w:autoSpaceDN w:val="0"/>
        <w:adjustRightInd w:val="0"/>
        <w:spacing w:after="0"/>
        <w:rPr>
          <w:rFonts w:cs="Calibri"/>
        </w:rPr>
      </w:pPr>
      <w:r w:rsidRPr="004A42C8">
        <w:rPr>
          <w:rFonts w:cs="Calibri"/>
        </w:rPr>
        <w:t>The coefficient of consolidation</w:t>
      </w:r>
    </w:p>
    <w:p w:rsidR="002E2081" w:rsidRPr="004A42C8" w:rsidRDefault="002E2081" w:rsidP="00BD6E28">
      <w:pPr>
        <w:autoSpaceDE w:val="0"/>
        <w:autoSpaceDN w:val="0"/>
        <w:adjustRightInd w:val="0"/>
        <w:spacing w:after="0"/>
        <w:rPr>
          <w:rFonts w:cs="Calibri"/>
        </w:rPr>
      </w:pPr>
      <w:r w:rsidRPr="004A42C8">
        <w:rPr>
          <w:rFonts w:cs="Calibri"/>
        </w:rPr>
        <w:t xml:space="preserve">There are multiple plots included in the lab: </w:t>
      </w:r>
    </w:p>
    <w:p w:rsidR="002E2081" w:rsidRPr="004A42C8" w:rsidRDefault="002E2081" w:rsidP="00BD6E28">
      <w:pPr>
        <w:pStyle w:val="ListParagraph"/>
        <w:numPr>
          <w:ilvl w:val="0"/>
          <w:numId w:val="1"/>
        </w:numPr>
        <w:autoSpaceDE w:val="0"/>
        <w:autoSpaceDN w:val="0"/>
        <w:adjustRightInd w:val="0"/>
        <w:spacing w:after="0"/>
        <w:rPr>
          <w:rFonts w:cs="Calibri"/>
        </w:rPr>
      </w:pPr>
      <w:r w:rsidRPr="004A42C8">
        <w:rPr>
          <w:rFonts w:cs="Calibri"/>
        </w:rPr>
        <w:t>displacement gauge readings vs the logarithm of time (which is used to determine d</w:t>
      </w:r>
      <w:r w:rsidRPr="004A42C8">
        <w:rPr>
          <w:rFonts w:cs="Calibri"/>
          <w:vertAlign w:val="subscript"/>
        </w:rPr>
        <w:t>0</w:t>
      </w:r>
      <w:r w:rsidRPr="004A42C8">
        <w:rPr>
          <w:rFonts w:cs="Calibri"/>
        </w:rPr>
        <w:t>, d</w:t>
      </w:r>
      <w:r w:rsidRPr="004A42C8">
        <w:rPr>
          <w:rFonts w:cs="Calibri"/>
          <w:vertAlign w:val="subscript"/>
        </w:rPr>
        <w:t>100</w:t>
      </w:r>
      <w:r w:rsidRPr="004A42C8">
        <w:rPr>
          <w:rFonts w:cs="Calibri"/>
        </w:rPr>
        <w:t>, d</w:t>
      </w:r>
      <w:r w:rsidRPr="004A42C8">
        <w:rPr>
          <w:rFonts w:cs="Calibri"/>
          <w:vertAlign w:val="subscript"/>
        </w:rPr>
        <w:t>50</w:t>
      </w:r>
      <w:r w:rsidRPr="004A42C8">
        <w:rPr>
          <w:rFonts w:cs="Calibri"/>
        </w:rPr>
        <w:t>, and t</w:t>
      </w:r>
      <w:r w:rsidRPr="004A42C8">
        <w:rPr>
          <w:rFonts w:cs="Calibri"/>
          <w:vertAlign w:val="subscript"/>
        </w:rPr>
        <w:t>50</w:t>
      </w:r>
      <w:r w:rsidRPr="004A42C8">
        <w:rPr>
          <w:rFonts w:cs="Calibri"/>
        </w:rPr>
        <w:t>)</w:t>
      </w:r>
    </w:p>
    <w:p w:rsidR="00BD6E28" w:rsidRPr="004A42C8" w:rsidRDefault="002E2081" w:rsidP="00BD6E28">
      <w:pPr>
        <w:pStyle w:val="ListParagraph"/>
        <w:numPr>
          <w:ilvl w:val="0"/>
          <w:numId w:val="1"/>
        </w:numPr>
        <w:autoSpaceDE w:val="0"/>
        <w:autoSpaceDN w:val="0"/>
        <w:adjustRightInd w:val="0"/>
        <w:spacing w:after="0"/>
        <w:rPr>
          <w:rFonts w:cs="Calibri"/>
        </w:rPr>
      </w:pPr>
      <w:r w:rsidRPr="004A42C8">
        <w:rPr>
          <w:rFonts w:cs="Calibri"/>
        </w:rPr>
        <w:t>displacement gauge readings versus the square root of time (which is used to determine the time for 90% primary consolidation, t</w:t>
      </w:r>
      <w:r w:rsidRPr="004A42C8">
        <w:rPr>
          <w:rFonts w:cs="Calibri"/>
          <w:vertAlign w:val="subscript"/>
        </w:rPr>
        <w:t>90</w:t>
      </w:r>
      <w:r w:rsidRPr="004A42C8">
        <w:rPr>
          <w:rFonts w:cs="Calibri"/>
        </w:rPr>
        <w:t xml:space="preserve">) </w:t>
      </w:r>
    </w:p>
    <w:p w:rsidR="008D6637" w:rsidRPr="004A42C8" w:rsidRDefault="008D6637" w:rsidP="00BD6E28">
      <w:pPr>
        <w:autoSpaceDE w:val="0"/>
        <w:autoSpaceDN w:val="0"/>
        <w:adjustRightInd w:val="0"/>
        <w:spacing w:after="0"/>
        <w:rPr>
          <w:rFonts w:cs="Calibri"/>
        </w:rPr>
      </w:pPr>
    </w:p>
    <w:p w:rsidR="00AB2B1F" w:rsidRPr="004A42C8" w:rsidRDefault="008D6637" w:rsidP="00AB2B1F">
      <w:pPr>
        <w:autoSpaceDE w:val="0"/>
        <w:autoSpaceDN w:val="0"/>
        <w:adjustRightInd w:val="0"/>
        <w:spacing w:after="0"/>
        <w:rPr>
          <w:rFonts w:cs="Calibri"/>
          <w:b/>
          <w:u w:val="single"/>
        </w:rPr>
      </w:pPr>
      <w:r w:rsidRPr="004A42C8">
        <w:rPr>
          <w:rFonts w:cs="Calibri"/>
          <w:b/>
          <w:u w:val="single"/>
        </w:rPr>
        <w:t>Equipment and Procedure</w:t>
      </w:r>
    </w:p>
    <w:p w:rsidR="008D6637" w:rsidRPr="004A42C8" w:rsidRDefault="008D6637" w:rsidP="00AB2B1F">
      <w:pPr>
        <w:autoSpaceDE w:val="0"/>
        <w:autoSpaceDN w:val="0"/>
        <w:adjustRightInd w:val="0"/>
        <w:spacing w:after="0"/>
        <w:rPr>
          <w:rFonts w:cs="Calibri"/>
        </w:rPr>
      </w:pPr>
    </w:p>
    <w:p w:rsidR="00AB2B1F" w:rsidRPr="004A42C8" w:rsidRDefault="008D6637" w:rsidP="00AB2B1F">
      <w:pPr>
        <w:autoSpaceDE w:val="0"/>
        <w:autoSpaceDN w:val="0"/>
        <w:adjustRightInd w:val="0"/>
        <w:spacing w:after="0"/>
        <w:rPr>
          <w:rFonts w:cs="Calibri"/>
        </w:rPr>
      </w:pPr>
      <w:r w:rsidRPr="004A42C8">
        <w:rPr>
          <w:rFonts w:cs="Calibri"/>
          <w:noProof/>
        </w:rPr>
        <w:drawing>
          <wp:inline distT="0" distB="0" distL="0" distR="0">
            <wp:extent cx="2489200" cy="1871192"/>
            <wp:effectExtent l="25400" t="0" r="0" b="0"/>
            <wp:docPr id="1" name="Picture 1" descr=":290x218consolid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90x218consolidation.jpg"/>
                    <pic:cNvPicPr>
                      <a:picLocks noChangeAspect="1" noChangeArrowheads="1"/>
                    </pic:cNvPicPr>
                  </pic:nvPicPr>
                  <pic:blipFill>
                    <a:blip r:embed="rId5"/>
                    <a:srcRect/>
                    <a:stretch>
                      <a:fillRect/>
                    </a:stretch>
                  </pic:blipFill>
                  <pic:spPr bwMode="auto">
                    <a:xfrm>
                      <a:off x="0" y="0"/>
                      <a:ext cx="2490487" cy="1872159"/>
                    </a:xfrm>
                    <a:prstGeom prst="rect">
                      <a:avLst/>
                    </a:prstGeom>
                    <a:noFill/>
                    <a:ln w="9525">
                      <a:noFill/>
                      <a:miter lim="800000"/>
                      <a:headEnd/>
                      <a:tailEnd/>
                    </a:ln>
                  </pic:spPr>
                </pic:pic>
              </a:graphicData>
            </a:graphic>
          </wp:inline>
        </w:drawing>
      </w:r>
      <w:r w:rsidR="00AB2B1F" w:rsidRPr="004A42C8">
        <w:rPr>
          <w:rFonts w:cs="Calibri"/>
        </w:rPr>
        <w:t xml:space="preserve">          </w:t>
      </w:r>
      <w:r w:rsidR="00AB2B1F" w:rsidRPr="004A42C8">
        <w:rPr>
          <w:rFonts w:cs="Calibri"/>
          <w:noProof/>
        </w:rPr>
        <w:drawing>
          <wp:inline distT="0" distB="0" distL="0" distR="0">
            <wp:extent cx="2596444" cy="1947333"/>
            <wp:effectExtent l="25400" t="0" r="0" b="0"/>
            <wp:docPr id="3" name="Picture 2" descr=":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jpg"/>
                    <pic:cNvPicPr>
                      <a:picLocks noChangeAspect="1" noChangeArrowheads="1"/>
                    </pic:cNvPicPr>
                  </pic:nvPicPr>
                  <pic:blipFill>
                    <a:blip r:embed="rId6"/>
                    <a:srcRect/>
                    <a:stretch>
                      <a:fillRect/>
                    </a:stretch>
                  </pic:blipFill>
                  <pic:spPr bwMode="auto">
                    <a:xfrm>
                      <a:off x="0" y="0"/>
                      <a:ext cx="2599690" cy="1949767"/>
                    </a:xfrm>
                    <a:prstGeom prst="rect">
                      <a:avLst/>
                    </a:prstGeom>
                    <a:noFill/>
                    <a:ln w="9525">
                      <a:noFill/>
                      <a:miter lim="800000"/>
                      <a:headEnd/>
                      <a:tailEnd/>
                    </a:ln>
                  </pic:spPr>
                </pic:pic>
              </a:graphicData>
            </a:graphic>
          </wp:inline>
        </w:drawing>
      </w:r>
    </w:p>
    <w:p w:rsidR="00AB2B1F" w:rsidRPr="004A42C8" w:rsidRDefault="00AB2B1F" w:rsidP="00AB2B1F">
      <w:pPr>
        <w:autoSpaceDE w:val="0"/>
        <w:autoSpaceDN w:val="0"/>
        <w:adjustRightInd w:val="0"/>
        <w:spacing w:after="0"/>
        <w:rPr>
          <w:rFonts w:cs="Calibri"/>
        </w:rPr>
      </w:pPr>
      <w:r w:rsidRPr="004A42C8">
        <w:rPr>
          <w:rFonts w:cs="Calibri"/>
        </w:rPr>
        <w:t>Figure1:</w:t>
      </w:r>
      <w:r w:rsidR="0024207E" w:rsidRPr="004A42C8">
        <w:rPr>
          <w:rFonts w:cs="Calibri"/>
        </w:rPr>
        <w:t xml:space="preserve"> (Consolidometer)</w:t>
      </w:r>
      <w:r w:rsidR="0024207E" w:rsidRPr="004A42C8">
        <w:rPr>
          <w:rFonts w:cs="Calibri"/>
        </w:rPr>
        <w:tab/>
      </w:r>
      <w:r w:rsidRPr="004A42C8">
        <w:rPr>
          <w:rFonts w:cs="Calibri"/>
        </w:rPr>
        <w:tab/>
      </w:r>
      <w:r w:rsidRPr="004A42C8">
        <w:rPr>
          <w:rFonts w:cs="Calibri"/>
        </w:rPr>
        <w:tab/>
        <w:t xml:space="preserve">    Figure 2:</w:t>
      </w:r>
    </w:p>
    <w:p w:rsidR="00AB2B1F" w:rsidRPr="004A42C8" w:rsidRDefault="00AB2B1F" w:rsidP="00AB2B1F">
      <w:pPr>
        <w:autoSpaceDE w:val="0"/>
        <w:autoSpaceDN w:val="0"/>
        <w:adjustRightInd w:val="0"/>
        <w:spacing w:after="0"/>
        <w:rPr>
          <w:rFonts w:cs="Calibri"/>
        </w:rPr>
      </w:pPr>
      <w:r w:rsidRPr="004A42C8">
        <w:rPr>
          <w:rFonts w:cs="Calibri"/>
        </w:rPr>
        <w:tab/>
        <w:t xml:space="preserve">The consolidation apparatus </w:t>
      </w:r>
      <w:r w:rsidRPr="004A42C8">
        <w:rPr>
          <w:rFonts w:cs="Calibri"/>
        </w:rPr>
        <w:tab/>
      </w:r>
      <w:r w:rsidRPr="004A42C8">
        <w:rPr>
          <w:rFonts w:cs="Calibri"/>
        </w:rPr>
        <w:tab/>
        <w:t xml:space="preserve">    The sample is placed in this     transfers the load applied on the </w:t>
      </w:r>
      <w:r w:rsidRPr="004A42C8">
        <w:rPr>
          <w:rFonts w:cs="Calibri"/>
        </w:rPr>
        <w:tab/>
      </w:r>
      <w:r w:rsidRPr="004A42C8">
        <w:rPr>
          <w:rFonts w:cs="Calibri"/>
        </w:rPr>
        <w:tab/>
        <w:t xml:space="preserve">    cylinder which ensures that the load is </w:t>
      </w:r>
      <w:r w:rsidR="0024207E" w:rsidRPr="004A42C8">
        <w:rPr>
          <w:rFonts w:cs="Calibri"/>
        </w:rPr>
        <w:t>sbronze</w:t>
      </w:r>
      <w:r w:rsidRPr="004A42C8">
        <w:rPr>
          <w:rFonts w:cs="Calibri"/>
        </w:rPr>
        <w:t xml:space="preserve"> disk which transfers the load </w:t>
      </w:r>
      <w:r w:rsidRPr="004A42C8">
        <w:rPr>
          <w:rFonts w:cs="Calibri"/>
        </w:rPr>
        <w:tab/>
        <w:t xml:space="preserve">    entirely placed in the vertical direction directly onto the soil sample. </w:t>
      </w:r>
      <w:r w:rsidRPr="004A42C8">
        <w:rPr>
          <w:rFonts w:cs="Calibri"/>
        </w:rPr>
        <w:tab/>
      </w:r>
      <w:r w:rsidRPr="004A42C8">
        <w:rPr>
          <w:rFonts w:cs="Calibri"/>
        </w:rPr>
        <w:tab/>
        <w:t xml:space="preserve">    to the sample.</w:t>
      </w:r>
    </w:p>
    <w:p w:rsidR="002D09F8" w:rsidRPr="004A42C8" w:rsidRDefault="002D09F8" w:rsidP="00AB2B1F">
      <w:pPr>
        <w:autoSpaceDE w:val="0"/>
        <w:autoSpaceDN w:val="0"/>
        <w:adjustRightInd w:val="0"/>
        <w:spacing w:after="0"/>
        <w:rPr>
          <w:rFonts w:cs="Calibri"/>
        </w:rPr>
      </w:pPr>
      <w:r w:rsidRPr="004A42C8">
        <w:rPr>
          <w:rFonts w:cs="Calibri"/>
        </w:rPr>
        <w:t>Procedure:</w:t>
      </w:r>
    </w:p>
    <w:p w:rsidR="002A4ECF" w:rsidRDefault="002A4ECF" w:rsidP="00AB2B1F">
      <w:pPr>
        <w:autoSpaceDE w:val="0"/>
        <w:autoSpaceDN w:val="0"/>
        <w:adjustRightInd w:val="0"/>
        <w:spacing w:after="0"/>
        <w:rPr>
          <w:rFonts w:cs="Calibri"/>
        </w:rPr>
      </w:pPr>
      <w:r>
        <w:rPr>
          <w:rFonts w:cs="Calibri"/>
          <w:b/>
          <w:u w:val="single"/>
        </w:rPr>
        <w:t>Procedure</w:t>
      </w:r>
      <w:r w:rsidR="002D09F8" w:rsidRPr="004A42C8">
        <w:rPr>
          <w:rFonts w:cs="Calibri"/>
        </w:rPr>
        <w:tab/>
      </w:r>
    </w:p>
    <w:p w:rsidR="002D09F8" w:rsidRPr="004A42C8" w:rsidRDefault="002D09F8" w:rsidP="00AB2B1F">
      <w:pPr>
        <w:autoSpaceDE w:val="0"/>
        <w:autoSpaceDN w:val="0"/>
        <w:adjustRightInd w:val="0"/>
        <w:spacing w:after="0"/>
        <w:rPr>
          <w:rFonts w:cs="Calibri"/>
          <w:i/>
        </w:rPr>
      </w:pPr>
      <w:r w:rsidRPr="004A42C8">
        <w:rPr>
          <w:rFonts w:cs="Calibri"/>
        </w:rPr>
        <w:t>*</w:t>
      </w:r>
      <w:r w:rsidRPr="004A42C8">
        <w:rPr>
          <w:rFonts w:cs="Calibri"/>
          <w:i/>
        </w:rPr>
        <w:t>The procedure was taken from page 18 from the CIVE 3208 Geotechnical Mechanics Laboratory manual, last revised by Mohammed T. Rayhani in September 2014.</w:t>
      </w:r>
    </w:p>
    <w:p w:rsidR="002D09F8" w:rsidRPr="004A42C8" w:rsidRDefault="002D09F8" w:rsidP="00AB2B1F">
      <w:pPr>
        <w:autoSpaceDE w:val="0"/>
        <w:autoSpaceDN w:val="0"/>
        <w:adjustRightInd w:val="0"/>
        <w:spacing w:after="0"/>
        <w:rPr>
          <w:rFonts w:cs="Calibri"/>
          <w:i/>
        </w:rPr>
      </w:pPr>
    </w:p>
    <w:p w:rsidR="002D09F8" w:rsidRPr="002A4ECF"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Prepare the soil specimen for the test. Trim the soil sample to a size slightly larger than the consolidation ring.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Determine the mass of two soil moisture containers. Place a sample of the soil trimmed from the soil specimen in step 1 into one of the soil moisture containers. Weigh the soil sample and the container. Clearly label the soil moisture container.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Determine the mass of the consolidation ring.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Press the soil sample into the consolidation ring and trim the top and bottom of the sample with a thin wire saw.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Determine the mass of the consolidation ring and the soil sample. Determine the initial height of the sample, H.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Saturate the upper and the base porous stones of the consolidometer. </w:t>
      </w:r>
    </w:p>
    <w:p w:rsidR="002D09F8" w:rsidRPr="004A42C8" w:rsidRDefault="002D09F8" w:rsidP="002D09F8">
      <w:pPr>
        <w:pStyle w:val="NormalWeb"/>
        <w:numPr>
          <w:ilvl w:val="0"/>
          <w:numId w:val="3"/>
        </w:numPr>
        <w:spacing w:before="2" w:after="2"/>
        <w:rPr>
          <w:rFonts w:asciiTheme="minorHAnsi" w:hAnsiTheme="minorHAnsi"/>
          <w:sz w:val="24"/>
          <w:szCs w:val="24"/>
        </w:rPr>
      </w:pPr>
      <w:r w:rsidRPr="004A42C8">
        <w:rPr>
          <w:rFonts w:asciiTheme="minorHAnsi" w:hAnsiTheme="minorHAnsi"/>
          <w:sz w:val="24"/>
          <w:szCs w:val="24"/>
        </w:rPr>
        <w:t xml:space="preserve">Place the soil specimen and consolidation ring on top of the base porous stone.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Place the saturated upper porous stone on the soil specimen.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Attach the top portion of the consolidometer to the base.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Fill the volume inside the consolidometer with water such that the top porous stone is in contact with the water.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Place the consolidometer in the loading device.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Attach and/or adjust the vertical deflection gauge to measure the compression of the soil sample. The gauge should be near the beginning of the release run so that as the load is applied and compression of the soil sample occurs, the displacement of the top porous plate can be measured.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Apply the load to the soil specimen. For the ASTM test procedure, the applied load is such that the pressure on the specimen is 47.88 kN/m</w:t>
      </w:r>
      <w:r w:rsidRPr="004A42C8">
        <w:rPr>
          <w:rFonts w:asciiTheme="minorHAnsi" w:hAnsiTheme="minorHAnsi"/>
          <w:position w:val="12"/>
          <w:sz w:val="24"/>
          <w:szCs w:val="16"/>
        </w:rPr>
        <w:t>2</w:t>
      </w:r>
      <w:r w:rsidRPr="004A42C8">
        <w:rPr>
          <w:rFonts w:asciiTheme="minorHAnsi" w:hAnsiTheme="minorHAnsi"/>
          <w:sz w:val="24"/>
          <w:szCs w:val="24"/>
        </w:rPr>
        <w:t xml:space="preserve">. For this laboratory add a 4 kg load to the loading device.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Record the vertical displacement gauge at the following times from the time the load is placed on the soil specimen: 0 sec., 15 sec., 1 min., 2.25 min., 4 min., 6.25 min., 9 min., 12.25 min., 20.25 min., 25 min., 36 min., 1 hr., 2 hr., 4 hr., 8 hr., and 24 hours.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For the ASTM test procedure, the load is increased by 100 percent on four consecutive occasions (e.g., 12, 25, 50 and 100 kPa) taking reading between each loading as outlined in step 14. For this lab only the first loading is required due to time restrictions.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At the end of the test, determine the mass of the soil sample and consolidation ring. </w:t>
      </w:r>
    </w:p>
    <w:p w:rsidR="002D09F8"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Place a small soil sample in the second soil moisture container and weigh the container and the soil sample. </w:t>
      </w:r>
    </w:p>
    <w:p w:rsidR="00A52585" w:rsidRPr="004A42C8" w:rsidRDefault="002D09F8" w:rsidP="002D09F8">
      <w:pPr>
        <w:pStyle w:val="NormalWeb"/>
        <w:numPr>
          <w:ilvl w:val="0"/>
          <w:numId w:val="4"/>
        </w:numPr>
        <w:spacing w:before="2" w:after="2"/>
        <w:rPr>
          <w:rFonts w:asciiTheme="minorHAnsi" w:hAnsiTheme="minorHAnsi"/>
          <w:sz w:val="24"/>
          <w:szCs w:val="24"/>
        </w:rPr>
      </w:pPr>
      <w:r w:rsidRPr="004A42C8">
        <w:rPr>
          <w:rFonts w:asciiTheme="minorHAnsi" w:hAnsiTheme="minorHAnsi"/>
          <w:sz w:val="24"/>
          <w:szCs w:val="24"/>
        </w:rPr>
        <w:t xml:space="preserve">Place the soil moisture containers in the oven. </w:t>
      </w:r>
    </w:p>
    <w:p w:rsidR="002D09F8" w:rsidRPr="004A42C8" w:rsidRDefault="00A52585" w:rsidP="00A52585">
      <w:pPr>
        <w:pStyle w:val="NormalWeb"/>
        <w:spacing w:before="2" w:after="2"/>
        <w:rPr>
          <w:rFonts w:asciiTheme="minorHAnsi" w:hAnsiTheme="minorHAnsi"/>
          <w:sz w:val="24"/>
          <w:szCs w:val="24"/>
        </w:rPr>
      </w:pPr>
      <w:r w:rsidRPr="004A42C8">
        <w:rPr>
          <w:rFonts w:asciiTheme="minorHAnsi" w:hAnsiTheme="minorHAnsi"/>
          <w:sz w:val="24"/>
          <w:szCs w:val="24"/>
        </w:rPr>
        <w:t>**</w:t>
      </w:r>
      <w:r w:rsidRPr="004A42C8">
        <w:rPr>
          <w:rFonts w:asciiTheme="minorHAnsi" w:hAnsiTheme="minorHAnsi"/>
          <w:i/>
          <w:sz w:val="24"/>
          <w:szCs w:val="24"/>
        </w:rPr>
        <w:t>It is important to note that for a “true” consolidation test, it is important to increase the load after 24… For example begin with a 4 kN load, then increase to 8kN then 16kN, then 32kN and so on. **</w:t>
      </w:r>
    </w:p>
    <w:p w:rsidR="002D09F8" w:rsidRPr="004A42C8" w:rsidRDefault="002D09F8" w:rsidP="002D09F8">
      <w:pPr>
        <w:pStyle w:val="NormalWeb"/>
        <w:spacing w:before="2" w:after="2"/>
        <w:rPr>
          <w:rFonts w:asciiTheme="minorHAnsi" w:hAnsiTheme="minorHAnsi"/>
          <w:sz w:val="24"/>
          <w:szCs w:val="24"/>
        </w:rPr>
      </w:pPr>
    </w:p>
    <w:p w:rsidR="002D09F8" w:rsidRPr="004A42C8" w:rsidRDefault="002D09F8" w:rsidP="002D09F8">
      <w:pPr>
        <w:pStyle w:val="NormalWeb"/>
        <w:spacing w:before="2" w:after="2"/>
        <w:rPr>
          <w:rFonts w:asciiTheme="minorHAnsi" w:hAnsiTheme="minorHAnsi"/>
          <w:sz w:val="24"/>
          <w:szCs w:val="24"/>
        </w:rPr>
      </w:pPr>
      <w:r w:rsidRPr="004A42C8">
        <w:rPr>
          <w:rFonts w:asciiTheme="minorHAnsi" w:hAnsiTheme="minorHAnsi"/>
          <w:b/>
          <w:sz w:val="24"/>
          <w:szCs w:val="24"/>
          <w:u w:val="single"/>
        </w:rPr>
        <w:t>Theory and Objectives</w:t>
      </w:r>
    </w:p>
    <w:p w:rsidR="00636920" w:rsidRPr="004A42C8" w:rsidRDefault="0024207E" w:rsidP="0024207E">
      <w:pPr>
        <w:pStyle w:val="NormalWeb"/>
        <w:spacing w:before="2" w:after="2"/>
        <w:rPr>
          <w:rFonts w:asciiTheme="minorHAnsi" w:hAnsiTheme="minorHAnsi"/>
          <w:sz w:val="24"/>
          <w:szCs w:val="24"/>
        </w:rPr>
      </w:pPr>
      <w:r w:rsidRPr="004A42C8">
        <w:rPr>
          <w:rFonts w:asciiTheme="minorHAnsi" w:hAnsiTheme="minorHAnsi"/>
          <w:sz w:val="24"/>
          <w:szCs w:val="24"/>
        </w:rPr>
        <w:tab/>
      </w:r>
      <w:r w:rsidR="00EC6FCD" w:rsidRPr="004A42C8">
        <w:rPr>
          <w:rFonts w:asciiTheme="minorHAnsi" w:hAnsiTheme="minorHAnsi"/>
          <w:sz w:val="24"/>
          <w:szCs w:val="24"/>
        </w:rPr>
        <w:t xml:space="preserve">The logic behind the consolidation lab is simple. It simulates a soil sample being compressed due an external load. This load can either be due to new construction above and a building being placed on top or a change in the pore water pressure surrounding the sample. When an external load such as a building is placed on top of the sample, it begins to settle. Settlement is the process where the soil is compressed causing the water held within to be forced out until the volume of voids has decreased to the point of maximum consolidation. I.e. cannot be compressed any more. For the case of the change in pore water pressure, </w:t>
      </w:r>
      <w:r w:rsidR="00636920" w:rsidRPr="004A42C8">
        <w:rPr>
          <w:rFonts w:asciiTheme="minorHAnsi" w:hAnsiTheme="minorHAnsi"/>
          <w:sz w:val="24"/>
          <w:szCs w:val="24"/>
        </w:rPr>
        <w:t>this is caused when there is a change in elevation of the ground water table. This goes hand in hand with the addition of a load because once the water is forced out of the sample, it then increases the height of the ground water table. This excess water does not stay stationary; it flows through the soil at a very slow rate so that the ground water table can return to equilibrium. As the water dissipates, the stress on the soil increases which again forces consolidation.</w:t>
      </w:r>
    </w:p>
    <w:p w:rsidR="00A52585" w:rsidRPr="004A42C8" w:rsidRDefault="00636920" w:rsidP="0024207E">
      <w:pPr>
        <w:pStyle w:val="NormalWeb"/>
        <w:spacing w:before="2" w:after="2"/>
        <w:rPr>
          <w:rFonts w:asciiTheme="minorHAnsi" w:hAnsiTheme="minorHAnsi"/>
          <w:sz w:val="24"/>
          <w:szCs w:val="24"/>
        </w:rPr>
      </w:pPr>
      <w:r w:rsidRPr="004A42C8">
        <w:rPr>
          <w:rFonts w:asciiTheme="minorHAnsi" w:hAnsiTheme="minorHAnsi"/>
          <w:sz w:val="24"/>
          <w:szCs w:val="24"/>
        </w:rPr>
        <w:tab/>
        <w:t>From a</w:t>
      </w:r>
      <w:r w:rsidR="00574FCD" w:rsidRPr="004A42C8">
        <w:rPr>
          <w:rFonts w:asciiTheme="minorHAnsi" w:hAnsiTheme="minorHAnsi"/>
          <w:sz w:val="24"/>
          <w:szCs w:val="24"/>
        </w:rPr>
        <w:t>n engineering perspective this theory is extremely important because whatever is being built whether it be a building or a runway for airplanes, almost every design places a load the ground. This load will be transferred though the soil changing its properties over time and as these properties change, it will affect the load that the soil will be able to support. As an engineer, these changes in the properties are used to determine the factor of safety of the structure and overall, determine if it is a “safe” structure. In the case of the soil not reaching a specified factor of safety, the engineers will modify many parameters to make it a safe structure. This could be anywhere from putting piles down to bed rock to reduce the load applied to the soil, or simply excavating the soil and replacing all or just a portion to withstand the applied load.</w:t>
      </w: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Default="004A42C8" w:rsidP="004A42C8">
      <w:pPr>
        <w:pStyle w:val="NormalWeb"/>
        <w:spacing w:before="2" w:after="2"/>
        <w:rPr>
          <w:rFonts w:asciiTheme="minorHAnsi" w:hAnsiTheme="minorHAnsi"/>
          <w:sz w:val="24"/>
          <w:szCs w:val="24"/>
        </w:rPr>
      </w:pPr>
    </w:p>
    <w:p w:rsidR="004A42C8" w:rsidRPr="004A42C8" w:rsidRDefault="004A42C8" w:rsidP="004A42C8">
      <w:pPr>
        <w:pStyle w:val="NormalWeb"/>
        <w:spacing w:before="2" w:after="2"/>
        <w:rPr>
          <w:rFonts w:asciiTheme="minorHAnsi" w:hAnsiTheme="minorHAnsi"/>
          <w:sz w:val="24"/>
          <w:szCs w:val="24"/>
        </w:rPr>
      </w:pPr>
    </w:p>
    <w:p w:rsidR="004A42C8" w:rsidRPr="004A42C8" w:rsidRDefault="004A42C8" w:rsidP="004A42C8">
      <w:pPr>
        <w:pStyle w:val="NormalWeb"/>
        <w:spacing w:before="2" w:after="2"/>
        <w:rPr>
          <w:rFonts w:asciiTheme="minorHAnsi" w:hAnsiTheme="minorHAnsi"/>
          <w:b/>
          <w:sz w:val="24"/>
          <w:szCs w:val="24"/>
          <w:u w:val="single"/>
        </w:rPr>
      </w:pPr>
      <w:r w:rsidRPr="004A42C8">
        <w:rPr>
          <w:rFonts w:asciiTheme="minorHAnsi" w:hAnsiTheme="minorHAnsi"/>
          <w:b/>
          <w:sz w:val="24"/>
          <w:szCs w:val="24"/>
          <w:u w:val="single"/>
        </w:rPr>
        <w:t>Discussion and Results</w:t>
      </w:r>
    </w:p>
    <w:p w:rsidR="004A42C8" w:rsidRDefault="004A42C8" w:rsidP="004A42C8">
      <w:pPr>
        <w:rPr>
          <w:u w:val="single"/>
        </w:rPr>
      </w:pPr>
      <w:r w:rsidRPr="004A42C8">
        <w:rPr>
          <w:u w:val="single"/>
        </w:rPr>
        <w:t>Results:</w:t>
      </w:r>
    </w:p>
    <w:tbl>
      <w:tblPr>
        <w:tblStyle w:val="TableGrid"/>
        <w:tblW w:w="8856" w:type="dxa"/>
        <w:tblInd w:w="-176" w:type="dxa"/>
        <w:tblLook w:val="00BF"/>
      </w:tblPr>
      <w:tblGrid>
        <w:gridCol w:w="1817"/>
        <w:gridCol w:w="1388"/>
        <w:gridCol w:w="1345"/>
        <w:gridCol w:w="1345"/>
        <w:gridCol w:w="1345"/>
        <w:gridCol w:w="1616"/>
      </w:tblGrid>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Time(supposed to be measured at)</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Time (as the computer measured)</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p>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Log(t)</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p>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√(t)</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Gauge reading (cm)</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p>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Displacement</w:t>
            </w:r>
          </w:p>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(cm)</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 s</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 s</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15 s</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18.43 s</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1.26553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4.29301</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35.63 s</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1.55180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5.96900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0.003215</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1.996785</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2.25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1.55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1.97023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9.66302</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0.004823</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1.995177</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3.60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2.33493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14.70499</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0.016076</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1.983924</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6.25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7.00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2.62344</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20.49829</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0.020899</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1.979101</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9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15.13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2.95805</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30.13194</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0.028937</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1.971063</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12.25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30.33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3.259966</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42.65628</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0.035368</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1.964632</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20.25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45.54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3.436546</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52.27248</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0.041798</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1.958202</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25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60.43 min</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3.559381</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60.21300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0.043406</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1.956594</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36 min</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1.26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3.655850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67.28603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0.045013</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1.954987</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 hr</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1.51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3.734933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73.69986</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0.046620</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1.953380</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 hr</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1.99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3.856569</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84.77828</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0.051443</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1.948557</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 hr</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4.01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4.159453</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120.1507</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0.059481</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1.940519</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8 hr</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8.01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4.459929</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169.8105</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0.064304</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1.935696</w:t>
            </w:r>
          </w:p>
        </w:tc>
      </w:tr>
      <w:tr w:rsidR="004A42C8" w:rsidRPr="004A42C8">
        <w:tc>
          <w:tcPr>
            <w:tcW w:w="169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24 hr</w:t>
            </w:r>
          </w:p>
        </w:tc>
        <w:tc>
          <w:tcPr>
            <w:tcW w:w="1412"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24.01 hr</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4.936671</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293.9920</w:t>
            </w:r>
          </w:p>
        </w:tc>
        <w:tc>
          <w:tcPr>
            <w:tcW w:w="1404"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0.075557</w:t>
            </w:r>
          </w:p>
        </w:tc>
        <w:tc>
          <w:tcPr>
            <w:tcW w:w="1536" w:type="dxa"/>
          </w:tcPr>
          <w:p w:rsidR="004A42C8" w:rsidRPr="004A42C8" w:rsidRDefault="004A42C8" w:rsidP="00F067C2">
            <w:pPr>
              <w:pStyle w:val="NormalWeb"/>
              <w:spacing w:before="2" w:after="2"/>
              <w:jc w:val="center"/>
              <w:rPr>
                <w:rFonts w:asciiTheme="minorHAnsi" w:hAnsiTheme="minorHAnsi"/>
                <w:sz w:val="24"/>
                <w:szCs w:val="24"/>
              </w:rPr>
            </w:pPr>
            <w:r w:rsidRPr="004A42C8">
              <w:rPr>
                <w:rFonts w:asciiTheme="minorHAnsi" w:hAnsiTheme="minorHAnsi"/>
                <w:sz w:val="24"/>
                <w:szCs w:val="24"/>
              </w:rPr>
              <w:t>1.926050</w:t>
            </w:r>
          </w:p>
        </w:tc>
      </w:tr>
    </w:tbl>
    <w:p w:rsidR="004A42C8" w:rsidRPr="004A42C8" w:rsidRDefault="004A42C8" w:rsidP="004A42C8">
      <w:pPr>
        <w:rPr>
          <w:u w:val="single"/>
        </w:rPr>
      </w:pPr>
      <w:r w:rsidRPr="004A42C8">
        <w:t>**</w:t>
      </w:r>
      <w:r w:rsidRPr="004A42C8">
        <w:rPr>
          <w:i/>
        </w:rPr>
        <w:t>The times vary because of the computer program.. for some reason it did not record at times close to the desired intervals throughout the beginning so the data changes slightly.</w:t>
      </w:r>
    </w:p>
    <w:tbl>
      <w:tblPr>
        <w:tblStyle w:val="TableGrid"/>
        <w:tblW w:w="11199" w:type="dxa"/>
        <w:tblInd w:w="-1168" w:type="dxa"/>
        <w:tblLayout w:type="fixed"/>
        <w:tblLook w:val="04A0"/>
      </w:tblPr>
      <w:tblGrid>
        <w:gridCol w:w="816"/>
        <w:gridCol w:w="886"/>
        <w:gridCol w:w="992"/>
        <w:gridCol w:w="1134"/>
        <w:gridCol w:w="1134"/>
        <w:gridCol w:w="1559"/>
        <w:gridCol w:w="1134"/>
        <w:gridCol w:w="1134"/>
        <w:gridCol w:w="1276"/>
        <w:gridCol w:w="1134"/>
      </w:tblGrid>
      <w:tr w:rsidR="004A42C8" w:rsidRPr="004A42C8">
        <w:trPr>
          <w:trHeight w:val="1402"/>
        </w:trPr>
        <w:tc>
          <w:tcPr>
            <w:tcW w:w="816" w:type="dxa"/>
          </w:tcPr>
          <w:p w:rsidR="004A42C8" w:rsidRPr="004A42C8" w:rsidRDefault="004A42C8">
            <w:pPr>
              <w:rPr>
                <w:u w:val="single"/>
              </w:rPr>
            </w:pPr>
            <w:r w:rsidRPr="004A42C8">
              <w:rPr>
                <w:u w:val="single"/>
              </w:rPr>
              <w:t>D0</w:t>
            </w:r>
          </w:p>
        </w:tc>
        <w:tc>
          <w:tcPr>
            <w:tcW w:w="886" w:type="dxa"/>
          </w:tcPr>
          <w:p w:rsidR="004A42C8" w:rsidRPr="004A42C8" w:rsidRDefault="004A42C8">
            <w:pPr>
              <w:rPr>
                <w:u w:val="single"/>
              </w:rPr>
            </w:pPr>
            <w:r w:rsidRPr="004A42C8">
              <w:rPr>
                <w:u w:val="single"/>
              </w:rPr>
              <w:t>D100</w:t>
            </w:r>
          </w:p>
        </w:tc>
        <w:tc>
          <w:tcPr>
            <w:tcW w:w="992" w:type="dxa"/>
          </w:tcPr>
          <w:p w:rsidR="004A42C8" w:rsidRPr="004A42C8" w:rsidRDefault="004A42C8">
            <w:pPr>
              <w:rPr>
                <w:u w:val="single"/>
              </w:rPr>
            </w:pPr>
            <w:r w:rsidRPr="004A42C8">
              <w:rPr>
                <w:u w:val="single"/>
              </w:rPr>
              <w:t>D50</w:t>
            </w:r>
          </w:p>
        </w:tc>
        <w:tc>
          <w:tcPr>
            <w:tcW w:w="1134" w:type="dxa"/>
          </w:tcPr>
          <w:p w:rsidR="004A42C8" w:rsidRPr="004A42C8" w:rsidRDefault="004A42C8">
            <w:pPr>
              <w:rPr>
                <w:u w:val="single"/>
              </w:rPr>
            </w:pPr>
            <w:r w:rsidRPr="004A42C8">
              <w:rPr>
                <w:u w:val="single"/>
              </w:rPr>
              <w:t>T50</w:t>
            </w:r>
          </w:p>
        </w:tc>
        <w:tc>
          <w:tcPr>
            <w:tcW w:w="1134" w:type="dxa"/>
          </w:tcPr>
          <w:p w:rsidR="004A42C8" w:rsidRPr="004A42C8" w:rsidRDefault="004A42C8">
            <w:pPr>
              <w:rPr>
                <w:u w:val="single"/>
              </w:rPr>
            </w:pPr>
            <w:r w:rsidRPr="004A42C8">
              <w:rPr>
                <w:u w:val="single"/>
              </w:rPr>
              <w:t>T90</w:t>
            </w:r>
          </w:p>
        </w:tc>
        <w:tc>
          <w:tcPr>
            <w:tcW w:w="1559" w:type="dxa"/>
          </w:tcPr>
          <w:p w:rsidR="004A42C8" w:rsidRPr="004A42C8" w:rsidRDefault="004A42C8">
            <w:pPr>
              <w:rPr>
                <w:u w:val="single"/>
              </w:rPr>
            </w:pPr>
            <w:r w:rsidRPr="004A42C8">
              <w:rPr>
                <w:u w:val="single"/>
              </w:rPr>
              <w:t>Cv (Casagrande Fadum Method)</w:t>
            </w:r>
          </w:p>
        </w:tc>
        <w:tc>
          <w:tcPr>
            <w:tcW w:w="1134" w:type="dxa"/>
          </w:tcPr>
          <w:p w:rsidR="004A42C8" w:rsidRPr="004A42C8" w:rsidRDefault="004A42C8">
            <w:pPr>
              <w:rPr>
                <w:u w:val="single"/>
              </w:rPr>
            </w:pPr>
            <w:r w:rsidRPr="004A42C8">
              <w:rPr>
                <w:u w:val="single"/>
              </w:rPr>
              <w:t>Cv (Taylor Method)</w:t>
            </w:r>
          </w:p>
        </w:tc>
        <w:tc>
          <w:tcPr>
            <w:tcW w:w="1134" w:type="dxa"/>
          </w:tcPr>
          <w:p w:rsidR="004A42C8" w:rsidRPr="004A42C8" w:rsidRDefault="004A42C8">
            <w:pPr>
              <w:rPr>
                <w:u w:val="single"/>
              </w:rPr>
            </w:pPr>
            <w:r w:rsidRPr="004A42C8">
              <w:rPr>
                <w:u w:val="single"/>
              </w:rPr>
              <w:t>Hs</w:t>
            </w:r>
          </w:p>
        </w:tc>
        <w:tc>
          <w:tcPr>
            <w:tcW w:w="1276" w:type="dxa"/>
          </w:tcPr>
          <w:p w:rsidR="004A42C8" w:rsidRPr="004A42C8" w:rsidRDefault="004A42C8">
            <w:pPr>
              <w:rPr>
                <w:u w:val="single"/>
              </w:rPr>
            </w:pPr>
            <w:r w:rsidRPr="004A42C8">
              <w:rPr>
                <w:u w:val="single"/>
              </w:rPr>
              <w:t>Hv before</w:t>
            </w:r>
          </w:p>
          <w:p w:rsidR="004A42C8" w:rsidRPr="004A42C8" w:rsidRDefault="004A42C8">
            <w:pPr>
              <w:rPr>
                <w:u w:val="single"/>
              </w:rPr>
            </w:pPr>
            <w:r w:rsidRPr="004A42C8">
              <w:rPr>
                <w:u w:val="single"/>
              </w:rPr>
              <w:t>after</w:t>
            </w:r>
          </w:p>
        </w:tc>
        <w:tc>
          <w:tcPr>
            <w:tcW w:w="1134" w:type="dxa"/>
          </w:tcPr>
          <w:p w:rsidR="004A42C8" w:rsidRPr="004A42C8" w:rsidRDefault="004A42C8">
            <w:pPr>
              <w:rPr>
                <w:u w:val="single"/>
              </w:rPr>
            </w:pPr>
            <w:r w:rsidRPr="004A42C8">
              <w:rPr>
                <w:u w:val="single"/>
              </w:rPr>
              <w:t>e</w:t>
            </w:r>
          </w:p>
          <w:p w:rsidR="004A42C8" w:rsidRPr="004A42C8" w:rsidRDefault="004A42C8">
            <w:pPr>
              <w:rPr>
                <w:u w:val="single"/>
              </w:rPr>
            </w:pPr>
            <w:r w:rsidRPr="004A42C8">
              <w:rPr>
                <w:u w:val="single"/>
              </w:rPr>
              <w:t>Before</w:t>
            </w:r>
          </w:p>
          <w:p w:rsidR="004A42C8" w:rsidRPr="004A42C8" w:rsidRDefault="004A42C8">
            <w:pPr>
              <w:rPr>
                <w:u w:val="single"/>
              </w:rPr>
            </w:pPr>
            <w:r w:rsidRPr="004A42C8">
              <w:rPr>
                <w:u w:val="single"/>
              </w:rPr>
              <w:t>after</w:t>
            </w:r>
          </w:p>
        </w:tc>
      </w:tr>
      <w:tr w:rsidR="004A42C8" w:rsidRPr="004A42C8">
        <w:trPr>
          <w:trHeight w:val="1267"/>
        </w:trPr>
        <w:tc>
          <w:tcPr>
            <w:tcW w:w="816" w:type="dxa"/>
          </w:tcPr>
          <w:p w:rsidR="004A42C8" w:rsidRPr="004A42C8" w:rsidRDefault="004A42C8">
            <w:pPr>
              <w:rPr>
                <w:u w:val="single"/>
              </w:rPr>
            </w:pPr>
          </w:p>
        </w:tc>
        <w:tc>
          <w:tcPr>
            <w:tcW w:w="886" w:type="dxa"/>
          </w:tcPr>
          <w:p w:rsidR="004A42C8" w:rsidRPr="004A42C8" w:rsidRDefault="004A42C8">
            <w:pPr>
              <w:rPr>
                <w:u w:val="single"/>
              </w:rPr>
            </w:pPr>
          </w:p>
        </w:tc>
        <w:tc>
          <w:tcPr>
            <w:tcW w:w="992" w:type="dxa"/>
          </w:tcPr>
          <w:p w:rsidR="004A42C8" w:rsidRPr="004A42C8" w:rsidRDefault="004A42C8">
            <w:pPr>
              <w:rPr>
                <w:u w:val="single"/>
              </w:rPr>
            </w:pPr>
          </w:p>
        </w:tc>
        <w:tc>
          <w:tcPr>
            <w:tcW w:w="1134" w:type="dxa"/>
          </w:tcPr>
          <w:p w:rsidR="004A42C8" w:rsidRPr="004A42C8" w:rsidRDefault="004A42C8">
            <w:pPr>
              <w:rPr>
                <w:u w:val="single"/>
              </w:rPr>
            </w:pPr>
          </w:p>
        </w:tc>
        <w:tc>
          <w:tcPr>
            <w:tcW w:w="1134" w:type="dxa"/>
          </w:tcPr>
          <w:p w:rsidR="004A42C8" w:rsidRPr="004A42C8" w:rsidRDefault="004A42C8">
            <w:pPr>
              <w:rPr>
                <w:u w:val="single"/>
              </w:rPr>
            </w:pPr>
          </w:p>
        </w:tc>
        <w:tc>
          <w:tcPr>
            <w:tcW w:w="1559" w:type="dxa"/>
          </w:tcPr>
          <w:p w:rsidR="004A42C8" w:rsidRPr="004A42C8" w:rsidRDefault="004A42C8">
            <w:pPr>
              <w:rPr>
                <w:u w:val="single"/>
              </w:rPr>
            </w:pPr>
          </w:p>
        </w:tc>
        <w:tc>
          <w:tcPr>
            <w:tcW w:w="1134" w:type="dxa"/>
          </w:tcPr>
          <w:p w:rsidR="004A42C8" w:rsidRPr="004A42C8" w:rsidRDefault="004A42C8">
            <w:pPr>
              <w:rPr>
                <w:u w:val="single"/>
              </w:rPr>
            </w:pPr>
          </w:p>
        </w:tc>
        <w:tc>
          <w:tcPr>
            <w:tcW w:w="1134" w:type="dxa"/>
          </w:tcPr>
          <w:p w:rsidR="004A42C8" w:rsidRPr="004A42C8" w:rsidRDefault="004A42C8">
            <w:pPr>
              <w:rPr>
                <w:u w:val="single"/>
              </w:rPr>
            </w:pPr>
          </w:p>
        </w:tc>
        <w:tc>
          <w:tcPr>
            <w:tcW w:w="1276" w:type="dxa"/>
          </w:tcPr>
          <w:p w:rsidR="004A42C8" w:rsidRPr="004A42C8" w:rsidRDefault="004A42C8">
            <w:pPr>
              <w:rPr>
                <w:u w:val="single"/>
              </w:rPr>
            </w:pPr>
          </w:p>
        </w:tc>
        <w:tc>
          <w:tcPr>
            <w:tcW w:w="1134" w:type="dxa"/>
          </w:tcPr>
          <w:p w:rsidR="004A42C8" w:rsidRPr="004A42C8" w:rsidRDefault="004A42C8">
            <w:pPr>
              <w:rPr>
                <w:u w:val="single"/>
              </w:rPr>
            </w:pPr>
          </w:p>
        </w:tc>
      </w:tr>
    </w:tbl>
    <w:p w:rsidR="00EE11E5" w:rsidRDefault="00C92255" w:rsidP="004A42C8">
      <w:pPr>
        <w:rPr>
          <w:u w:val="single"/>
        </w:rPr>
      </w:pPr>
      <w:r>
        <w:rPr>
          <w:noProof/>
        </w:rPr>
        <w:drawing>
          <wp:inline distT="0" distB="0" distL="0" distR="0">
            <wp:extent cx="5458691" cy="3085061"/>
            <wp:effectExtent l="25400" t="25400" r="2309" b="0"/>
            <wp:docPr id="5"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EE11E5" w:rsidRPr="00EE11E5" w:rsidRDefault="00EE11E5" w:rsidP="004A42C8">
      <w:pPr>
        <w:rPr>
          <w:b/>
        </w:rPr>
      </w:pPr>
      <w:r>
        <w:rPr>
          <w:b/>
        </w:rPr>
        <w:t>Figure 3: displacement vs logarithm of time (Casagrande method)</w:t>
      </w:r>
    </w:p>
    <w:p w:rsidR="00EE11E5" w:rsidRDefault="003D5F8B" w:rsidP="004A42C8">
      <w:pPr>
        <w:rPr>
          <w:u w:val="single"/>
        </w:rPr>
      </w:pPr>
      <w:r>
        <w:rPr>
          <w:noProof/>
        </w:rPr>
        <w:drawing>
          <wp:inline distT="0" distB="0" distL="0" distR="0">
            <wp:extent cx="5458691" cy="3179618"/>
            <wp:effectExtent l="25400" t="25400" r="2309" b="0"/>
            <wp:docPr id="4" name="C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A42C8" w:rsidRPr="00EE11E5" w:rsidRDefault="00EE11E5" w:rsidP="004A42C8">
      <w:pPr>
        <w:rPr>
          <w:b/>
        </w:rPr>
      </w:pPr>
      <w:r>
        <w:rPr>
          <w:b/>
        </w:rPr>
        <w:t>Figure 4: Displacement gauge vs square root of time graph (Taylor method)</w:t>
      </w:r>
    </w:p>
    <w:p w:rsidR="004A42C8" w:rsidRPr="004A42C8" w:rsidRDefault="004A42C8" w:rsidP="004A42C8">
      <w:pPr>
        <w:rPr>
          <w:u w:val="single"/>
        </w:rPr>
      </w:pPr>
      <w:r w:rsidRPr="004A42C8">
        <w:rPr>
          <w:u w:val="single"/>
        </w:rPr>
        <w:t>Discussion:</w:t>
      </w:r>
    </w:p>
    <w:p w:rsidR="004A42C8" w:rsidRPr="004A42C8" w:rsidRDefault="004A42C8" w:rsidP="004A42C8">
      <w:r w:rsidRPr="004A42C8">
        <w:tab/>
        <w:t>In this experiment the objective was to determine the characteristics of clay when an applied stress acts on the soil. This will be observed over a period of time. Gauges were attached to the sample so data was able to be collected. This data was the time and gauge reading. This data was manipulated to construct a graph of the displacement gauge reading vs the logarithm of time (seen in Graph 1). This graph was then used to interpolate d0, d100, d50, and t50. This method is called the Casagrande and Fadum method.  By using d0 and d100 the Ht was solved for, can be seen in sample calculations. d50 was also found by adding d0 and d100 then dividing by 2. The coefficient of consolidation was solved for using Ht and t50. Graph 1 had a good shape to it but by allowing for more time for consolidation the graph would've plateaued , which is what the graph should be shaped like. Another graph was made from the data,  displacement gauge reading vs the square root of time, also known as the Taylor method (Graph 2). By using this graph t90 was solved. By using t90 and the Ht the consolidation coefficient was solved for. This graph had a good resultant shape that looked similar to what it should look like.</w:t>
      </w:r>
    </w:p>
    <w:p w:rsidR="004A42C8" w:rsidRPr="004A42C8" w:rsidRDefault="004A42C8" w:rsidP="004A42C8">
      <w:r w:rsidRPr="004A42C8">
        <w:tab/>
        <w:t>In this experiment the height of the specimen, the height of the voids, and the new void ratio before and after consolidation were calculated. Before compaction void ratios was solved for by assuming Gs was equal to 2.65 and saturation was equal to 1. The porosity was then solved for by using the void ratios previously solved. The height of solids was found by using the original height of the specimen and the porosity. The height of voids was found by subtracting the height of the datum which was 20mm with the height of the solid. After compaction the height of voids was found by subtracting the final compaction height with the height of solids. The void ratio was found by dividing the height of voids with the height of solids. When comparing the void ratios before and after compaction the percents are very similar, this is due to the very small compaction that took place. So it makes sense that void ratio didn't alter to much. If the experiment allowed for longer compaction the results would be much more accurate. All calculations can be found in sample calculations and all the results can be found in the results table.</w:t>
      </w:r>
    </w:p>
    <w:p w:rsidR="00903651" w:rsidRPr="004A42C8" w:rsidRDefault="004A42C8" w:rsidP="002A4ECF">
      <w:r w:rsidRPr="004A42C8">
        <w:tab/>
        <w:t>The preconsolidation pressure and the compression index would be found by doing multiple consolidation trials with increasing loads. Use the void ratio and the stress that acts on the soil to form a semi log graph. Two curves on the graph will form. Where the two curves intersect represent the preconsolidation pressure. The slope of the stress curve after preconsolidation is the compression index.</w:t>
      </w:r>
    </w:p>
    <w:p w:rsidR="00903651" w:rsidRPr="004A42C8" w:rsidRDefault="00903651" w:rsidP="0024207E">
      <w:pPr>
        <w:pStyle w:val="NormalWeb"/>
        <w:spacing w:before="2" w:after="2"/>
        <w:rPr>
          <w:rFonts w:asciiTheme="minorHAnsi" w:hAnsiTheme="minorHAnsi"/>
          <w:sz w:val="24"/>
          <w:szCs w:val="24"/>
        </w:rPr>
      </w:pPr>
      <w:r w:rsidRPr="004A42C8">
        <w:rPr>
          <w:rFonts w:asciiTheme="minorHAnsi" w:hAnsiTheme="minorHAnsi"/>
          <w:b/>
          <w:sz w:val="24"/>
          <w:szCs w:val="24"/>
          <w:u w:val="single"/>
        </w:rPr>
        <w:t>Conclusion</w:t>
      </w:r>
    </w:p>
    <w:p w:rsidR="00273C0B" w:rsidRPr="004A42C8" w:rsidRDefault="00E24DB5" w:rsidP="0024207E">
      <w:pPr>
        <w:pStyle w:val="NormalWeb"/>
        <w:spacing w:before="2" w:after="2"/>
        <w:rPr>
          <w:rFonts w:asciiTheme="minorHAnsi" w:hAnsiTheme="minorHAnsi"/>
          <w:sz w:val="24"/>
          <w:szCs w:val="24"/>
        </w:rPr>
      </w:pPr>
      <w:r w:rsidRPr="004A42C8">
        <w:rPr>
          <w:rFonts w:asciiTheme="minorHAnsi" w:hAnsiTheme="minorHAnsi"/>
          <w:sz w:val="24"/>
          <w:szCs w:val="24"/>
        </w:rPr>
        <w:tab/>
        <w:t>In conclusion, the lab was successful and the data and conclusions are accurate to what is expected. Over the 24 hours, the soil displaced/compressed in the vertical direction, causing the soil to settle and overall the void ratio to decrease. Due to this decrease in the void ratio, the water content of the soil also decreased. Changing the overall stress exerted on the soil.</w:t>
      </w:r>
    </w:p>
    <w:sectPr w:rsidR="00273C0B" w:rsidRPr="004A42C8" w:rsidSect="00273C0B">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4D"/>
    <w:family w:val="roman"/>
    <w:notTrueType/>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4363854"/>
    <w:multiLevelType w:val="multilevel"/>
    <w:tmpl w:val="49AA679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5642793"/>
    <w:multiLevelType w:val="multilevel"/>
    <w:tmpl w:val="E29C03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4183593"/>
    <w:multiLevelType w:val="hybridMultilevel"/>
    <w:tmpl w:val="03E0ED3C"/>
    <w:lvl w:ilvl="0" w:tplc="F048B14A">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CAD0047"/>
    <w:multiLevelType w:val="hybridMultilevel"/>
    <w:tmpl w:val="E9BA0BAE"/>
    <w:lvl w:ilvl="0" w:tplc="D8746C86">
      <w:numFmt w:val="bullet"/>
      <w:lvlText w:val="-"/>
      <w:lvlJc w:val="left"/>
      <w:pPr>
        <w:ind w:left="720" w:hanging="360"/>
      </w:pPr>
      <w:rPr>
        <w:rFonts w:ascii="Calibri" w:eastAsiaTheme="minorHAnsi" w:hAnsi="Calibri" w:cs="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00547"/>
    <w:rsid w:val="001D2025"/>
    <w:rsid w:val="0024207E"/>
    <w:rsid w:val="00273C0B"/>
    <w:rsid w:val="002A4ECF"/>
    <w:rsid w:val="002D09F8"/>
    <w:rsid w:val="002E2081"/>
    <w:rsid w:val="00397C78"/>
    <w:rsid w:val="003D5F8B"/>
    <w:rsid w:val="004A42C8"/>
    <w:rsid w:val="00574FCD"/>
    <w:rsid w:val="00636920"/>
    <w:rsid w:val="00853D74"/>
    <w:rsid w:val="008D6637"/>
    <w:rsid w:val="00900547"/>
    <w:rsid w:val="00903651"/>
    <w:rsid w:val="00976467"/>
    <w:rsid w:val="00994299"/>
    <w:rsid w:val="00A52585"/>
    <w:rsid w:val="00AA51A4"/>
    <w:rsid w:val="00AB2B1F"/>
    <w:rsid w:val="00B33814"/>
    <w:rsid w:val="00BA6050"/>
    <w:rsid w:val="00BD6E28"/>
    <w:rsid w:val="00BE3010"/>
    <w:rsid w:val="00BF04E5"/>
    <w:rsid w:val="00C92255"/>
    <w:rsid w:val="00D773EE"/>
    <w:rsid w:val="00E24DB5"/>
    <w:rsid w:val="00EC6FCD"/>
    <w:rsid w:val="00EE11E5"/>
    <w:rsid w:val="00F067C2"/>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able Grid" w:uiPriority="59"/>
  </w:latentStyles>
  <w:style w:type="paragraph" w:default="1" w:styleId="Normal">
    <w:name w:val="Normal"/>
    <w:qFormat/>
    <w:rsid w:val="00E03B0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2E2081"/>
    <w:pPr>
      <w:ind w:left="720"/>
      <w:contextualSpacing/>
    </w:pPr>
  </w:style>
  <w:style w:type="paragraph" w:styleId="NormalWeb">
    <w:name w:val="Normal (Web)"/>
    <w:basedOn w:val="Normal"/>
    <w:uiPriority w:val="99"/>
    <w:rsid w:val="002D09F8"/>
    <w:pPr>
      <w:spacing w:beforeLines="1" w:afterLines="1"/>
    </w:pPr>
    <w:rPr>
      <w:rFonts w:ascii="Times" w:hAnsi="Times" w:cs="Times New Roman"/>
      <w:sz w:val="20"/>
      <w:szCs w:val="20"/>
    </w:rPr>
  </w:style>
  <w:style w:type="table" w:styleId="TableGrid">
    <w:name w:val="Table Grid"/>
    <w:basedOn w:val="TableNormal"/>
    <w:uiPriority w:val="59"/>
    <w:rsid w:val="00D773EE"/>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87653921">
      <w:bodyDiv w:val="1"/>
      <w:marLeft w:val="0"/>
      <w:marRight w:val="0"/>
      <w:marTop w:val="0"/>
      <w:marBottom w:val="0"/>
      <w:divBdr>
        <w:top w:val="none" w:sz="0" w:space="0" w:color="auto"/>
        <w:left w:val="none" w:sz="0" w:space="0" w:color="auto"/>
        <w:bottom w:val="none" w:sz="0" w:space="0" w:color="auto"/>
        <w:right w:val="none" w:sz="0" w:space="0" w:color="auto"/>
      </w:divBdr>
      <w:divsChild>
        <w:div w:id="600647086">
          <w:marLeft w:val="0"/>
          <w:marRight w:val="0"/>
          <w:marTop w:val="0"/>
          <w:marBottom w:val="0"/>
          <w:divBdr>
            <w:top w:val="none" w:sz="0" w:space="0" w:color="auto"/>
            <w:left w:val="none" w:sz="0" w:space="0" w:color="auto"/>
            <w:bottom w:val="none" w:sz="0" w:space="0" w:color="auto"/>
            <w:right w:val="none" w:sz="0" w:space="0" w:color="auto"/>
          </w:divBdr>
          <w:divsChild>
            <w:div w:id="1554265906">
              <w:marLeft w:val="0"/>
              <w:marRight w:val="0"/>
              <w:marTop w:val="0"/>
              <w:marBottom w:val="0"/>
              <w:divBdr>
                <w:top w:val="none" w:sz="0" w:space="0" w:color="auto"/>
                <w:left w:val="none" w:sz="0" w:space="0" w:color="auto"/>
                <w:bottom w:val="none" w:sz="0" w:space="0" w:color="auto"/>
                <w:right w:val="none" w:sz="0" w:space="0" w:color="auto"/>
              </w:divBdr>
              <w:divsChild>
                <w:div w:id="77267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547559">
          <w:marLeft w:val="0"/>
          <w:marRight w:val="0"/>
          <w:marTop w:val="0"/>
          <w:marBottom w:val="0"/>
          <w:divBdr>
            <w:top w:val="none" w:sz="0" w:space="0" w:color="auto"/>
            <w:left w:val="none" w:sz="0" w:space="0" w:color="auto"/>
            <w:bottom w:val="none" w:sz="0" w:space="0" w:color="auto"/>
            <w:right w:val="none" w:sz="0" w:space="0" w:color="auto"/>
          </w:divBdr>
          <w:divsChild>
            <w:div w:id="614408687">
              <w:marLeft w:val="0"/>
              <w:marRight w:val="0"/>
              <w:marTop w:val="0"/>
              <w:marBottom w:val="0"/>
              <w:divBdr>
                <w:top w:val="none" w:sz="0" w:space="0" w:color="auto"/>
                <w:left w:val="none" w:sz="0" w:space="0" w:color="auto"/>
                <w:bottom w:val="none" w:sz="0" w:space="0" w:color="auto"/>
                <w:right w:val="none" w:sz="0" w:space="0" w:color="auto"/>
              </w:divBdr>
              <w:divsChild>
                <w:div w:id="971134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border_guy:Desktop:Consolidation.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Macintosh%20HD:Users:border_guy:Desktop:Consolidatio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18"/>
  <c:chart>
    <c:title>
      <c:tx>
        <c:rich>
          <a:bodyPr/>
          <a:lstStyle/>
          <a:p>
            <a:pPr>
              <a:defRPr/>
            </a:pPr>
            <a:r>
              <a:rPr lang="en-US"/>
              <a:t>Displacement gauge reading vs logarithm of time</a:t>
            </a:r>
          </a:p>
        </c:rich>
      </c:tx>
    </c:title>
    <c:plotArea>
      <c:layout/>
      <c:scatterChart>
        <c:scatterStyle val="smoothMarker"/>
        <c:ser>
          <c:idx val="0"/>
          <c:order val="0"/>
          <c:marker>
            <c:symbol val="none"/>
          </c:marker>
          <c:xVal>
            <c:numRef>
              <c:f>Sheet1!$O$72:$O$87</c:f>
              <c:numCache>
                <c:formatCode>General</c:formatCode>
                <c:ptCount val="16"/>
                <c:pt idx="0">
                  <c:v>0.0</c:v>
                </c:pt>
                <c:pt idx="1">
                  <c:v>1.265525335219074</c:v>
                </c:pt>
                <c:pt idx="2">
                  <c:v>1.551803633168402</c:v>
                </c:pt>
                <c:pt idx="3">
                  <c:v>1.970225963719761</c:v>
                </c:pt>
                <c:pt idx="4">
                  <c:v>2.334930007475706</c:v>
                </c:pt>
                <c:pt idx="5">
                  <c:v>2.623435376731635</c:v>
                </c:pt>
                <c:pt idx="6">
                  <c:v>2.958054279713167</c:v>
                </c:pt>
                <c:pt idx="7">
                  <c:v>3.259965903658712</c:v>
                </c:pt>
                <c:pt idx="8">
                  <c:v>3.436546183968556</c:v>
                </c:pt>
                <c:pt idx="9">
                  <c:v>3.55938060677621</c:v>
                </c:pt>
                <c:pt idx="10">
                  <c:v>3.655849825768675</c:v>
                </c:pt>
                <c:pt idx="11">
                  <c:v>3.734933296645521</c:v>
                </c:pt>
                <c:pt idx="12">
                  <c:v>3.856569217039778</c:v>
                </c:pt>
                <c:pt idx="13">
                  <c:v>4.159452860087817</c:v>
                </c:pt>
                <c:pt idx="14">
                  <c:v>4.459929128021808</c:v>
                </c:pt>
                <c:pt idx="15">
                  <c:v>4.936671065305205</c:v>
                </c:pt>
              </c:numCache>
            </c:numRef>
          </c:xVal>
          <c:yVal>
            <c:numRef>
              <c:f>Sheet1!$N$72:$N$87</c:f>
              <c:numCache>
                <c:formatCode>General</c:formatCode>
                <c:ptCount val="16"/>
                <c:pt idx="0">
                  <c:v>2.0</c:v>
                </c:pt>
                <c:pt idx="1">
                  <c:v>2.0</c:v>
                </c:pt>
                <c:pt idx="2">
                  <c:v>1.996785000000001</c:v>
                </c:pt>
                <c:pt idx="3">
                  <c:v>1.995177</c:v>
                </c:pt>
                <c:pt idx="4">
                  <c:v>1.983924</c:v>
                </c:pt>
                <c:pt idx="5">
                  <c:v>1.979101</c:v>
                </c:pt>
                <c:pt idx="6">
                  <c:v>1.971063000000001</c:v>
                </c:pt>
                <c:pt idx="7">
                  <c:v>1.964632</c:v>
                </c:pt>
                <c:pt idx="8">
                  <c:v>1.958202</c:v>
                </c:pt>
                <c:pt idx="9">
                  <c:v>1.956594000000001</c:v>
                </c:pt>
                <c:pt idx="10">
                  <c:v>1.954987000000001</c:v>
                </c:pt>
                <c:pt idx="11">
                  <c:v>1.953380000000001</c:v>
                </c:pt>
                <c:pt idx="12">
                  <c:v>1.948557000000001</c:v>
                </c:pt>
                <c:pt idx="13">
                  <c:v>1.940519</c:v>
                </c:pt>
                <c:pt idx="14">
                  <c:v>1.935696</c:v>
                </c:pt>
                <c:pt idx="15">
                  <c:v>1.92605</c:v>
                </c:pt>
              </c:numCache>
            </c:numRef>
          </c:yVal>
          <c:smooth val="1"/>
        </c:ser>
        <c:axId val="297819544"/>
        <c:axId val="297826216"/>
      </c:scatterChart>
      <c:valAx>
        <c:axId val="297819544"/>
        <c:scaling>
          <c:orientation val="minMax"/>
        </c:scaling>
        <c:axPos val="b"/>
        <c:majorGridlines/>
        <c:title>
          <c:tx>
            <c:rich>
              <a:bodyPr/>
              <a:lstStyle/>
              <a:p>
                <a:pPr>
                  <a:defRPr/>
                </a:pPr>
                <a:r>
                  <a:rPr lang="en-US"/>
                  <a:t>Log(t)</a:t>
                </a:r>
              </a:p>
            </c:rich>
          </c:tx>
        </c:title>
        <c:numFmt formatCode="General" sourceLinked="1"/>
        <c:tickLblPos val="nextTo"/>
        <c:crossAx val="297826216"/>
        <c:crosses val="autoZero"/>
        <c:crossBetween val="midCat"/>
      </c:valAx>
      <c:valAx>
        <c:axId val="297826216"/>
        <c:scaling>
          <c:orientation val="minMax"/>
        </c:scaling>
        <c:axPos val="l"/>
        <c:majorGridlines/>
        <c:title>
          <c:tx>
            <c:rich>
              <a:bodyPr/>
              <a:lstStyle/>
              <a:p>
                <a:pPr>
                  <a:defRPr/>
                </a:pPr>
                <a:r>
                  <a:rPr lang="en-US"/>
                  <a:t>Displacement</a:t>
                </a:r>
              </a:p>
            </c:rich>
          </c:tx>
        </c:title>
        <c:numFmt formatCode="General" sourceLinked="1"/>
        <c:tickLblPos val="nextTo"/>
        <c:crossAx val="297819544"/>
        <c:crosses val="autoZero"/>
        <c:crossBetween val="midCat"/>
      </c:valAx>
    </c:plotArea>
    <c:plotVisOnly val="1"/>
  </c:chart>
  <c:spPr>
    <a:ln>
      <a:round/>
    </a:ln>
  </c:sp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18"/>
  <c:chart>
    <c:title>
      <c:tx>
        <c:rich>
          <a:bodyPr/>
          <a:lstStyle/>
          <a:p>
            <a:pPr>
              <a:defRPr/>
            </a:pPr>
            <a:r>
              <a:rPr lang="en-US"/>
              <a:t>Displacement gauge vs square root of time</a:t>
            </a:r>
          </a:p>
        </c:rich>
      </c:tx>
    </c:title>
    <c:plotArea>
      <c:layout/>
      <c:scatterChart>
        <c:scatterStyle val="smoothMarker"/>
        <c:ser>
          <c:idx val="0"/>
          <c:order val="0"/>
          <c:marker>
            <c:symbol val="none"/>
          </c:marker>
          <c:xVal>
            <c:numRef>
              <c:f>Sheet1!$P$72:$P$87</c:f>
              <c:numCache>
                <c:formatCode>General</c:formatCode>
                <c:ptCount val="16"/>
                <c:pt idx="0">
                  <c:v>0.0</c:v>
                </c:pt>
                <c:pt idx="1">
                  <c:v>4.293017586733135</c:v>
                </c:pt>
                <c:pt idx="2">
                  <c:v>5.969003266877979</c:v>
                </c:pt>
                <c:pt idx="3">
                  <c:v>9.663022301536927</c:v>
                </c:pt>
                <c:pt idx="4">
                  <c:v>14.70499914994897</c:v>
                </c:pt>
                <c:pt idx="5">
                  <c:v>20.498292611825</c:v>
                </c:pt>
                <c:pt idx="6">
                  <c:v>30.13194318327313</c:v>
                </c:pt>
                <c:pt idx="7">
                  <c:v>42.65627738094359</c:v>
                </c:pt>
                <c:pt idx="8">
                  <c:v>52.27247841837996</c:v>
                </c:pt>
                <c:pt idx="9">
                  <c:v>60.2130052314282</c:v>
                </c:pt>
                <c:pt idx="10">
                  <c:v>67.28603123977517</c:v>
                </c:pt>
                <c:pt idx="11">
                  <c:v>73.69985753039145</c:v>
                </c:pt>
                <c:pt idx="12">
                  <c:v>84.77828141688174</c:v>
                </c:pt>
                <c:pt idx="13">
                  <c:v>120.1507344962984</c:v>
                </c:pt>
                <c:pt idx="14">
                  <c:v>169.810509097641</c:v>
                </c:pt>
                <c:pt idx="15">
                  <c:v>293.9920134969656</c:v>
                </c:pt>
              </c:numCache>
            </c:numRef>
          </c:xVal>
          <c:yVal>
            <c:numRef>
              <c:f>Sheet1!$N$72:$N$87</c:f>
              <c:numCache>
                <c:formatCode>General</c:formatCode>
                <c:ptCount val="16"/>
                <c:pt idx="0">
                  <c:v>2.0</c:v>
                </c:pt>
                <c:pt idx="1">
                  <c:v>2.0</c:v>
                </c:pt>
                <c:pt idx="2">
                  <c:v>1.996785000000001</c:v>
                </c:pt>
                <c:pt idx="3">
                  <c:v>1.995177</c:v>
                </c:pt>
                <c:pt idx="4">
                  <c:v>1.983924</c:v>
                </c:pt>
                <c:pt idx="5">
                  <c:v>1.979101</c:v>
                </c:pt>
                <c:pt idx="6">
                  <c:v>1.971063000000001</c:v>
                </c:pt>
                <c:pt idx="7">
                  <c:v>1.964632</c:v>
                </c:pt>
                <c:pt idx="8">
                  <c:v>1.958202</c:v>
                </c:pt>
                <c:pt idx="9">
                  <c:v>1.956594000000001</c:v>
                </c:pt>
                <c:pt idx="10">
                  <c:v>1.954987000000001</c:v>
                </c:pt>
                <c:pt idx="11">
                  <c:v>1.953380000000001</c:v>
                </c:pt>
                <c:pt idx="12">
                  <c:v>1.948557000000001</c:v>
                </c:pt>
                <c:pt idx="13">
                  <c:v>1.940519</c:v>
                </c:pt>
                <c:pt idx="14">
                  <c:v>1.935696</c:v>
                </c:pt>
                <c:pt idx="15">
                  <c:v>1.92605</c:v>
                </c:pt>
              </c:numCache>
            </c:numRef>
          </c:yVal>
          <c:smooth val="1"/>
        </c:ser>
        <c:axId val="297839704"/>
        <c:axId val="297845544"/>
      </c:scatterChart>
      <c:valAx>
        <c:axId val="297839704"/>
        <c:scaling>
          <c:orientation val="minMax"/>
        </c:scaling>
        <c:axPos val="b"/>
        <c:title>
          <c:tx>
            <c:rich>
              <a:bodyPr/>
              <a:lstStyle/>
              <a:p>
                <a:pPr>
                  <a:defRPr/>
                </a:pPr>
                <a:r>
                  <a:rPr lang="en-US"/>
                  <a:t>Square root of time</a:t>
                </a:r>
              </a:p>
            </c:rich>
          </c:tx>
        </c:title>
        <c:numFmt formatCode="General" sourceLinked="1"/>
        <c:tickLblPos val="nextTo"/>
        <c:crossAx val="297845544"/>
        <c:crosses val="autoZero"/>
        <c:crossBetween val="midCat"/>
      </c:valAx>
      <c:valAx>
        <c:axId val="297845544"/>
        <c:scaling>
          <c:orientation val="minMax"/>
        </c:scaling>
        <c:axPos val="l"/>
        <c:majorGridlines/>
        <c:title>
          <c:tx>
            <c:rich>
              <a:bodyPr/>
              <a:lstStyle/>
              <a:p>
                <a:pPr>
                  <a:defRPr/>
                </a:pPr>
                <a:r>
                  <a:rPr lang="en-US"/>
                  <a:t>Displacement</a:t>
                </a:r>
              </a:p>
            </c:rich>
          </c:tx>
        </c:title>
        <c:numFmt formatCode="General" sourceLinked="1"/>
        <c:tickLblPos val="nextTo"/>
        <c:crossAx val="297839704"/>
        <c:crosses val="autoZero"/>
        <c:crossBetween val="midCat"/>
      </c:valAx>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7</Pages>
  <Words>1644</Words>
  <Characters>9372</Characters>
  <Application>Microsoft Word 12.1.0</Application>
  <DocSecurity>0</DocSecurity>
  <Lines>78</Lines>
  <Paragraphs>18</Paragraphs>
  <ScaleCrop>false</ScaleCrop>
  <LinksUpToDate>false</LinksUpToDate>
  <CharactersWithSpaces>11509</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anderson</dc:creator>
  <cp:keywords/>
  <cp:lastModifiedBy>jake anderson</cp:lastModifiedBy>
  <cp:revision>21</cp:revision>
  <dcterms:created xsi:type="dcterms:W3CDTF">2014-11-26T20:49:00Z</dcterms:created>
  <dcterms:modified xsi:type="dcterms:W3CDTF">2015-01-30T17:32:00Z</dcterms:modified>
</cp:coreProperties>
</file>