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01DA39" w14:textId="77777777" w:rsidR="005377DF" w:rsidRPr="008003EE" w:rsidRDefault="008003EE" w:rsidP="008003EE">
      <w:pPr>
        <w:rPr>
          <w:rFonts w:asciiTheme="majorHAnsi" w:hAnsiTheme="majorHAnsi"/>
          <w:b/>
          <w:sz w:val="20"/>
          <w:szCs w:val="20"/>
          <w:u w:val="single"/>
        </w:rPr>
      </w:pPr>
      <w:r w:rsidRPr="008003EE">
        <w:rPr>
          <w:rFonts w:asciiTheme="majorHAnsi" w:hAnsiTheme="majorHAnsi"/>
          <w:b/>
          <w:bCs/>
          <w:sz w:val="20"/>
          <w:szCs w:val="20"/>
          <w:u w:val="single"/>
        </w:rPr>
        <w:t xml:space="preserve">Chapter #5 – Evaluating Financial Performance </w:t>
      </w:r>
    </w:p>
    <w:p w14:paraId="131DAF5A" w14:textId="77777777" w:rsidR="005377DF" w:rsidRDefault="005377DF" w:rsidP="008003EE">
      <w:pPr>
        <w:rPr>
          <w:rFonts w:asciiTheme="majorHAnsi" w:hAnsiTheme="majorHAnsi"/>
          <w:b/>
          <w:bCs/>
          <w:sz w:val="20"/>
          <w:szCs w:val="20"/>
        </w:rPr>
      </w:pPr>
      <w:r w:rsidRPr="008003EE">
        <w:rPr>
          <w:rFonts w:asciiTheme="majorHAnsi" w:hAnsiTheme="majorHAnsi"/>
          <w:b/>
          <w:bCs/>
          <w:sz w:val="20"/>
          <w:szCs w:val="20"/>
        </w:rPr>
        <w:t>Financial Measure by Life Cycle</w:t>
      </w:r>
    </w:p>
    <w:p w14:paraId="74DCBFB9" w14:textId="77777777" w:rsidR="003C5F2C" w:rsidRDefault="003C5F2C" w:rsidP="003C5F2C">
      <w:pPr>
        <w:rPr>
          <w:rFonts w:asciiTheme="majorHAnsi" w:hAnsiTheme="majorHAnsi"/>
          <w:b/>
          <w:sz w:val="20"/>
          <w:szCs w:val="20"/>
        </w:rPr>
      </w:pPr>
      <w:r>
        <w:rPr>
          <w:rFonts w:asciiTheme="majorHAnsi" w:hAnsiTheme="majorHAnsi"/>
          <w:b/>
          <w:noProof/>
          <w:sz w:val="20"/>
          <w:szCs w:val="20"/>
        </w:rPr>
        <w:drawing>
          <wp:inline distT="0" distB="0" distL="0" distR="0" wp14:anchorId="0E8516E9" wp14:editId="22CC92AE">
            <wp:extent cx="4572000" cy="20915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738" cy="2091846"/>
                    </a:xfrm>
                    <a:prstGeom prst="rect">
                      <a:avLst/>
                    </a:prstGeom>
                    <a:noFill/>
                    <a:ln>
                      <a:noFill/>
                    </a:ln>
                  </pic:spPr>
                </pic:pic>
              </a:graphicData>
            </a:graphic>
          </wp:inline>
        </w:drawing>
      </w:r>
    </w:p>
    <w:p w14:paraId="53B4069B" w14:textId="77777777" w:rsidR="003C5F2C" w:rsidRDefault="003C5F2C" w:rsidP="003C5F2C">
      <w:pPr>
        <w:widowControl w:val="0"/>
        <w:autoSpaceDE w:val="0"/>
        <w:autoSpaceDN w:val="0"/>
        <w:adjustRightInd w:val="0"/>
        <w:spacing w:after="240"/>
        <w:rPr>
          <w:rFonts w:ascii="Times" w:hAnsi="Times" w:cs="Times"/>
        </w:rPr>
      </w:pPr>
      <w:r>
        <w:rPr>
          <w:rFonts w:ascii="Times" w:hAnsi="Times" w:cs="Times"/>
          <w:sz w:val="26"/>
          <w:szCs w:val="26"/>
        </w:rPr>
        <w:t>For some ventures, business angels and venture capitalists contribute additional startup-stage financing. The financial focus during these two early stages is how quickly the venture uses cash (the cash burn rate) and the venture’s ability to meet short- term financial obligations (as measured by liquidity ratios). Closely connected to cash burn and liquidity is the venture’s operating cycle—the average time it takes from purchasing materials to collecting cash for products sold. Monitoring cash burn, cash conversion, and liquidity ratios can consume considerable time and energy during these early stages.</w:t>
      </w:r>
    </w:p>
    <w:p w14:paraId="3C6E3F73" w14:textId="77777777" w:rsidR="003C5F2C" w:rsidRDefault="003C5F2C" w:rsidP="003C5F2C">
      <w:pPr>
        <w:widowControl w:val="0"/>
        <w:autoSpaceDE w:val="0"/>
        <w:autoSpaceDN w:val="0"/>
        <w:adjustRightInd w:val="0"/>
        <w:spacing w:after="240"/>
        <w:rPr>
          <w:rFonts w:ascii="Times" w:hAnsi="Times" w:cs="Times"/>
        </w:rPr>
      </w:pPr>
      <w:r>
        <w:rPr>
          <w:rFonts w:ascii="Times" w:hAnsi="Times" w:cs="Times"/>
          <w:sz w:val="26"/>
          <w:szCs w:val="26"/>
        </w:rPr>
        <w:t>Family and friends who provide early-stage financing typically do not get involved in financial monitoring, with or without formal measures and ratios. Their understanding of the venture’s financial situation tends to evolve through informal communication dur- ing social interactions with the entrepreneur (complete with the inherent biases such occasions provide). However, business angels and venture capitalists do typically want to track relevant financial indicators of the venture’s status and progress. Consequently, we turn our attention to the ingredients of early-stage financial analysis, focusing on connecting burn rates, liquidity, and operating cycle.</w:t>
      </w:r>
    </w:p>
    <w:p w14:paraId="6C850221" w14:textId="77777777" w:rsidR="003C5F2C" w:rsidRDefault="003C5F2C" w:rsidP="003C5F2C">
      <w:pPr>
        <w:widowControl w:val="0"/>
        <w:autoSpaceDE w:val="0"/>
        <w:autoSpaceDN w:val="0"/>
        <w:adjustRightInd w:val="0"/>
        <w:spacing w:after="240"/>
        <w:rPr>
          <w:rFonts w:ascii="Times" w:hAnsi="Times" w:cs="Times"/>
        </w:rPr>
      </w:pPr>
      <w:r>
        <w:rPr>
          <w:rFonts w:ascii="Times" w:hAnsi="Times" w:cs="Times"/>
          <w:sz w:val="26"/>
          <w:szCs w:val="26"/>
        </w:rPr>
        <w:t>depicts the importance of monitoring and measuring cash and liquid- ity through a venture’s survival stage. Many ventures continue to rely heavily on external cash and investment during this time. The entrepreneurial team and external investors begin to focus on profitability and efficiency in addition to liquidity and burn rate. In- vestors start to wonder whether the venture will eventually provide a return on invested capital. As reasonable multiyear performance data become available during the survival stage, professional debt providers are a more feasible source of external financing. Com- mercial banks and other creditors carefully consider liquidity and financial leverage ratios as important indicators of the venture’s potential to employ and repay debt.</w:t>
      </w:r>
    </w:p>
    <w:p w14:paraId="45AFA6A5" w14:textId="77777777" w:rsidR="003C5F2C" w:rsidRDefault="003C5F2C" w:rsidP="003C5F2C">
      <w:pPr>
        <w:widowControl w:val="0"/>
        <w:autoSpaceDE w:val="0"/>
        <w:autoSpaceDN w:val="0"/>
        <w:adjustRightInd w:val="0"/>
        <w:spacing w:after="240"/>
        <w:rPr>
          <w:rFonts w:ascii="Times" w:hAnsi="Times" w:cs="Times"/>
        </w:rPr>
      </w:pPr>
      <w:r>
        <w:rPr>
          <w:rFonts w:ascii="Times" w:hAnsi="Times" w:cs="Times"/>
          <w:sz w:val="26"/>
          <w:szCs w:val="26"/>
        </w:rPr>
        <w:t>For ventures that enter the rapid-growth stage, external financing needs usually expand dramatically. Commercial banks and other creditors often are asked to increase their financing commitments, making it even more important for the venture to continue monitoring leverage and liquidity ratios. Second-round (and higher-round) financing typically requires additional equity injections from venture capitalists and other investors seeking ownerships positions. Profitability and efficiency ratios become increasingly important to these equity investors. Mezzanine investors who take a part- debt/part-equity position in the venture’s financing are an excellent example of financiers who are concerned about leverage and liquidity ratios (due to the debt character in part</w:t>
      </w:r>
    </w:p>
    <w:p w14:paraId="7E98EF1D" w14:textId="77777777" w:rsidR="008D4099" w:rsidRDefault="008D4099" w:rsidP="008D4099">
      <w:pPr>
        <w:widowControl w:val="0"/>
        <w:autoSpaceDE w:val="0"/>
        <w:autoSpaceDN w:val="0"/>
        <w:adjustRightInd w:val="0"/>
        <w:spacing w:after="240"/>
        <w:rPr>
          <w:rFonts w:ascii="Times" w:hAnsi="Times" w:cs="Times"/>
        </w:rPr>
      </w:pPr>
      <w:r>
        <w:rPr>
          <w:rFonts w:ascii="Times" w:hAnsi="Times" w:cs="Times"/>
          <w:sz w:val="26"/>
          <w:szCs w:val="26"/>
        </w:rPr>
        <w:t>of their financing) and about profitability and efficiency ratios (due to the equity kickers or sweeteners components of their financing).</w:t>
      </w:r>
    </w:p>
    <w:p w14:paraId="4C1A304F" w14:textId="77777777" w:rsidR="008D4099" w:rsidRDefault="008D4099" w:rsidP="008D4099">
      <w:pPr>
        <w:widowControl w:val="0"/>
        <w:autoSpaceDE w:val="0"/>
        <w:autoSpaceDN w:val="0"/>
        <w:adjustRightInd w:val="0"/>
        <w:spacing w:after="240"/>
        <w:rPr>
          <w:rFonts w:ascii="Times" w:hAnsi="Times" w:cs="Times"/>
        </w:rPr>
      </w:pPr>
      <w:r>
        <w:rPr>
          <w:rFonts w:ascii="Times" w:hAnsi="Times" w:cs="Times"/>
          <w:sz w:val="26"/>
          <w:szCs w:val="26"/>
        </w:rPr>
        <w:lastRenderedPageBreak/>
        <w:t>Investment bankers often play a role in providing liquidity-stage financing for venture equity investors by creating a public market for the venture’s equity. This provides an opportunity for the entrepreneur, business angels, and venture capitalists to sell part or even all of their equity holdings. Investment bankers focus primarily on profitability and performance ratios reflecting possible venture values.</w:t>
      </w:r>
    </w:p>
    <w:p w14:paraId="23BC1B72" w14:textId="77777777" w:rsidR="008D4099" w:rsidRDefault="008D4099" w:rsidP="008D4099">
      <w:pPr>
        <w:widowControl w:val="0"/>
        <w:autoSpaceDE w:val="0"/>
        <w:autoSpaceDN w:val="0"/>
        <w:adjustRightInd w:val="0"/>
        <w:spacing w:after="240"/>
        <w:rPr>
          <w:rFonts w:ascii="Times" w:hAnsi="Times" w:cs="Times"/>
        </w:rPr>
      </w:pPr>
      <w:r>
        <w:rPr>
          <w:rFonts w:ascii="Times" w:hAnsi="Times" w:cs="Times"/>
          <w:sz w:val="26"/>
          <w:szCs w:val="26"/>
        </w:rPr>
        <w:t>Before turning our attention to measures of financial performance, we will discuss how financial ratios are used. We conclude the chapter by emphasizing that, while ratios can provide important diagnostic signals, entrepreneurs need to understand the widely accepted limitations to their application.</w:t>
      </w:r>
    </w:p>
    <w:p w14:paraId="0275A89A" w14:textId="77777777" w:rsidR="003C5F2C" w:rsidRPr="003C5F2C" w:rsidRDefault="003C5F2C" w:rsidP="003C5F2C">
      <w:pPr>
        <w:rPr>
          <w:rFonts w:asciiTheme="majorHAnsi" w:hAnsiTheme="majorHAnsi"/>
          <w:b/>
          <w:sz w:val="20"/>
          <w:szCs w:val="20"/>
        </w:rPr>
      </w:pPr>
    </w:p>
    <w:p w14:paraId="76D1DAA8" w14:textId="77777777" w:rsidR="005377DF" w:rsidRPr="003C5F2C" w:rsidRDefault="005377DF" w:rsidP="003C5F2C">
      <w:pPr>
        <w:rPr>
          <w:rFonts w:asciiTheme="majorHAnsi" w:hAnsiTheme="majorHAnsi"/>
          <w:b/>
          <w:sz w:val="20"/>
          <w:szCs w:val="20"/>
        </w:rPr>
      </w:pPr>
      <w:r w:rsidRPr="003C5F2C">
        <w:rPr>
          <w:rFonts w:asciiTheme="majorHAnsi" w:hAnsiTheme="majorHAnsi"/>
          <w:b/>
          <w:bCs/>
          <w:sz w:val="20"/>
          <w:szCs w:val="20"/>
        </w:rPr>
        <w:t>Financial Ratio &amp; Analysis</w:t>
      </w:r>
    </w:p>
    <w:p w14:paraId="6BBE6082" w14:textId="77777777" w:rsidR="008D4099" w:rsidRPr="008D4099" w:rsidRDefault="008D4099" w:rsidP="008D4099">
      <w:pPr>
        <w:pStyle w:val="ListParagraph"/>
        <w:widowControl w:val="0"/>
        <w:numPr>
          <w:ilvl w:val="0"/>
          <w:numId w:val="1"/>
        </w:numPr>
        <w:autoSpaceDE w:val="0"/>
        <w:autoSpaceDN w:val="0"/>
        <w:adjustRightInd w:val="0"/>
        <w:spacing w:after="240"/>
        <w:rPr>
          <w:rFonts w:ascii="Times" w:hAnsi="Times" w:cs="Times"/>
        </w:rPr>
      </w:pPr>
      <w:r>
        <w:rPr>
          <w:rFonts w:ascii="Times" w:hAnsi="Times" w:cs="Times"/>
          <w:sz w:val="26"/>
          <w:szCs w:val="26"/>
        </w:rPr>
        <w:t>T</w:t>
      </w:r>
      <w:r w:rsidRPr="008D4099">
        <w:rPr>
          <w:rFonts w:ascii="Times" w:hAnsi="Times" w:cs="Times"/>
          <w:sz w:val="26"/>
          <w:szCs w:val="26"/>
        </w:rPr>
        <w:t>he operating and financial performance attributes we examine are captured by ratios representing measures of liquidity (the ability to meet short-term obligations), conversion period (the time taken to convert another asset into a cash receipt), leverage (the use of debt), and profitability and efficiency</w:t>
      </w:r>
    </w:p>
    <w:p w14:paraId="0189475A" w14:textId="77777777" w:rsidR="005377DF" w:rsidRPr="003C5F2C" w:rsidRDefault="005377DF" w:rsidP="003C5F2C">
      <w:pPr>
        <w:pStyle w:val="ListParagraph"/>
        <w:numPr>
          <w:ilvl w:val="0"/>
          <w:numId w:val="1"/>
        </w:numPr>
        <w:rPr>
          <w:rFonts w:asciiTheme="majorHAnsi" w:hAnsiTheme="majorHAnsi"/>
          <w:b/>
          <w:sz w:val="20"/>
          <w:szCs w:val="20"/>
        </w:rPr>
      </w:pPr>
      <w:r w:rsidRPr="003C5F2C">
        <w:rPr>
          <w:rFonts w:asciiTheme="majorHAnsi" w:hAnsiTheme="majorHAnsi"/>
          <w:b/>
          <w:bCs/>
          <w:sz w:val="20"/>
          <w:szCs w:val="20"/>
        </w:rPr>
        <w:t>Financial Ratios:</w:t>
      </w:r>
      <w:r w:rsidR="003C5F2C">
        <w:rPr>
          <w:rFonts w:asciiTheme="majorHAnsi" w:hAnsiTheme="majorHAnsi"/>
          <w:b/>
          <w:bCs/>
          <w:sz w:val="20"/>
          <w:szCs w:val="20"/>
        </w:rPr>
        <w:t xml:space="preserve"> </w:t>
      </w:r>
      <w:r w:rsidRPr="003C5F2C">
        <w:rPr>
          <w:rFonts w:asciiTheme="majorHAnsi" w:hAnsiTheme="majorHAnsi"/>
          <w:bCs/>
          <w:sz w:val="20"/>
          <w:szCs w:val="20"/>
        </w:rPr>
        <w:t>show the relationship between two or more financial variables</w:t>
      </w:r>
    </w:p>
    <w:p w14:paraId="0A82FF5F" w14:textId="77777777" w:rsidR="005377DF" w:rsidRPr="003C5F2C" w:rsidRDefault="005377DF" w:rsidP="003C5F2C">
      <w:pPr>
        <w:pStyle w:val="ListParagraph"/>
        <w:numPr>
          <w:ilvl w:val="0"/>
          <w:numId w:val="1"/>
        </w:numPr>
        <w:rPr>
          <w:rFonts w:asciiTheme="majorHAnsi" w:hAnsiTheme="majorHAnsi"/>
          <w:b/>
          <w:sz w:val="20"/>
          <w:szCs w:val="20"/>
        </w:rPr>
      </w:pPr>
      <w:r w:rsidRPr="003C5F2C">
        <w:rPr>
          <w:rFonts w:asciiTheme="majorHAnsi" w:hAnsiTheme="majorHAnsi"/>
          <w:b/>
          <w:bCs/>
          <w:sz w:val="20"/>
          <w:szCs w:val="20"/>
        </w:rPr>
        <w:t>Trend Analysis:</w:t>
      </w:r>
      <w:r w:rsidR="003C5F2C">
        <w:rPr>
          <w:rFonts w:asciiTheme="majorHAnsi" w:hAnsiTheme="majorHAnsi"/>
          <w:b/>
          <w:bCs/>
          <w:sz w:val="20"/>
          <w:szCs w:val="20"/>
        </w:rPr>
        <w:t xml:space="preserve"> </w:t>
      </w:r>
      <w:r w:rsidRPr="003C5F2C">
        <w:rPr>
          <w:rFonts w:asciiTheme="majorHAnsi" w:hAnsiTheme="majorHAnsi"/>
          <w:bCs/>
          <w:sz w:val="20"/>
          <w:szCs w:val="20"/>
        </w:rPr>
        <w:t>used to examine a venture’s performance over time</w:t>
      </w:r>
    </w:p>
    <w:p w14:paraId="5E8B916A" w14:textId="77777777" w:rsidR="005377DF" w:rsidRPr="003C5F2C" w:rsidRDefault="005377DF" w:rsidP="003C5F2C">
      <w:pPr>
        <w:pStyle w:val="ListParagraph"/>
        <w:numPr>
          <w:ilvl w:val="0"/>
          <w:numId w:val="1"/>
        </w:numPr>
        <w:rPr>
          <w:rFonts w:asciiTheme="majorHAnsi" w:hAnsiTheme="majorHAnsi"/>
          <w:b/>
          <w:sz w:val="20"/>
          <w:szCs w:val="20"/>
        </w:rPr>
      </w:pPr>
      <w:r w:rsidRPr="003C5F2C">
        <w:rPr>
          <w:rFonts w:asciiTheme="majorHAnsi" w:hAnsiTheme="majorHAnsi"/>
          <w:b/>
          <w:bCs/>
          <w:sz w:val="20"/>
          <w:szCs w:val="20"/>
        </w:rPr>
        <w:t>Cross-sectional Analysis:</w:t>
      </w:r>
      <w:r w:rsidR="003C5F2C">
        <w:rPr>
          <w:rFonts w:asciiTheme="majorHAnsi" w:hAnsiTheme="majorHAnsi"/>
          <w:b/>
          <w:bCs/>
          <w:sz w:val="20"/>
          <w:szCs w:val="20"/>
        </w:rPr>
        <w:t xml:space="preserve"> </w:t>
      </w:r>
      <w:r w:rsidRPr="003C5F2C">
        <w:rPr>
          <w:rFonts w:asciiTheme="majorHAnsi" w:hAnsiTheme="majorHAnsi"/>
          <w:bCs/>
          <w:sz w:val="20"/>
          <w:szCs w:val="20"/>
        </w:rPr>
        <w:t>used to compare a venture’s performance against another firm at the same point in time</w:t>
      </w:r>
    </w:p>
    <w:p w14:paraId="2B5673CD" w14:textId="77777777" w:rsidR="005377DF" w:rsidRPr="003C5F2C" w:rsidRDefault="003C5F2C" w:rsidP="003C5F2C">
      <w:pPr>
        <w:pStyle w:val="ListParagraph"/>
        <w:numPr>
          <w:ilvl w:val="0"/>
          <w:numId w:val="1"/>
        </w:numPr>
        <w:rPr>
          <w:rFonts w:asciiTheme="majorHAnsi" w:hAnsiTheme="majorHAnsi"/>
          <w:b/>
          <w:sz w:val="20"/>
          <w:szCs w:val="20"/>
        </w:rPr>
      </w:pPr>
      <w:r>
        <w:rPr>
          <w:rFonts w:asciiTheme="majorHAnsi" w:hAnsiTheme="majorHAnsi"/>
          <w:b/>
          <w:bCs/>
          <w:sz w:val="20"/>
          <w:szCs w:val="20"/>
        </w:rPr>
        <w:t xml:space="preserve">Industry Comparables Analysis: </w:t>
      </w:r>
      <w:r w:rsidR="005377DF" w:rsidRPr="003C5F2C">
        <w:rPr>
          <w:rFonts w:asciiTheme="majorHAnsi" w:hAnsiTheme="majorHAnsi"/>
          <w:bCs/>
          <w:sz w:val="20"/>
          <w:szCs w:val="20"/>
        </w:rPr>
        <w:t>used to compare a venture’s performance against the average performance in the same industry</w:t>
      </w:r>
    </w:p>
    <w:p w14:paraId="2EA54B00" w14:textId="77777777" w:rsidR="005377DF" w:rsidRPr="008D4099" w:rsidRDefault="005377DF" w:rsidP="008D4099">
      <w:pPr>
        <w:rPr>
          <w:rFonts w:asciiTheme="majorHAnsi" w:hAnsiTheme="majorHAnsi"/>
          <w:b/>
          <w:sz w:val="20"/>
          <w:szCs w:val="20"/>
        </w:rPr>
      </w:pPr>
      <w:r w:rsidRPr="008D4099">
        <w:rPr>
          <w:rFonts w:asciiTheme="majorHAnsi" w:hAnsiTheme="majorHAnsi"/>
          <w:b/>
          <w:bCs/>
          <w:sz w:val="20"/>
          <w:szCs w:val="20"/>
        </w:rPr>
        <w:t>Cash Burn</w:t>
      </w:r>
    </w:p>
    <w:p w14:paraId="163B1C70" w14:textId="77777777" w:rsidR="0091719A" w:rsidRPr="0091719A" w:rsidRDefault="0091719A" w:rsidP="0091719A">
      <w:pPr>
        <w:pStyle w:val="ListParagraph"/>
        <w:widowControl w:val="0"/>
        <w:numPr>
          <w:ilvl w:val="0"/>
          <w:numId w:val="1"/>
        </w:numPr>
        <w:autoSpaceDE w:val="0"/>
        <w:autoSpaceDN w:val="0"/>
        <w:adjustRightInd w:val="0"/>
        <w:spacing w:after="240"/>
        <w:rPr>
          <w:rFonts w:ascii="Times" w:hAnsi="Times" w:cs="Times"/>
        </w:rPr>
      </w:pPr>
      <w:r w:rsidRPr="0091719A">
        <w:rPr>
          <w:rFonts w:ascii="Times" w:hAnsi="Times" w:cs="Times"/>
          <w:sz w:val="26"/>
          <w:szCs w:val="26"/>
        </w:rPr>
        <w:t>The cash burn rate refers to how quic</w:t>
      </w:r>
      <w:r>
        <w:rPr>
          <w:rFonts w:ascii="Times" w:hAnsi="Times" w:cs="Times"/>
          <w:sz w:val="26"/>
          <w:szCs w:val="26"/>
        </w:rPr>
        <w:t>kly a venture distributes cash</w:t>
      </w:r>
    </w:p>
    <w:p w14:paraId="74BEBB91" w14:textId="77777777" w:rsidR="0091719A" w:rsidRPr="0091719A" w:rsidRDefault="0091719A" w:rsidP="0091719A">
      <w:pPr>
        <w:pStyle w:val="ListParagraph"/>
        <w:widowControl w:val="0"/>
        <w:numPr>
          <w:ilvl w:val="0"/>
          <w:numId w:val="1"/>
        </w:numPr>
        <w:autoSpaceDE w:val="0"/>
        <w:autoSpaceDN w:val="0"/>
        <w:adjustRightInd w:val="0"/>
        <w:spacing w:after="240"/>
        <w:rPr>
          <w:rFonts w:ascii="Times" w:hAnsi="Times" w:cs="Times"/>
        </w:rPr>
      </w:pPr>
      <w:r w:rsidRPr="0091719A">
        <w:rPr>
          <w:rFonts w:ascii="Times" w:hAnsi="Times" w:cs="Times"/>
          <w:sz w:val="26"/>
          <w:szCs w:val="26"/>
        </w:rPr>
        <w:t>The cash build rate refers to how quickly it builds cash bala</w:t>
      </w:r>
      <w:r>
        <w:rPr>
          <w:rFonts w:ascii="Times" w:hAnsi="Times" w:cs="Times"/>
          <w:sz w:val="26"/>
          <w:szCs w:val="26"/>
        </w:rPr>
        <w:t>nces from collections on sales</w:t>
      </w:r>
    </w:p>
    <w:p w14:paraId="542EA36F" w14:textId="77777777" w:rsidR="0091719A" w:rsidRPr="0091719A" w:rsidRDefault="0091719A" w:rsidP="0091719A">
      <w:pPr>
        <w:pStyle w:val="ListParagraph"/>
        <w:widowControl w:val="0"/>
        <w:numPr>
          <w:ilvl w:val="0"/>
          <w:numId w:val="1"/>
        </w:numPr>
        <w:autoSpaceDE w:val="0"/>
        <w:autoSpaceDN w:val="0"/>
        <w:adjustRightInd w:val="0"/>
        <w:spacing w:after="240"/>
        <w:rPr>
          <w:rFonts w:ascii="Times" w:hAnsi="Times" w:cs="Times"/>
        </w:rPr>
      </w:pPr>
      <w:r w:rsidRPr="0091719A">
        <w:rPr>
          <w:rFonts w:ascii="Times" w:hAnsi="Times" w:cs="Times"/>
          <w:sz w:val="26"/>
          <w:szCs w:val="26"/>
        </w:rPr>
        <w:t>Liquidity is the ability of a venture to maintain a burn rate high enough to meet its obligations as they come due.</w:t>
      </w:r>
    </w:p>
    <w:p w14:paraId="1C40B99C" w14:textId="77777777" w:rsidR="005377DF" w:rsidRPr="008D4099" w:rsidRDefault="005377DF" w:rsidP="008D4099">
      <w:pPr>
        <w:pStyle w:val="ListParagraph"/>
        <w:numPr>
          <w:ilvl w:val="0"/>
          <w:numId w:val="1"/>
        </w:numPr>
        <w:rPr>
          <w:rFonts w:asciiTheme="majorHAnsi" w:hAnsiTheme="majorHAnsi"/>
          <w:b/>
          <w:sz w:val="20"/>
          <w:szCs w:val="20"/>
        </w:rPr>
      </w:pPr>
      <w:r w:rsidRPr="008D4099">
        <w:rPr>
          <w:rFonts w:asciiTheme="majorHAnsi" w:hAnsiTheme="majorHAnsi"/>
          <w:b/>
          <w:bCs/>
          <w:sz w:val="20"/>
          <w:szCs w:val="20"/>
        </w:rPr>
        <w:t>Cash Burn:</w:t>
      </w:r>
      <w:r w:rsidR="008D4099">
        <w:rPr>
          <w:rFonts w:asciiTheme="majorHAnsi" w:hAnsiTheme="majorHAnsi"/>
          <w:b/>
          <w:bCs/>
          <w:sz w:val="20"/>
          <w:szCs w:val="20"/>
        </w:rPr>
        <w:t xml:space="preserve"> </w:t>
      </w:r>
      <w:r w:rsidRPr="008D4099">
        <w:rPr>
          <w:rFonts w:asciiTheme="majorHAnsi" w:hAnsiTheme="majorHAnsi"/>
          <w:bCs/>
          <w:sz w:val="20"/>
          <w:szCs w:val="20"/>
        </w:rPr>
        <w:t>cash a venture expends on its operating and financing expenses and its investments in assets</w:t>
      </w:r>
    </w:p>
    <w:p w14:paraId="7A1D58CE" w14:textId="77777777" w:rsidR="005377DF" w:rsidRPr="008D4099" w:rsidRDefault="005377DF" w:rsidP="008D4099">
      <w:pPr>
        <w:pStyle w:val="ListParagraph"/>
        <w:numPr>
          <w:ilvl w:val="0"/>
          <w:numId w:val="1"/>
        </w:numPr>
        <w:rPr>
          <w:rFonts w:asciiTheme="majorHAnsi" w:hAnsiTheme="majorHAnsi"/>
          <w:b/>
          <w:sz w:val="20"/>
          <w:szCs w:val="20"/>
        </w:rPr>
      </w:pPr>
      <w:r w:rsidRPr="008D4099">
        <w:rPr>
          <w:rFonts w:asciiTheme="majorHAnsi" w:hAnsiTheme="majorHAnsi"/>
          <w:b/>
          <w:bCs/>
          <w:sz w:val="20"/>
          <w:szCs w:val="20"/>
        </w:rPr>
        <w:t>Cash Burn Rate:</w:t>
      </w:r>
      <w:r w:rsidR="008D4099">
        <w:rPr>
          <w:rFonts w:asciiTheme="majorHAnsi" w:hAnsiTheme="majorHAnsi"/>
          <w:b/>
          <w:bCs/>
          <w:sz w:val="20"/>
          <w:szCs w:val="20"/>
        </w:rPr>
        <w:t xml:space="preserve"> </w:t>
      </w:r>
      <w:r w:rsidRPr="008D4099">
        <w:rPr>
          <w:rFonts w:asciiTheme="majorHAnsi" w:hAnsiTheme="majorHAnsi"/>
          <w:bCs/>
          <w:sz w:val="20"/>
          <w:szCs w:val="20"/>
        </w:rPr>
        <w:t>cash burn for a fixed period of time, typically a month</w:t>
      </w:r>
    </w:p>
    <w:p w14:paraId="52E4CD72" w14:textId="77777777" w:rsidR="0091719A" w:rsidRPr="0091719A" w:rsidRDefault="005377DF" w:rsidP="0091719A">
      <w:pPr>
        <w:pStyle w:val="ListParagraph"/>
        <w:numPr>
          <w:ilvl w:val="0"/>
          <w:numId w:val="1"/>
        </w:numPr>
        <w:rPr>
          <w:rFonts w:asciiTheme="majorHAnsi" w:hAnsiTheme="majorHAnsi"/>
          <w:b/>
          <w:sz w:val="20"/>
          <w:szCs w:val="20"/>
        </w:rPr>
      </w:pPr>
      <w:r w:rsidRPr="0091719A">
        <w:rPr>
          <w:rFonts w:asciiTheme="majorHAnsi" w:hAnsiTheme="majorHAnsi"/>
          <w:b/>
          <w:bCs/>
          <w:sz w:val="20"/>
          <w:szCs w:val="20"/>
        </w:rPr>
        <w:t>Cash Burn = Inventory-related expenses + Admin ex</w:t>
      </w:r>
      <w:r w:rsidR="008D4099" w:rsidRPr="0091719A">
        <w:rPr>
          <w:rFonts w:asciiTheme="majorHAnsi" w:hAnsiTheme="majorHAnsi"/>
          <w:b/>
          <w:bCs/>
          <w:sz w:val="20"/>
          <w:szCs w:val="20"/>
        </w:rPr>
        <w:t xml:space="preserve">penses + Marketing expenses + </w:t>
      </w:r>
      <w:r w:rsidRPr="0091719A">
        <w:rPr>
          <w:rFonts w:asciiTheme="majorHAnsi" w:hAnsiTheme="majorHAnsi"/>
          <w:b/>
          <w:bCs/>
          <w:sz w:val="20"/>
          <w:szCs w:val="20"/>
        </w:rPr>
        <w:t>R&amp; D expense + Interest expenses + Change in prepaid expenses – (Change in accrued liabilities + Change in payables) + Capital investment + Taxes</w:t>
      </w:r>
    </w:p>
    <w:p w14:paraId="2EAA7CEF" w14:textId="77777777" w:rsidR="005377DF" w:rsidRPr="0091719A" w:rsidRDefault="005377DF" w:rsidP="008003EE">
      <w:pPr>
        <w:pStyle w:val="ListParagraph"/>
        <w:numPr>
          <w:ilvl w:val="0"/>
          <w:numId w:val="1"/>
        </w:numPr>
        <w:rPr>
          <w:rFonts w:asciiTheme="majorHAnsi" w:hAnsiTheme="majorHAnsi"/>
          <w:b/>
          <w:sz w:val="20"/>
          <w:szCs w:val="20"/>
        </w:rPr>
      </w:pPr>
      <w:r w:rsidRPr="0091719A">
        <w:rPr>
          <w:rFonts w:asciiTheme="majorHAnsi" w:hAnsiTheme="majorHAnsi"/>
          <w:b/>
          <w:bCs/>
          <w:sz w:val="20"/>
          <w:szCs w:val="20"/>
        </w:rPr>
        <w:t>Cash Build = Net sales – Change in receivables</w:t>
      </w:r>
    </w:p>
    <w:p w14:paraId="5D87B397" w14:textId="77777777" w:rsidR="00CE06C2" w:rsidRPr="00CE06C2" w:rsidRDefault="005377DF" w:rsidP="00CE06C2">
      <w:pPr>
        <w:pStyle w:val="ListParagraph"/>
        <w:numPr>
          <w:ilvl w:val="0"/>
          <w:numId w:val="1"/>
        </w:numPr>
        <w:rPr>
          <w:rFonts w:asciiTheme="majorHAnsi" w:hAnsiTheme="majorHAnsi"/>
          <w:sz w:val="20"/>
          <w:szCs w:val="20"/>
        </w:rPr>
      </w:pPr>
      <w:r w:rsidRPr="0091719A">
        <w:rPr>
          <w:rFonts w:asciiTheme="majorHAnsi" w:hAnsiTheme="majorHAnsi"/>
          <w:b/>
          <w:bCs/>
          <w:sz w:val="20"/>
          <w:szCs w:val="20"/>
        </w:rPr>
        <w:t>Cash Build Rate:</w:t>
      </w:r>
      <w:r w:rsidRPr="008003EE">
        <w:rPr>
          <w:rFonts w:asciiTheme="majorHAnsi" w:hAnsiTheme="majorHAnsi"/>
          <w:bCs/>
          <w:sz w:val="20"/>
          <w:szCs w:val="20"/>
        </w:rPr>
        <w:t xml:space="preserve"> </w:t>
      </w:r>
      <w:r w:rsidR="0091719A">
        <w:rPr>
          <w:rFonts w:asciiTheme="majorHAnsi" w:hAnsiTheme="majorHAnsi"/>
          <w:bCs/>
          <w:sz w:val="20"/>
          <w:szCs w:val="20"/>
        </w:rPr>
        <w:t xml:space="preserve"> </w:t>
      </w:r>
      <w:r w:rsidRPr="0091719A">
        <w:rPr>
          <w:rFonts w:asciiTheme="majorHAnsi" w:hAnsiTheme="majorHAnsi"/>
          <w:bCs/>
          <w:sz w:val="20"/>
          <w:szCs w:val="20"/>
        </w:rPr>
        <w:t>Cash build for a fixed period of time, typically a month</w:t>
      </w:r>
    </w:p>
    <w:p w14:paraId="3A018EBC" w14:textId="77777777" w:rsidR="00CE06C2" w:rsidRPr="00CE06C2" w:rsidRDefault="00CE06C2" w:rsidP="00CE06C2">
      <w:pPr>
        <w:pStyle w:val="ListParagraph"/>
        <w:numPr>
          <w:ilvl w:val="0"/>
          <w:numId w:val="1"/>
        </w:numPr>
        <w:rPr>
          <w:rFonts w:asciiTheme="majorHAnsi" w:hAnsiTheme="majorHAnsi"/>
          <w:sz w:val="20"/>
          <w:szCs w:val="20"/>
        </w:rPr>
      </w:pPr>
      <w:r w:rsidRPr="00CE06C2">
        <w:rPr>
          <w:rFonts w:asciiTheme="majorHAnsi" w:hAnsiTheme="majorHAnsi"/>
          <w:b/>
          <w:bCs/>
          <w:sz w:val="20"/>
          <w:szCs w:val="20"/>
        </w:rPr>
        <w:t xml:space="preserve">Net Cash Burn: </w:t>
      </w:r>
      <w:r w:rsidRPr="00CE06C2">
        <w:rPr>
          <w:rFonts w:ascii="Times" w:hAnsi="Times" w:cs="Times"/>
          <w:sz w:val="22"/>
          <w:szCs w:val="22"/>
        </w:rPr>
        <w:t>when cash burn exceeds cash build in a specified time period; also cash burn less cash build</w:t>
      </w:r>
    </w:p>
    <w:p w14:paraId="68CD84D5" w14:textId="77777777" w:rsidR="005377DF" w:rsidRPr="00555BAA" w:rsidRDefault="00CE06C2" w:rsidP="00CE06C2">
      <w:pPr>
        <w:pStyle w:val="ListParagraph"/>
        <w:numPr>
          <w:ilvl w:val="0"/>
          <w:numId w:val="1"/>
        </w:numPr>
        <w:rPr>
          <w:rFonts w:asciiTheme="majorHAnsi" w:hAnsiTheme="majorHAnsi"/>
          <w:b/>
          <w:sz w:val="20"/>
          <w:szCs w:val="20"/>
        </w:rPr>
      </w:pPr>
      <w:r>
        <w:rPr>
          <w:rFonts w:asciiTheme="majorHAnsi" w:hAnsiTheme="majorHAnsi"/>
          <w:b/>
          <w:bCs/>
          <w:sz w:val="20"/>
          <w:szCs w:val="20"/>
        </w:rPr>
        <w:t>Net Cash Burn</w:t>
      </w:r>
      <w:r w:rsidR="005377DF" w:rsidRPr="00CE06C2">
        <w:rPr>
          <w:rFonts w:asciiTheme="majorHAnsi" w:hAnsiTheme="majorHAnsi"/>
          <w:b/>
          <w:bCs/>
          <w:sz w:val="20"/>
          <w:szCs w:val="20"/>
        </w:rPr>
        <w:t>= Cash burn – Cash build</w:t>
      </w:r>
    </w:p>
    <w:p w14:paraId="2F6DC49C" w14:textId="77777777" w:rsidR="00555BAA" w:rsidRPr="00555BAA" w:rsidRDefault="00555BAA" w:rsidP="00555BAA">
      <w:pPr>
        <w:pStyle w:val="ListParagraph"/>
        <w:widowControl w:val="0"/>
        <w:numPr>
          <w:ilvl w:val="0"/>
          <w:numId w:val="1"/>
        </w:numPr>
        <w:autoSpaceDE w:val="0"/>
        <w:autoSpaceDN w:val="0"/>
        <w:adjustRightInd w:val="0"/>
        <w:spacing w:after="240"/>
        <w:rPr>
          <w:rFonts w:ascii="Times" w:hAnsi="Times" w:cs="Times"/>
          <w:b/>
        </w:rPr>
      </w:pPr>
      <w:r w:rsidRPr="00555BAA">
        <w:rPr>
          <w:rFonts w:ascii="Times" w:hAnsi="Times" w:cs="Times"/>
          <w:b/>
          <w:sz w:val="26"/>
          <w:szCs w:val="26"/>
        </w:rPr>
        <w:t xml:space="preserve">Net Cash Burn Rate: </w:t>
      </w:r>
      <w:r w:rsidRPr="00555BAA">
        <w:rPr>
          <w:rFonts w:ascii="Times" w:hAnsi="Times" w:cs="Times"/>
          <w:sz w:val="22"/>
          <w:szCs w:val="22"/>
        </w:rPr>
        <w:t>net cash burn for a fixed period of time, typically a month</w:t>
      </w:r>
    </w:p>
    <w:p w14:paraId="211C575C" w14:textId="77777777" w:rsidR="005377DF" w:rsidRPr="0091719A" w:rsidRDefault="005377DF" w:rsidP="0091719A">
      <w:pPr>
        <w:rPr>
          <w:rFonts w:asciiTheme="majorHAnsi" w:hAnsiTheme="majorHAnsi"/>
          <w:b/>
          <w:sz w:val="20"/>
          <w:szCs w:val="20"/>
        </w:rPr>
      </w:pPr>
      <w:r w:rsidRPr="0091719A">
        <w:rPr>
          <w:rFonts w:asciiTheme="majorHAnsi" w:hAnsiTheme="majorHAnsi"/>
          <w:b/>
          <w:bCs/>
          <w:sz w:val="20"/>
          <w:szCs w:val="20"/>
        </w:rPr>
        <w:t>Liquidity Ratios</w:t>
      </w:r>
    </w:p>
    <w:p w14:paraId="57503139"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Indicate the ability to pay short-term liabilities when they come due</w:t>
      </w:r>
    </w:p>
    <w:p w14:paraId="3A7D3884" w14:textId="77777777" w:rsidR="005377DF" w:rsidRPr="00555BAA" w:rsidRDefault="005377DF" w:rsidP="00555BAA">
      <w:pPr>
        <w:pStyle w:val="ListParagraph"/>
        <w:numPr>
          <w:ilvl w:val="0"/>
          <w:numId w:val="1"/>
        </w:numPr>
        <w:rPr>
          <w:rFonts w:asciiTheme="majorHAnsi" w:hAnsiTheme="majorHAnsi"/>
          <w:b/>
          <w:sz w:val="20"/>
          <w:szCs w:val="20"/>
        </w:rPr>
      </w:pPr>
      <w:r w:rsidRPr="00555BAA">
        <w:rPr>
          <w:rFonts w:asciiTheme="majorHAnsi" w:hAnsiTheme="majorHAnsi"/>
          <w:b/>
          <w:bCs/>
          <w:sz w:val="20"/>
          <w:szCs w:val="20"/>
        </w:rPr>
        <w:t>Current Ratio</w:t>
      </w:r>
      <w:r w:rsidR="00555BAA">
        <w:rPr>
          <w:rFonts w:asciiTheme="majorHAnsi" w:hAnsiTheme="majorHAnsi"/>
          <w:b/>
          <w:bCs/>
          <w:sz w:val="20"/>
          <w:szCs w:val="20"/>
        </w:rPr>
        <w:t xml:space="preserve"> </w:t>
      </w:r>
      <w:r w:rsidRPr="00555BAA">
        <w:rPr>
          <w:rFonts w:asciiTheme="majorHAnsi" w:hAnsiTheme="majorHAnsi"/>
          <w:sz w:val="20"/>
          <w:szCs w:val="20"/>
        </w:rPr>
        <w:t>= Average current assets/Average current liabilities</w:t>
      </w:r>
    </w:p>
    <w:p w14:paraId="70EDED80" w14:textId="77777777" w:rsidR="005377DF" w:rsidRPr="008003EE" w:rsidRDefault="005377DF" w:rsidP="008003EE">
      <w:pPr>
        <w:pStyle w:val="ListParagraph"/>
        <w:numPr>
          <w:ilvl w:val="0"/>
          <w:numId w:val="1"/>
        </w:numPr>
        <w:rPr>
          <w:rFonts w:asciiTheme="majorHAnsi" w:hAnsiTheme="majorHAnsi"/>
          <w:sz w:val="20"/>
          <w:szCs w:val="20"/>
        </w:rPr>
      </w:pPr>
      <w:r w:rsidRPr="00555BAA">
        <w:rPr>
          <w:rFonts w:asciiTheme="majorHAnsi" w:hAnsiTheme="majorHAnsi"/>
          <w:b/>
          <w:bCs/>
          <w:sz w:val="20"/>
          <w:szCs w:val="20"/>
        </w:rPr>
        <w:t>Liquid assets:</w:t>
      </w:r>
      <w:r w:rsidRPr="008003EE">
        <w:rPr>
          <w:rFonts w:asciiTheme="majorHAnsi" w:hAnsiTheme="majorHAnsi"/>
          <w:bCs/>
          <w:sz w:val="20"/>
          <w:szCs w:val="20"/>
        </w:rPr>
        <w:t xml:space="preserve"> sum of a venture’s cash and marketable securities plus its receivables</w:t>
      </w:r>
    </w:p>
    <w:p w14:paraId="72BD47A0" w14:textId="77777777" w:rsidR="005377DF" w:rsidRPr="00555BAA" w:rsidRDefault="005377DF" w:rsidP="00555BAA">
      <w:pPr>
        <w:pStyle w:val="ListParagraph"/>
        <w:numPr>
          <w:ilvl w:val="0"/>
          <w:numId w:val="1"/>
        </w:numPr>
        <w:rPr>
          <w:rFonts w:asciiTheme="majorHAnsi" w:hAnsiTheme="majorHAnsi"/>
          <w:b/>
          <w:sz w:val="20"/>
          <w:szCs w:val="20"/>
        </w:rPr>
      </w:pPr>
      <w:r w:rsidRPr="00555BAA">
        <w:rPr>
          <w:rFonts w:asciiTheme="majorHAnsi" w:hAnsiTheme="majorHAnsi"/>
          <w:b/>
          <w:bCs/>
          <w:sz w:val="20"/>
          <w:szCs w:val="20"/>
        </w:rPr>
        <w:t xml:space="preserve">Quick Ratio = </w:t>
      </w:r>
      <w:r w:rsidRPr="00555BAA">
        <w:rPr>
          <w:rFonts w:asciiTheme="majorHAnsi" w:hAnsiTheme="majorHAnsi"/>
          <w:b/>
          <w:bCs/>
          <w:sz w:val="20"/>
          <w:szCs w:val="20"/>
          <w:u w:val="single"/>
        </w:rPr>
        <w:t>Average current assets – Average inventories</w:t>
      </w:r>
    </w:p>
    <w:p w14:paraId="6271B657" w14:textId="77777777" w:rsidR="005377DF" w:rsidRPr="00555BAA" w:rsidRDefault="005377DF" w:rsidP="00555BAA">
      <w:pPr>
        <w:pStyle w:val="ListParagraph"/>
        <w:ind w:left="2160"/>
        <w:rPr>
          <w:rFonts w:asciiTheme="majorHAnsi" w:hAnsiTheme="majorHAnsi"/>
          <w:b/>
          <w:sz w:val="20"/>
          <w:szCs w:val="20"/>
        </w:rPr>
      </w:pPr>
      <w:r w:rsidRPr="00555BAA">
        <w:rPr>
          <w:rFonts w:asciiTheme="majorHAnsi" w:hAnsiTheme="majorHAnsi"/>
          <w:b/>
          <w:bCs/>
          <w:sz w:val="20"/>
          <w:szCs w:val="20"/>
        </w:rPr>
        <w:t>Average  current liabilities</w:t>
      </w:r>
    </w:p>
    <w:p w14:paraId="3F6D1321" w14:textId="77777777" w:rsidR="005377DF" w:rsidRPr="00555BAA" w:rsidRDefault="005377DF" w:rsidP="00555BAA">
      <w:pPr>
        <w:pStyle w:val="ListParagraph"/>
        <w:numPr>
          <w:ilvl w:val="0"/>
          <w:numId w:val="1"/>
        </w:numPr>
        <w:rPr>
          <w:rFonts w:asciiTheme="majorHAnsi" w:hAnsiTheme="majorHAnsi"/>
          <w:b/>
          <w:sz w:val="20"/>
          <w:szCs w:val="20"/>
        </w:rPr>
      </w:pPr>
      <w:r w:rsidRPr="00555BAA">
        <w:rPr>
          <w:rFonts w:asciiTheme="majorHAnsi" w:hAnsiTheme="majorHAnsi"/>
          <w:b/>
          <w:bCs/>
          <w:sz w:val="20"/>
          <w:szCs w:val="20"/>
        </w:rPr>
        <w:t>Net working capital (NWC):</w:t>
      </w:r>
      <w:r w:rsidR="00555BAA">
        <w:rPr>
          <w:rFonts w:asciiTheme="majorHAnsi" w:hAnsiTheme="majorHAnsi"/>
          <w:b/>
          <w:bCs/>
          <w:sz w:val="20"/>
          <w:szCs w:val="20"/>
        </w:rPr>
        <w:t xml:space="preserve"> </w:t>
      </w:r>
      <w:r w:rsidRPr="00555BAA">
        <w:rPr>
          <w:rFonts w:asciiTheme="majorHAnsi" w:hAnsiTheme="majorHAnsi"/>
          <w:bCs/>
          <w:sz w:val="20"/>
          <w:szCs w:val="20"/>
        </w:rPr>
        <w:t>current assets minus current liabilities</w:t>
      </w:r>
    </w:p>
    <w:p w14:paraId="5683A590" w14:textId="77777777" w:rsidR="005377DF" w:rsidRPr="002B0C8B" w:rsidRDefault="005377DF" w:rsidP="00555BAA">
      <w:pPr>
        <w:pStyle w:val="ListParagraph"/>
        <w:numPr>
          <w:ilvl w:val="0"/>
          <w:numId w:val="1"/>
        </w:numPr>
        <w:rPr>
          <w:rFonts w:asciiTheme="majorHAnsi" w:hAnsiTheme="majorHAnsi"/>
          <w:b/>
          <w:sz w:val="20"/>
          <w:szCs w:val="20"/>
        </w:rPr>
      </w:pPr>
      <w:r w:rsidRPr="00555BAA">
        <w:rPr>
          <w:rFonts w:asciiTheme="majorHAnsi" w:hAnsiTheme="majorHAnsi"/>
          <w:b/>
          <w:bCs/>
          <w:sz w:val="20"/>
          <w:szCs w:val="20"/>
        </w:rPr>
        <w:t xml:space="preserve">NWC – </w:t>
      </w:r>
      <w:r w:rsidRPr="002B0C8B">
        <w:rPr>
          <w:rFonts w:asciiTheme="majorHAnsi" w:hAnsiTheme="majorHAnsi"/>
          <w:b/>
          <w:bCs/>
          <w:sz w:val="20"/>
          <w:szCs w:val="20"/>
        </w:rPr>
        <w:t>t</w:t>
      </w:r>
      <w:r w:rsidR="00555BAA" w:rsidRPr="002B0C8B">
        <w:rPr>
          <w:rFonts w:asciiTheme="majorHAnsi" w:hAnsiTheme="majorHAnsi"/>
          <w:b/>
          <w:bCs/>
          <w:sz w:val="20"/>
          <w:szCs w:val="20"/>
        </w:rPr>
        <w:t xml:space="preserve">o – Total – Assets Ratio </w:t>
      </w:r>
      <w:r w:rsidRPr="002B0C8B">
        <w:rPr>
          <w:rFonts w:asciiTheme="majorHAnsi" w:hAnsiTheme="majorHAnsi"/>
          <w:b/>
          <w:bCs/>
          <w:sz w:val="20"/>
          <w:szCs w:val="20"/>
        </w:rPr>
        <w:t xml:space="preserve">= </w:t>
      </w:r>
      <w:r w:rsidRPr="002B0C8B">
        <w:rPr>
          <w:rFonts w:asciiTheme="majorHAnsi" w:hAnsiTheme="majorHAnsi"/>
          <w:b/>
          <w:bCs/>
          <w:sz w:val="20"/>
          <w:szCs w:val="20"/>
          <w:u w:val="single"/>
        </w:rPr>
        <w:t>Ave. current assets – Ave. current liabilities</w:t>
      </w:r>
    </w:p>
    <w:p w14:paraId="13737795" w14:textId="77777777" w:rsidR="005377DF" w:rsidRPr="002B0C8B" w:rsidRDefault="005377DF" w:rsidP="00555BAA">
      <w:pPr>
        <w:ind w:left="4320"/>
        <w:rPr>
          <w:rFonts w:asciiTheme="majorHAnsi" w:hAnsiTheme="majorHAnsi"/>
          <w:b/>
          <w:sz w:val="20"/>
          <w:szCs w:val="20"/>
        </w:rPr>
      </w:pPr>
      <w:r w:rsidRPr="002B0C8B">
        <w:rPr>
          <w:rFonts w:asciiTheme="majorHAnsi" w:hAnsiTheme="majorHAnsi"/>
          <w:b/>
          <w:bCs/>
          <w:sz w:val="20"/>
          <w:szCs w:val="20"/>
        </w:rPr>
        <w:t>Ave. total assets</w:t>
      </w:r>
    </w:p>
    <w:p w14:paraId="4E17B177" w14:textId="77777777" w:rsidR="005377DF" w:rsidRPr="00A205AF" w:rsidRDefault="005377DF" w:rsidP="00A205AF">
      <w:pPr>
        <w:rPr>
          <w:rFonts w:asciiTheme="majorHAnsi" w:hAnsiTheme="majorHAnsi"/>
          <w:b/>
          <w:sz w:val="20"/>
          <w:szCs w:val="20"/>
        </w:rPr>
      </w:pPr>
      <w:r w:rsidRPr="00A205AF">
        <w:rPr>
          <w:rFonts w:asciiTheme="majorHAnsi" w:hAnsiTheme="majorHAnsi"/>
          <w:b/>
          <w:bCs/>
          <w:sz w:val="20"/>
          <w:szCs w:val="20"/>
        </w:rPr>
        <w:t>Conversion Period Ratios</w:t>
      </w:r>
    </w:p>
    <w:p w14:paraId="5ECCA359" w14:textId="5C1EE971" w:rsidR="005377DF" w:rsidRPr="00A205AF" w:rsidRDefault="005377DF" w:rsidP="00A205AF">
      <w:pPr>
        <w:pStyle w:val="ListParagraph"/>
        <w:numPr>
          <w:ilvl w:val="0"/>
          <w:numId w:val="1"/>
        </w:numPr>
        <w:rPr>
          <w:rFonts w:asciiTheme="majorHAnsi" w:hAnsiTheme="majorHAnsi"/>
          <w:b/>
          <w:sz w:val="20"/>
          <w:szCs w:val="20"/>
        </w:rPr>
      </w:pPr>
      <w:r w:rsidRPr="00A205AF">
        <w:rPr>
          <w:rFonts w:asciiTheme="majorHAnsi" w:hAnsiTheme="majorHAnsi"/>
          <w:b/>
          <w:bCs/>
          <w:sz w:val="20"/>
          <w:szCs w:val="20"/>
        </w:rPr>
        <w:t>Conversion Period Ratio:</w:t>
      </w:r>
      <w:r w:rsidR="00A205AF">
        <w:rPr>
          <w:rFonts w:asciiTheme="majorHAnsi" w:hAnsiTheme="majorHAnsi"/>
          <w:b/>
          <w:bCs/>
          <w:sz w:val="20"/>
          <w:szCs w:val="20"/>
        </w:rPr>
        <w:t xml:space="preserve"> </w:t>
      </w:r>
      <w:r w:rsidRPr="00A205AF">
        <w:rPr>
          <w:rFonts w:asciiTheme="majorHAnsi" w:hAnsiTheme="majorHAnsi"/>
          <w:bCs/>
          <w:sz w:val="20"/>
          <w:szCs w:val="20"/>
        </w:rPr>
        <w:t>indicates the average time it takes in days to convert certain current assets and current liability accounts into cash</w:t>
      </w:r>
    </w:p>
    <w:p w14:paraId="7BD899AE" w14:textId="6E99397E" w:rsidR="005377DF" w:rsidRPr="00A205AF" w:rsidRDefault="005377DF" w:rsidP="00A205AF">
      <w:pPr>
        <w:pStyle w:val="ListParagraph"/>
        <w:numPr>
          <w:ilvl w:val="0"/>
          <w:numId w:val="1"/>
        </w:numPr>
        <w:rPr>
          <w:rFonts w:asciiTheme="majorHAnsi" w:hAnsiTheme="majorHAnsi"/>
          <w:b/>
          <w:sz w:val="20"/>
          <w:szCs w:val="20"/>
        </w:rPr>
      </w:pPr>
      <w:r w:rsidRPr="00A205AF">
        <w:rPr>
          <w:rFonts w:asciiTheme="majorHAnsi" w:hAnsiTheme="majorHAnsi"/>
          <w:b/>
          <w:bCs/>
          <w:sz w:val="20"/>
          <w:szCs w:val="20"/>
        </w:rPr>
        <w:t xml:space="preserve">Operating Cycle:  </w:t>
      </w:r>
      <w:r w:rsidR="00A205AF">
        <w:rPr>
          <w:rFonts w:asciiTheme="majorHAnsi" w:hAnsiTheme="majorHAnsi"/>
          <w:b/>
          <w:bCs/>
          <w:sz w:val="20"/>
          <w:szCs w:val="20"/>
        </w:rPr>
        <w:t xml:space="preserve"> </w:t>
      </w:r>
      <w:r w:rsidRPr="00A205AF">
        <w:rPr>
          <w:rFonts w:asciiTheme="majorHAnsi" w:hAnsiTheme="majorHAnsi"/>
          <w:bCs/>
          <w:sz w:val="20"/>
          <w:szCs w:val="20"/>
        </w:rPr>
        <w:t>time it takes to purchase, produce, and sell the venture’s products plus the time needed to collect receivables if the sales are on credit</w:t>
      </w:r>
    </w:p>
    <w:p w14:paraId="12313BBE" w14:textId="3B785698" w:rsidR="005377DF" w:rsidRPr="00D507E7" w:rsidRDefault="005377DF" w:rsidP="00A205AF">
      <w:pPr>
        <w:pStyle w:val="ListParagraph"/>
        <w:numPr>
          <w:ilvl w:val="0"/>
          <w:numId w:val="1"/>
        </w:numPr>
        <w:rPr>
          <w:rFonts w:asciiTheme="majorHAnsi" w:hAnsiTheme="majorHAnsi"/>
          <w:b/>
          <w:sz w:val="20"/>
          <w:szCs w:val="20"/>
        </w:rPr>
      </w:pPr>
      <w:r w:rsidRPr="00A205AF">
        <w:rPr>
          <w:rFonts w:asciiTheme="majorHAnsi" w:hAnsiTheme="majorHAnsi"/>
          <w:b/>
          <w:bCs/>
          <w:sz w:val="20"/>
          <w:szCs w:val="20"/>
        </w:rPr>
        <w:t>Cash Conversion Cycle:</w:t>
      </w:r>
      <w:r w:rsidR="00A205AF">
        <w:rPr>
          <w:rFonts w:asciiTheme="majorHAnsi" w:hAnsiTheme="majorHAnsi"/>
          <w:b/>
          <w:bCs/>
          <w:sz w:val="20"/>
          <w:szCs w:val="20"/>
        </w:rPr>
        <w:t xml:space="preserve"> </w:t>
      </w:r>
      <w:r w:rsidRPr="00A205AF">
        <w:rPr>
          <w:rFonts w:asciiTheme="majorHAnsi" w:hAnsiTheme="majorHAnsi"/>
          <w:bCs/>
          <w:sz w:val="20"/>
          <w:szCs w:val="20"/>
        </w:rPr>
        <w:t>sum of the inventory-to-sale conversion period and the sales-to-cash conversion period less the purchase-to-payment conversion period</w:t>
      </w:r>
    </w:p>
    <w:p w14:paraId="5FD2D470" w14:textId="316CDE51" w:rsidR="00D507E7" w:rsidRPr="00D507E7" w:rsidRDefault="00D507E7" w:rsidP="00D507E7">
      <w:pPr>
        <w:ind w:left="360"/>
        <w:rPr>
          <w:rFonts w:asciiTheme="majorHAnsi" w:hAnsiTheme="majorHAnsi"/>
          <w:b/>
          <w:sz w:val="20"/>
          <w:szCs w:val="20"/>
        </w:rPr>
      </w:pPr>
      <w:r>
        <w:rPr>
          <w:rFonts w:asciiTheme="majorHAnsi" w:hAnsiTheme="majorHAnsi"/>
          <w:b/>
          <w:noProof/>
          <w:sz w:val="20"/>
          <w:szCs w:val="20"/>
        </w:rPr>
        <w:drawing>
          <wp:inline distT="0" distB="0" distL="0" distR="0" wp14:anchorId="205D6F79" wp14:editId="2DB26F84">
            <wp:extent cx="6148070" cy="3161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48070" cy="3161665"/>
                    </a:xfrm>
                    <a:prstGeom prst="rect">
                      <a:avLst/>
                    </a:prstGeom>
                    <a:noFill/>
                    <a:ln>
                      <a:noFill/>
                    </a:ln>
                  </pic:spPr>
                </pic:pic>
              </a:graphicData>
            </a:graphic>
          </wp:inline>
        </w:drawing>
      </w:r>
    </w:p>
    <w:p w14:paraId="26BB9CD9" w14:textId="5CA1220C" w:rsidR="00D507E7" w:rsidRPr="00D507E7" w:rsidRDefault="005377DF" w:rsidP="00D507E7">
      <w:pPr>
        <w:pStyle w:val="ListParagraph"/>
        <w:numPr>
          <w:ilvl w:val="0"/>
          <w:numId w:val="1"/>
        </w:numPr>
        <w:rPr>
          <w:rFonts w:asciiTheme="majorHAnsi" w:hAnsiTheme="majorHAnsi"/>
          <w:b/>
          <w:sz w:val="20"/>
          <w:szCs w:val="20"/>
        </w:rPr>
      </w:pPr>
      <w:r w:rsidRPr="00D507E7">
        <w:rPr>
          <w:rFonts w:asciiTheme="majorHAnsi" w:hAnsiTheme="majorHAnsi"/>
          <w:b/>
          <w:bCs/>
          <w:sz w:val="20"/>
          <w:szCs w:val="20"/>
        </w:rPr>
        <w:t>Inventory-to-Sale Conversion Period</w:t>
      </w:r>
      <w:r w:rsidR="00D507E7" w:rsidRPr="00D507E7">
        <w:rPr>
          <w:rFonts w:asciiTheme="majorHAnsi" w:hAnsiTheme="majorHAnsi"/>
          <w:b/>
          <w:bCs/>
          <w:sz w:val="20"/>
          <w:szCs w:val="20"/>
        </w:rPr>
        <w:t xml:space="preserve"> =</w:t>
      </w:r>
      <w:r w:rsidRPr="00D507E7">
        <w:rPr>
          <w:rFonts w:asciiTheme="majorHAnsi" w:hAnsiTheme="majorHAnsi"/>
          <w:b/>
          <w:bCs/>
          <w:sz w:val="20"/>
          <w:szCs w:val="20"/>
        </w:rPr>
        <w:t xml:space="preserve">  </w:t>
      </w:r>
      <w:r w:rsidRPr="00D507E7">
        <w:rPr>
          <w:rFonts w:asciiTheme="majorHAnsi" w:hAnsiTheme="majorHAnsi"/>
          <w:b/>
          <w:bCs/>
          <w:sz w:val="20"/>
          <w:szCs w:val="20"/>
          <w:u w:val="single"/>
        </w:rPr>
        <w:t>Ave. Inventories</w:t>
      </w:r>
    </w:p>
    <w:p w14:paraId="07A59823" w14:textId="4B1CC782" w:rsidR="005377DF" w:rsidRPr="00D507E7" w:rsidRDefault="00D507E7" w:rsidP="00D507E7">
      <w:pPr>
        <w:ind w:left="720" w:firstLine="720"/>
        <w:rPr>
          <w:rFonts w:asciiTheme="majorHAnsi" w:hAnsiTheme="majorHAnsi"/>
          <w:b/>
          <w:sz w:val="20"/>
          <w:szCs w:val="20"/>
        </w:rPr>
      </w:pPr>
      <w:r w:rsidRPr="00D507E7">
        <w:rPr>
          <w:rFonts w:asciiTheme="majorHAnsi" w:hAnsiTheme="majorHAnsi"/>
          <w:b/>
          <w:bCs/>
          <w:sz w:val="20"/>
          <w:szCs w:val="20"/>
        </w:rPr>
        <w:t xml:space="preserve"> </w:t>
      </w:r>
      <w:r w:rsidRPr="00D507E7">
        <w:rPr>
          <w:rFonts w:asciiTheme="majorHAnsi" w:hAnsiTheme="majorHAnsi"/>
          <w:b/>
          <w:bCs/>
          <w:sz w:val="20"/>
          <w:szCs w:val="20"/>
        </w:rPr>
        <w:tab/>
      </w:r>
      <w:r w:rsidRPr="00D507E7">
        <w:rPr>
          <w:rFonts w:asciiTheme="majorHAnsi" w:hAnsiTheme="majorHAnsi"/>
          <w:b/>
          <w:bCs/>
          <w:sz w:val="20"/>
          <w:szCs w:val="20"/>
        </w:rPr>
        <w:tab/>
      </w:r>
      <w:r w:rsidRPr="00D507E7">
        <w:rPr>
          <w:rFonts w:asciiTheme="majorHAnsi" w:hAnsiTheme="majorHAnsi"/>
          <w:b/>
          <w:bCs/>
          <w:sz w:val="20"/>
          <w:szCs w:val="20"/>
        </w:rPr>
        <w:tab/>
        <w:t xml:space="preserve">         </w:t>
      </w:r>
      <w:r w:rsidR="005377DF" w:rsidRPr="00D507E7">
        <w:rPr>
          <w:rFonts w:asciiTheme="majorHAnsi" w:hAnsiTheme="majorHAnsi"/>
          <w:b/>
          <w:bCs/>
          <w:sz w:val="20"/>
          <w:szCs w:val="20"/>
        </w:rPr>
        <w:t>(CGS / 365)</w:t>
      </w:r>
    </w:p>
    <w:p w14:paraId="2A1EAEAE" w14:textId="77777777" w:rsidR="00D507E7" w:rsidRPr="00D507E7"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Given New I-to-S, </w:t>
      </w:r>
    </w:p>
    <w:p w14:paraId="5EE55498" w14:textId="1FBC4EDB" w:rsidR="005377DF" w:rsidRPr="00D507E7" w:rsidRDefault="005377DF" w:rsidP="00D507E7">
      <w:pPr>
        <w:pStyle w:val="ListParagraph"/>
        <w:numPr>
          <w:ilvl w:val="1"/>
          <w:numId w:val="1"/>
        </w:numPr>
        <w:rPr>
          <w:rFonts w:asciiTheme="majorHAnsi" w:hAnsiTheme="majorHAnsi"/>
          <w:sz w:val="20"/>
          <w:szCs w:val="20"/>
        </w:rPr>
      </w:pPr>
      <w:r w:rsidRPr="008003EE">
        <w:rPr>
          <w:rFonts w:asciiTheme="majorHAnsi" w:hAnsiTheme="majorHAnsi"/>
          <w:bCs/>
          <w:sz w:val="20"/>
          <w:szCs w:val="20"/>
        </w:rPr>
        <w:t>Can Solve for New Average Inventories</w:t>
      </w:r>
      <w:r w:rsidR="00D507E7">
        <w:rPr>
          <w:rFonts w:asciiTheme="majorHAnsi" w:hAnsiTheme="majorHAnsi"/>
          <w:bCs/>
          <w:sz w:val="20"/>
          <w:szCs w:val="20"/>
        </w:rPr>
        <w:t xml:space="preserve"> = </w:t>
      </w:r>
      <w:r w:rsidRPr="00D507E7">
        <w:rPr>
          <w:rFonts w:asciiTheme="majorHAnsi" w:hAnsiTheme="majorHAnsi"/>
          <w:bCs/>
          <w:sz w:val="20"/>
          <w:szCs w:val="20"/>
        </w:rPr>
        <w:t>Inventory-to-Sale Conversion Period x (COGS/365)</w:t>
      </w:r>
    </w:p>
    <w:p w14:paraId="2099D052" w14:textId="4FE8B744" w:rsidR="005377DF" w:rsidRPr="00D507E7" w:rsidRDefault="00D507E7" w:rsidP="00D507E7">
      <w:pPr>
        <w:pStyle w:val="ListParagraph"/>
        <w:numPr>
          <w:ilvl w:val="0"/>
          <w:numId w:val="1"/>
        </w:numPr>
        <w:rPr>
          <w:rFonts w:asciiTheme="majorHAnsi" w:hAnsiTheme="majorHAnsi"/>
          <w:b/>
          <w:sz w:val="20"/>
          <w:szCs w:val="20"/>
        </w:rPr>
      </w:pPr>
      <w:r>
        <w:rPr>
          <w:rFonts w:asciiTheme="majorHAnsi" w:hAnsiTheme="majorHAnsi"/>
          <w:b/>
          <w:bCs/>
          <w:sz w:val="20"/>
          <w:szCs w:val="20"/>
        </w:rPr>
        <w:t xml:space="preserve">Sale-to-Cash </w:t>
      </w:r>
      <w:r w:rsidRPr="00D507E7">
        <w:rPr>
          <w:rFonts w:asciiTheme="majorHAnsi" w:hAnsiTheme="majorHAnsi"/>
          <w:b/>
          <w:bCs/>
          <w:sz w:val="20"/>
          <w:szCs w:val="20"/>
        </w:rPr>
        <w:t xml:space="preserve">Conversion Period </w:t>
      </w:r>
      <w:r w:rsidR="005377DF" w:rsidRPr="00D507E7">
        <w:rPr>
          <w:rFonts w:asciiTheme="majorHAnsi" w:hAnsiTheme="majorHAnsi"/>
          <w:b/>
          <w:bCs/>
          <w:sz w:val="20"/>
          <w:szCs w:val="20"/>
        </w:rPr>
        <w:t xml:space="preserve">=  </w:t>
      </w:r>
      <w:r w:rsidR="005377DF" w:rsidRPr="00D507E7">
        <w:rPr>
          <w:rFonts w:asciiTheme="majorHAnsi" w:hAnsiTheme="majorHAnsi"/>
          <w:b/>
          <w:bCs/>
          <w:sz w:val="20"/>
          <w:szCs w:val="20"/>
          <w:u w:val="single"/>
        </w:rPr>
        <w:t>Ave Receivables</w:t>
      </w:r>
    </w:p>
    <w:p w14:paraId="47D9A83D" w14:textId="2DCB87F1" w:rsidR="005377DF" w:rsidRPr="00D507E7" w:rsidRDefault="00D507E7" w:rsidP="00D507E7">
      <w:pPr>
        <w:pStyle w:val="ListParagraph"/>
        <w:ind w:left="1440"/>
        <w:rPr>
          <w:rFonts w:asciiTheme="majorHAnsi" w:hAnsiTheme="majorHAnsi"/>
          <w:b/>
          <w:sz w:val="20"/>
          <w:szCs w:val="20"/>
        </w:rPr>
      </w:pPr>
      <w:r w:rsidRPr="00D507E7">
        <w:rPr>
          <w:rFonts w:asciiTheme="majorHAnsi" w:hAnsiTheme="majorHAnsi"/>
          <w:b/>
          <w:bCs/>
          <w:sz w:val="20"/>
          <w:szCs w:val="20"/>
        </w:rPr>
        <w:t xml:space="preserve">                                              </w:t>
      </w:r>
      <w:r w:rsidR="005377DF" w:rsidRPr="00D507E7">
        <w:rPr>
          <w:rFonts w:asciiTheme="majorHAnsi" w:hAnsiTheme="majorHAnsi"/>
          <w:b/>
          <w:bCs/>
          <w:sz w:val="20"/>
          <w:szCs w:val="20"/>
        </w:rPr>
        <w:t>(Net Sales/365)</w:t>
      </w:r>
    </w:p>
    <w:p w14:paraId="1C5E2B5D" w14:textId="7C54F4FD" w:rsidR="005377DF" w:rsidRPr="00D507E7" w:rsidRDefault="005377DF" w:rsidP="00D507E7">
      <w:pPr>
        <w:pStyle w:val="ListParagraph"/>
        <w:numPr>
          <w:ilvl w:val="0"/>
          <w:numId w:val="1"/>
        </w:numPr>
        <w:rPr>
          <w:rFonts w:asciiTheme="majorHAnsi" w:hAnsiTheme="majorHAnsi"/>
          <w:sz w:val="20"/>
          <w:szCs w:val="20"/>
        </w:rPr>
      </w:pPr>
      <w:r w:rsidRPr="008003EE">
        <w:rPr>
          <w:rFonts w:asciiTheme="majorHAnsi" w:hAnsiTheme="majorHAnsi"/>
          <w:bCs/>
          <w:sz w:val="20"/>
          <w:szCs w:val="20"/>
        </w:rPr>
        <w:t>Purcha</w:t>
      </w:r>
      <w:r w:rsidR="00D507E7">
        <w:rPr>
          <w:rFonts w:asciiTheme="majorHAnsi" w:hAnsiTheme="majorHAnsi"/>
          <w:bCs/>
          <w:sz w:val="20"/>
          <w:szCs w:val="20"/>
        </w:rPr>
        <w:t xml:space="preserve">se-to-Payment Conversion Period </w:t>
      </w:r>
      <w:r w:rsidRPr="00D507E7">
        <w:rPr>
          <w:rFonts w:asciiTheme="majorHAnsi" w:hAnsiTheme="majorHAnsi"/>
          <w:bCs/>
          <w:sz w:val="20"/>
          <w:szCs w:val="20"/>
        </w:rPr>
        <w:t xml:space="preserve">=  </w:t>
      </w:r>
      <w:r w:rsidRPr="00D507E7">
        <w:rPr>
          <w:rFonts w:asciiTheme="majorHAnsi" w:hAnsiTheme="majorHAnsi"/>
          <w:bCs/>
          <w:sz w:val="20"/>
          <w:szCs w:val="20"/>
          <w:u w:val="single"/>
        </w:rPr>
        <w:t>Ave Payables + Ave Accrued Liabilities</w:t>
      </w:r>
    </w:p>
    <w:p w14:paraId="62477E27" w14:textId="77777777" w:rsidR="00D507E7" w:rsidRPr="00D507E7" w:rsidRDefault="00D507E7" w:rsidP="008003EE">
      <w:pPr>
        <w:pStyle w:val="ListParagraph"/>
        <w:numPr>
          <w:ilvl w:val="3"/>
          <w:numId w:val="1"/>
        </w:numPr>
        <w:rPr>
          <w:rFonts w:asciiTheme="majorHAnsi" w:hAnsiTheme="majorHAnsi"/>
          <w:sz w:val="20"/>
          <w:szCs w:val="20"/>
        </w:rPr>
      </w:pPr>
    </w:p>
    <w:p w14:paraId="63B25631" w14:textId="6BBF7BE7" w:rsidR="005377DF" w:rsidRPr="008003EE" w:rsidRDefault="00D507E7" w:rsidP="008003EE">
      <w:pPr>
        <w:pStyle w:val="ListParagraph"/>
        <w:numPr>
          <w:ilvl w:val="3"/>
          <w:numId w:val="1"/>
        </w:numPr>
        <w:rPr>
          <w:rFonts w:asciiTheme="majorHAnsi" w:hAnsiTheme="majorHAnsi"/>
          <w:sz w:val="20"/>
          <w:szCs w:val="20"/>
        </w:rPr>
      </w:pPr>
      <w:r>
        <w:rPr>
          <w:rFonts w:asciiTheme="majorHAnsi" w:hAnsiTheme="majorHAnsi"/>
          <w:bCs/>
          <w:sz w:val="20"/>
          <w:szCs w:val="20"/>
        </w:rPr>
        <w:t>\</w:t>
      </w:r>
      <w:bookmarkStart w:id="0" w:name="_GoBack"/>
      <w:bookmarkEnd w:id="0"/>
      <w:r w:rsidR="005377DF" w:rsidRPr="008003EE">
        <w:rPr>
          <w:rFonts w:asciiTheme="majorHAnsi" w:hAnsiTheme="majorHAnsi"/>
          <w:bCs/>
          <w:sz w:val="20"/>
          <w:szCs w:val="20"/>
        </w:rPr>
        <w:t>(COGS / 365)</w:t>
      </w:r>
    </w:p>
    <w:p w14:paraId="4BA1739C"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(84,000+57,000)/2 + (10,000+9,000)/2</w:t>
      </w:r>
    </w:p>
    <w:p w14:paraId="0BDD1166" w14:textId="77777777" w:rsidR="005377DF" w:rsidRPr="008003EE" w:rsidRDefault="005377DF" w:rsidP="008003EE">
      <w:pPr>
        <w:pStyle w:val="ListParagraph"/>
        <w:numPr>
          <w:ilvl w:val="3"/>
          <w:numId w:val="1"/>
        </w:numPr>
        <w:rPr>
          <w:rFonts w:asciiTheme="majorHAnsi" w:hAnsiTheme="majorHAnsi"/>
          <w:sz w:val="20"/>
          <w:szCs w:val="20"/>
        </w:rPr>
      </w:pPr>
      <w:r w:rsidRPr="008003EE">
        <w:rPr>
          <w:rFonts w:asciiTheme="majorHAnsi" w:hAnsiTheme="majorHAnsi"/>
          <w:bCs/>
          <w:sz w:val="20"/>
          <w:szCs w:val="20"/>
        </w:rPr>
        <w:t>380,000/365</w:t>
      </w:r>
    </w:p>
    <w:p w14:paraId="3AF134D8"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76.8 days</w:t>
      </w:r>
    </w:p>
    <w:p w14:paraId="5285248D"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Conversion Times</w:t>
      </w:r>
    </w:p>
    <w:p w14:paraId="58D80625"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Cash Conversion Cycle</w:t>
      </w:r>
    </w:p>
    <w:p w14:paraId="727099DF"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Inventory-to-Sale Conversion Period </w:t>
      </w:r>
    </w:p>
    <w:p w14:paraId="64CBF772"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Sale-to-Cash Conversion Period </w:t>
      </w:r>
    </w:p>
    <w:p w14:paraId="7FE0BEEE"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Purchase-to-Payment Conversion</w:t>
      </w:r>
    </w:p>
    <w:p w14:paraId="6C09AD97"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112.9 days + 57.1 days – 76.8 days </w:t>
      </w:r>
    </w:p>
    <w:p w14:paraId="4A5560E2"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93.2 days</w:t>
      </w:r>
    </w:p>
    <w:p w14:paraId="48728EA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MPC </w:t>
      </w:r>
      <w:r w:rsidRPr="008003EE">
        <w:rPr>
          <w:rFonts w:asciiTheme="majorHAnsi" w:hAnsiTheme="majorHAnsi"/>
          <w:bCs/>
          <w:sz w:val="20"/>
          <w:szCs w:val="20"/>
        </w:rPr>
        <w:br/>
        <w:t>Conversion Period Performance</w:t>
      </w:r>
    </w:p>
    <w:p w14:paraId="6DD75A42"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Leverage Ratios</w:t>
      </w:r>
    </w:p>
    <w:p w14:paraId="79AE7BA7"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Leverage Ratio:</w:t>
      </w:r>
    </w:p>
    <w:p w14:paraId="35CAA23D"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indicates the extent to which the venture is in debt and its ability to repay its debt obligations</w:t>
      </w:r>
    </w:p>
    <w:p w14:paraId="39BEDFA4"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Loan Principal Amount:</w:t>
      </w:r>
    </w:p>
    <w:p w14:paraId="6A967C7A"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dollar amount borrowed from a lender</w:t>
      </w:r>
    </w:p>
    <w:p w14:paraId="2A3255B9"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Interest:</w:t>
      </w:r>
    </w:p>
    <w:p w14:paraId="680F6848"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dollar amount paid on the loan to a lender as compensation for making the loan</w:t>
      </w:r>
    </w:p>
    <w:p w14:paraId="3220765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Financial Leverage</w:t>
      </w:r>
    </w:p>
    <w:p w14:paraId="22689577"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Total-Debt-to-Total-Asset Ratio:</w:t>
      </w:r>
    </w:p>
    <w:p w14:paraId="213AB001"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Ave total debt / Ave total assets</w:t>
      </w:r>
    </w:p>
    <w:p w14:paraId="637ECB8F"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(204,000 +110,000)/2 + (80,000 +90,000)/2</w:t>
      </w:r>
    </w:p>
    <w:p w14:paraId="12542BCE" w14:textId="77777777" w:rsidR="005377DF" w:rsidRPr="008003EE" w:rsidRDefault="005377DF" w:rsidP="008003EE">
      <w:pPr>
        <w:pStyle w:val="ListParagraph"/>
        <w:numPr>
          <w:ilvl w:val="3"/>
          <w:numId w:val="1"/>
        </w:numPr>
        <w:rPr>
          <w:rFonts w:asciiTheme="majorHAnsi" w:hAnsiTheme="majorHAnsi"/>
          <w:sz w:val="20"/>
          <w:szCs w:val="20"/>
        </w:rPr>
      </w:pPr>
      <w:r w:rsidRPr="008003EE">
        <w:rPr>
          <w:rFonts w:asciiTheme="majorHAnsi" w:hAnsiTheme="majorHAnsi"/>
          <w:bCs/>
          <w:sz w:val="20"/>
          <w:szCs w:val="20"/>
        </w:rPr>
        <w:t>(446,000 + 343,000)/2</w:t>
      </w:r>
    </w:p>
    <w:p w14:paraId="4221452B"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.6134 or 61.34%</w:t>
      </w:r>
    </w:p>
    <w:p w14:paraId="11675977"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Financial Leverage</w:t>
      </w:r>
    </w:p>
    <w:p w14:paraId="44DFF1B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Equity Multiplier:</w:t>
      </w:r>
    </w:p>
    <w:p w14:paraId="5E48B7E5"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Ave total assets / Ave owners’ equity</w:t>
      </w:r>
    </w:p>
    <w:p w14:paraId="26C3B1CC"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(446,000 + 343,000)/2 </w:t>
      </w:r>
      <w:r w:rsidRPr="008003EE">
        <w:rPr>
          <w:rFonts w:asciiTheme="majorHAnsi" w:hAnsiTheme="majorHAnsi"/>
          <w:bCs/>
          <w:sz w:val="20"/>
          <w:szCs w:val="20"/>
        </w:rPr>
        <w:tab/>
      </w:r>
      <w:r w:rsidRPr="008003EE">
        <w:rPr>
          <w:rFonts w:asciiTheme="majorHAnsi" w:hAnsiTheme="majorHAnsi"/>
          <w:bCs/>
          <w:sz w:val="20"/>
          <w:szCs w:val="20"/>
        </w:rPr>
        <w:tab/>
      </w:r>
    </w:p>
    <w:p w14:paraId="3C889E46"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(162,000 + 143,000)/2</w:t>
      </w:r>
    </w:p>
    <w:p w14:paraId="602CC1FD"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2.587 times</w:t>
      </w:r>
    </w:p>
    <w:p w14:paraId="301AE998"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Financial Leverage</w:t>
      </w:r>
    </w:p>
    <w:p w14:paraId="1380282A"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Current-Liabilities-to-Total-Debt Ratio:</w:t>
      </w:r>
    </w:p>
    <w:p w14:paraId="369192B9"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Ave. current liabilities / Ave. total debt</w:t>
      </w:r>
    </w:p>
    <w:p w14:paraId="09B69748"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(204,000 + 110,000)/2 </w:t>
      </w:r>
      <w:r w:rsidRPr="008003EE">
        <w:rPr>
          <w:rFonts w:asciiTheme="majorHAnsi" w:hAnsiTheme="majorHAnsi"/>
          <w:bCs/>
          <w:sz w:val="20"/>
          <w:szCs w:val="20"/>
        </w:rPr>
        <w:tab/>
      </w:r>
      <w:r w:rsidRPr="008003EE">
        <w:rPr>
          <w:rFonts w:asciiTheme="majorHAnsi" w:hAnsiTheme="majorHAnsi"/>
          <w:bCs/>
          <w:sz w:val="20"/>
          <w:szCs w:val="20"/>
        </w:rPr>
        <w:tab/>
      </w:r>
    </w:p>
    <w:p w14:paraId="3CD650FD"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(284,000 + 200,000)/2</w:t>
      </w:r>
    </w:p>
    <w:p w14:paraId="04EDDDB8"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.6488 or 64.88%</w:t>
      </w:r>
    </w:p>
    <w:p w14:paraId="345F8D39"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Financial Leverage</w:t>
      </w:r>
    </w:p>
    <w:p w14:paraId="50B99215"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Interest Coverage Ratio:</w:t>
      </w:r>
    </w:p>
    <w:p w14:paraId="7A260951"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EBITDA / Interest</w:t>
      </w:r>
    </w:p>
    <w:p w14:paraId="20405287"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47,000 + 17,000/2 </w:t>
      </w:r>
      <w:r w:rsidRPr="008003EE">
        <w:rPr>
          <w:rFonts w:asciiTheme="majorHAnsi" w:hAnsiTheme="majorHAnsi"/>
          <w:bCs/>
          <w:sz w:val="20"/>
          <w:szCs w:val="20"/>
        </w:rPr>
        <w:tab/>
      </w:r>
      <w:r w:rsidRPr="008003EE">
        <w:rPr>
          <w:rFonts w:asciiTheme="majorHAnsi" w:hAnsiTheme="majorHAnsi"/>
          <w:bCs/>
          <w:sz w:val="20"/>
          <w:szCs w:val="20"/>
        </w:rPr>
        <w:tab/>
      </w:r>
    </w:p>
    <w:p w14:paraId="5EAAC04F"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20,000</w:t>
      </w:r>
    </w:p>
    <w:p w14:paraId="57A08A8A"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3.20 times</w:t>
      </w:r>
    </w:p>
    <w:p w14:paraId="44EFA2EE"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Measuring Financial Leverage</w:t>
      </w:r>
    </w:p>
    <w:p w14:paraId="384A5349"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Fixed Charge Coverage:</w:t>
      </w:r>
    </w:p>
    <w:p w14:paraId="1669F4A9"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t xml:space="preserve"> </w:t>
      </w:r>
      <w:r w:rsidRPr="008003EE">
        <w:rPr>
          <w:rFonts w:asciiTheme="majorHAnsi" w:hAnsiTheme="majorHAnsi"/>
          <w:bCs/>
          <w:sz w:val="20"/>
          <w:szCs w:val="20"/>
          <w:u w:val="single"/>
        </w:rPr>
        <w:tab/>
        <w:t xml:space="preserve">EBITDA  + Lease payments                             …        </w:t>
      </w:r>
      <w:r w:rsidRPr="008003EE">
        <w:rPr>
          <w:rFonts w:asciiTheme="majorHAnsi" w:hAnsiTheme="majorHAnsi"/>
          <w:bCs/>
          <w:sz w:val="20"/>
          <w:szCs w:val="20"/>
        </w:rPr>
        <w:t xml:space="preserve">                             </w:t>
      </w:r>
    </w:p>
    <w:p w14:paraId="79DBA266"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Interest + Lease payments + [Debt repayments / (1-T)]</w:t>
      </w:r>
    </w:p>
    <w:p w14:paraId="79F22D4B"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               64,000 + 0                    </w:t>
      </w:r>
      <w:r w:rsidRPr="008003EE">
        <w:rPr>
          <w:rFonts w:asciiTheme="majorHAnsi" w:hAnsiTheme="majorHAnsi"/>
          <w:bCs/>
          <w:sz w:val="20"/>
          <w:szCs w:val="20"/>
        </w:rPr>
        <w:t>_</w:t>
      </w:r>
      <w:r w:rsidRPr="008003EE">
        <w:rPr>
          <w:rFonts w:asciiTheme="majorHAnsi" w:hAnsiTheme="majorHAnsi"/>
          <w:bCs/>
          <w:sz w:val="20"/>
          <w:szCs w:val="20"/>
        </w:rPr>
        <w:tab/>
      </w:r>
      <w:r w:rsidRPr="008003EE">
        <w:rPr>
          <w:rFonts w:asciiTheme="majorHAnsi" w:hAnsiTheme="majorHAnsi"/>
          <w:bCs/>
          <w:sz w:val="20"/>
          <w:szCs w:val="20"/>
        </w:rPr>
        <w:tab/>
      </w:r>
    </w:p>
    <w:p w14:paraId="5AC09B64"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(20,000 + 0 + [10,000/(1-.30)])</w:t>
      </w:r>
    </w:p>
    <w:p w14:paraId="2A1642FE"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t>1.87 times</w:t>
      </w:r>
    </w:p>
    <w:p w14:paraId="3314C0D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MPC</w:t>
      </w:r>
      <w:r w:rsidRPr="008003EE">
        <w:rPr>
          <w:rFonts w:asciiTheme="majorHAnsi" w:hAnsiTheme="majorHAnsi"/>
          <w:bCs/>
          <w:sz w:val="20"/>
          <w:szCs w:val="20"/>
        </w:rPr>
        <w:br/>
        <w:t>Leverage Ratio Performance</w:t>
      </w:r>
    </w:p>
    <w:p w14:paraId="3E361B1F"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Profitability &amp; Efficiency Ratios</w:t>
      </w:r>
    </w:p>
    <w:p w14:paraId="3CBB3E24"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Profitability Ratios:</w:t>
      </w:r>
    </w:p>
    <w:p w14:paraId="764BC8A9"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indicate how efficiently a venture controls its expenses</w:t>
      </w:r>
    </w:p>
    <w:p w14:paraId="545DF693" w14:textId="77777777" w:rsidR="005377DF" w:rsidRPr="008003EE" w:rsidRDefault="005377DF" w:rsidP="008003EE">
      <w:pPr>
        <w:ind w:firstLine="60"/>
        <w:rPr>
          <w:rFonts w:asciiTheme="majorHAnsi" w:hAnsiTheme="majorHAnsi"/>
          <w:sz w:val="20"/>
          <w:szCs w:val="20"/>
        </w:rPr>
      </w:pPr>
    </w:p>
    <w:p w14:paraId="33C956EB"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Efficiency Ratios:</w:t>
      </w:r>
    </w:p>
    <w:p w14:paraId="4E185654"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indicate how efficiently a venture uses its assets in producing sales</w:t>
      </w:r>
    </w:p>
    <w:p w14:paraId="16B4B002"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2CD0E7E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Gross Profit Margin:</w:t>
      </w:r>
    </w:p>
    <w:p w14:paraId="655CBAEA"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Net Sales – COGS</w:t>
      </w:r>
    </w:p>
    <w:p w14:paraId="317B9FD7"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Net Sales</w:t>
      </w:r>
    </w:p>
    <w:p w14:paraId="6EAFC61B"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195,000/575,000</w:t>
      </w:r>
    </w:p>
    <w:p w14:paraId="684FF331"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.3391 or 33.91%</w:t>
      </w:r>
    </w:p>
    <w:p w14:paraId="5E318287"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2C696C2E"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Operating Profit Margin:</w:t>
      </w:r>
    </w:p>
    <w:p w14:paraId="6367F335"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r>
      <w:r w:rsidRPr="008003EE">
        <w:rPr>
          <w:rFonts w:asciiTheme="majorHAnsi" w:hAnsiTheme="majorHAnsi"/>
          <w:bCs/>
          <w:sz w:val="20"/>
          <w:szCs w:val="20"/>
          <w:u w:val="single"/>
        </w:rPr>
        <w:t xml:space="preserve">   EBIT     .     </w:t>
      </w:r>
    </w:p>
    <w:p w14:paraId="25EA1192"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Net Sales</w:t>
      </w:r>
    </w:p>
    <w:p w14:paraId="1FB0D54C"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47,000/575,000</w:t>
      </w:r>
    </w:p>
    <w:p w14:paraId="5DF3947B"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.0817 or 8.17%</w:t>
      </w:r>
    </w:p>
    <w:p w14:paraId="649424A6"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224ED8B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Net Profit Margin:</w:t>
      </w:r>
    </w:p>
    <w:p w14:paraId="45DC80E1"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t xml:space="preserve"> </w:t>
      </w:r>
      <w:r w:rsidRPr="008003EE">
        <w:rPr>
          <w:rFonts w:asciiTheme="majorHAnsi" w:hAnsiTheme="majorHAnsi"/>
          <w:bCs/>
          <w:sz w:val="20"/>
          <w:szCs w:val="20"/>
          <w:u w:val="single"/>
        </w:rPr>
        <w:t>Net Profit</w:t>
      </w:r>
    </w:p>
    <w:p w14:paraId="37490B82"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Net Sales</w:t>
      </w:r>
    </w:p>
    <w:p w14:paraId="084B56EB"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19,000/575,000</w:t>
      </w:r>
    </w:p>
    <w:p w14:paraId="4D521CEF"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.0330 or 3.30%</w:t>
      </w:r>
    </w:p>
    <w:p w14:paraId="622CD311"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6CAA0FA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Interest Tax Shield:</w:t>
      </w:r>
    </w:p>
    <w:p w14:paraId="5326BF99"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proportion of a venture’s interest payment paid by the government because interest is deductible before taxes are paid</w:t>
      </w:r>
    </w:p>
    <w:p w14:paraId="10913344" w14:textId="77777777" w:rsidR="005377DF" w:rsidRPr="008003EE" w:rsidRDefault="005377DF" w:rsidP="008003EE">
      <w:pPr>
        <w:ind w:firstLine="60"/>
        <w:rPr>
          <w:rFonts w:asciiTheme="majorHAnsi" w:hAnsiTheme="majorHAnsi"/>
          <w:sz w:val="20"/>
          <w:szCs w:val="20"/>
        </w:rPr>
      </w:pPr>
    </w:p>
    <w:p w14:paraId="2D6873A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NOPAT Margin:</w:t>
      </w:r>
    </w:p>
    <w:p w14:paraId="1B2966C6"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EBIT (1 – tax rate)</w:t>
      </w:r>
    </w:p>
    <w:p w14:paraId="1E5867A3"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Net Sales</w:t>
      </w:r>
    </w:p>
    <w:p w14:paraId="408CAA69"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47,000 (1 - .30)</w:t>
      </w:r>
    </w:p>
    <w:p w14:paraId="6F7261F2"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575,000</w:t>
      </w:r>
    </w:p>
    <w:p w14:paraId="12247F06"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.0572 or 5.72%</w:t>
      </w:r>
    </w:p>
    <w:p w14:paraId="1D29B145"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63825E5C"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Sales-to-Total-Assets Ratio:</w:t>
      </w:r>
    </w:p>
    <w:p w14:paraId="1B6AD567"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      Net Sales      .</w:t>
      </w:r>
    </w:p>
    <w:p w14:paraId="6C898C0F"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Ave total assets</w:t>
      </w:r>
    </w:p>
    <w:p w14:paraId="73CF0BC4"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r>
      <w:r w:rsidRPr="008003EE">
        <w:rPr>
          <w:rFonts w:asciiTheme="majorHAnsi" w:hAnsiTheme="majorHAnsi"/>
          <w:bCs/>
          <w:sz w:val="20"/>
          <w:szCs w:val="20"/>
          <w:u w:val="single"/>
        </w:rPr>
        <w:t xml:space="preserve">    575,000                 .</w:t>
      </w:r>
    </w:p>
    <w:p w14:paraId="690342D4"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(446,000 + 343,000)/2</w:t>
      </w:r>
    </w:p>
    <w:p w14:paraId="3D27BD1F" w14:textId="77777777" w:rsidR="005377DF" w:rsidRPr="008003EE" w:rsidRDefault="005377DF" w:rsidP="008003EE">
      <w:pPr>
        <w:ind w:firstLine="160"/>
        <w:rPr>
          <w:rFonts w:asciiTheme="majorHAnsi" w:hAnsiTheme="majorHAnsi"/>
          <w:sz w:val="20"/>
          <w:szCs w:val="20"/>
        </w:rPr>
      </w:pPr>
    </w:p>
    <w:p w14:paraId="388F1CA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t>1.458 times</w:t>
      </w:r>
    </w:p>
    <w:p w14:paraId="654A72E7"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7426F20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Return on Total Assets (ROA):</w:t>
      </w:r>
    </w:p>
    <w:p w14:paraId="151F6516"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       Net profit        .</w:t>
      </w:r>
    </w:p>
    <w:p w14:paraId="7075CA8A"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Ave total assets</w:t>
      </w:r>
    </w:p>
    <w:p w14:paraId="71E81042"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         19,000                </w:t>
      </w:r>
      <w:r w:rsidRPr="008003EE">
        <w:rPr>
          <w:rFonts w:asciiTheme="majorHAnsi" w:hAnsiTheme="majorHAnsi"/>
          <w:bCs/>
          <w:sz w:val="20"/>
          <w:szCs w:val="20"/>
        </w:rPr>
        <w:t>_</w:t>
      </w:r>
    </w:p>
    <w:p w14:paraId="6EC4A531"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(446,000 + 343,000)/2</w:t>
      </w:r>
    </w:p>
    <w:p w14:paraId="09023454"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.048 or 4.8%</w:t>
      </w:r>
    </w:p>
    <w:p w14:paraId="349E20CE"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315D51B5"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ROA Model:</w:t>
      </w:r>
    </w:p>
    <w:p w14:paraId="6414628C"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the decomposition of ROA into the product of the net profit margin and the sales-to-total-assets ratio</w:t>
      </w:r>
    </w:p>
    <w:p w14:paraId="7D156DDF"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ROA </w:t>
      </w:r>
    </w:p>
    <w:p w14:paraId="3A24FC1F"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 (Net profit / sales) x (Net sales / Ave. total assets)</w:t>
      </w:r>
    </w:p>
    <w:p w14:paraId="37E911B2"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 xml:space="preserve">= (19,000/575,000) x (575,000/ </w:t>
      </w:r>
      <w:r w:rsidRPr="008003EE">
        <w:rPr>
          <w:rFonts w:asciiTheme="majorHAnsi" w:hAnsiTheme="majorHAnsi"/>
          <w:bCs/>
          <w:sz w:val="20"/>
          <w:szCs w:val="20"/>
        </w:rPr>
        <w:tab/>
      </w:r>
      <w:r w:rsidRPr="008003EE">
        <w:rPr>
          <w:rFonts w:asciiTheme="majorHAnsi" w:hAnsiTheme="majorHAnsi"/>
          <w:bCs/>
          <w:sz w:val="20"/>
          <w:szCs w:val="20"/>
        </w:rPr>
        <w:tab/>
      </w:r>
      <w:r w:rsidRPr="008003EE">
        <w:rPr>
          <w:rFonts w:asciiTheme="majorHAnsi" w:hAnsiTheme="majorHAnsi"/>
          <w:bCs/>
          <w:sz w:val="20"/>
          <w:szCs w:val="20"/>
        </w:rPr>
        <w:tab/>
      </w:r>
      <w:r w:rsidRPr="008003EE">
        <w:rPr>
          <w:rFonts w:asciiTheme="majorHAnsi" w:hAnsiTheme="majorHAnsi"/>
          <w:bCs/>
          <w:sz w:val="20"/>
          <w:szCs w:val="20"/>
        </w:rPr>
        <w:tab/>
      </w:r>
      <w:r w:rsidRPr="008003EE">
        <w:rPr>
          <w:rFonts w:asciiTheme="majorHAnsi" w:hAnsiTheme="majorHAnsi"/>
          <w:bCs/>
          <w:sz w:val="20"/>
          <w:szCs w:val="20"/>
        </w:rPr>
        <w:tab/>
        <w:t>(446,000 + 343,000)/2)</w:t>
      </w:r>
    </w:p>
    <w:p w14:paraId="0358AABE"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=.0330 x 1.458 = .048 or 4.8%</w:t>
      </w:r>
    </w:p>
    <w:p w14:paraId="7B9ADCAA"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7F1054F3"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Return on Equity (ROE):</w:t>
      </w:r>
    </w:p>
    <w:p w14:paraId="3097DD66"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u w:val="single"/>
        </w:rPr>
        <w:t xml:space="preserve">        Net Income          .</w:t>
      </w:r>
    </w:p>
    <w:p w14:paraId="4D1553EB"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Ave owners’ equity</w:t>
      </w:r>
    </w:p>
    <w:p w14:paraId="46412B3F"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 </w:t>
      </w:r>
      <w:r w:rsidRPr="008003EE">
        <w:rPr>
          <w:rFonts w:asciiTheme="majorHAnsi" w:hAnsiTheme="majorHAnsi"/>
          <w:bCs/>
          <w:sz w:val="20"/>
          <w:szCs w:val="20"/>
        </w:rPr>
        <w:tab/>
      </w:r>
      <w:r w:rsidRPr="008003EE">
        <w:rPr>
          <w:rFonts w:asciiTheme="majorHAnsi" w:hAnsiTheme="majorHAnsi"/>
          <w:bCs/>
          <w:sz w:val="20"/>
          <w:szCs w:val="20"/>
          <w:u w:val="single"/>
        </w:rPr>
        <w:t xml:space="preserve">                 19,000           .</w:t>
      </w:r>
    </w:p>
    <w:p w14:paraId="4D24F7A9"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(162,000 + 143,000)/2</w:t>
      </w:r>
    </w:p>
    <w:p w14:paraId="1E3DFE31"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.1246 or 12.46% (or 12.5% rounded)</w:t>
      </w:r>
    </w:p>
    <w:p w14:paraId="4B4D5193"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Measuring Profitability &amp; </w:t>
      </w:r>
      <w:r w:rsidRPr="008003EE">
        <w:rPr>
          <w:rFonts w:asciiTheme="majorHAnsi" w:hAnsiTheme="majorHAnsi"/>
          <w:bCs/>
          <w:sz w:val="20"/>
          <w:szCs w:val="20"/>
        </w:rPr>
        <w:tab/>
      </w:r>
      <w:r w:rsidRPr="008003EE">
        <w:rPr>
          <w:rFonts w:asciiTheme="majorHAnsi" w:hAnsiTheme="majorHAnsi"/>
          <w:bCs/>
          <w:sz w:val="20"/>
          <w:szCs w:val="20"/>
        </w:rPr>
        <w:tab/>
        <w:t xml:space="preserve">Efficiency  </w:t>
      </w:r>
    </w:p>
    <w:p w14:paraId="703F61F2"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ROE Model:</w:t>
      </w:r>
    </w:p>
    <w:p w14:paraId="4A9D702F"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the decomposition of ROE into the product of the net profit margin,  sales-to-total-assets ratio, and equity multiplier</w:t>
      </w:r>
    </w:p>
    <w:p w14:paraId="14E58AE0" w14:textId="77777777" w:rsidR="005377DF" w:rsidRPr="008003EE" w:rsidRDefault="005377DF" w:rsidP="008003EE">
      <w:pPr>
        <w:pStyle w:val="ListParagraph"/>
        <w:numPr>
          <w:ilvl w:val="1"/>
          <w:numId w:val="1"/>
        </w:numPr>
        <w:rPr>
          <w:rFonts w:asciiTheme="majorHAnsi" w:hAnsiTheme="majorHAnsi"/>
          <w:sz w:val="20"/>
          <w:szCs w:val="20"/>
        </w:rPr>
      </w:pPr>
      <w:r w:rsidRPr="008003EE">
        <w:rPr>
          <w:rFonts w:asciiTheme="majorHAnsi" w:hAnsiTheme="majorHAnsi"/>
          <w:bCs/>
          <w:sz w:val="20"/>
          <w:szCs w:val="20"/>
        </w:rPr>
        <w:t xml:space="preserve">ROE </w:t>
      </w:r>
    </w:p>
    <w:p w14:paraId="450D7802"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 (Net profit / sales) x (Net sales / Ave. total assets)</w:t>
      </w:r>
      <w:r w:rsidRPr="008003EE">
        <w:rPr>
          <w:rFonts w:asciiTheme="majorHAnsi" w:hAnsiTheme="majorHAnsi"/>
          <w:bCs/>
          <w:sz w:val="20"/>
          <w:szCs w:val="20"/>
        </w:rPr>
        <w:tab/>
      </w:r>
      <w:r w:rsidRPr="008003EE">
        <w:rPr>
          <w:rFonts w:asciiTheme="majorHAnsi" w:hAnsiTheme="majorHAnsi"/>
          <w:bCs/>
          <w:sz w:val="20"/>
          <w:szCs w:val="20"/>
        </w:rPr>
        <w:tab/>
        <w:t xml:space="preserve">  </w:t>
      </w:r>
      <w:r w:rsidRPr="008003EE">
        <w:rPr>
          <w:rFonts w:asciiTheme="majorHAnsi" w:hAnsiTheme="majorHAnsi"/>
          <w:bCs/>
          <w:sz w:val="20"/>
          <w:szCs w:val="20"/>
        </w:rPr>
        <w:tab/>
      </w:r>
      <w:r w:rsidRPr="008003EE">
        <w:rPr>
          <w:rFonts w:asciiTheme="majorHAnsi" w:hAnsiTheme="majorHAnsi"/>
          <w:bCs/>
          <w:sz w:val="20"/>
          <w:szCs w:val="20"/>
        </w:rPr>
        <w:tab/>
        <w:t>x  (Ave. total assets / Ave. equity)</w:t>
      </w:r>
    </w:p>
    <w:p w14:paraId="30C1CD41" w14:textId="77777777" w:rsidR="005377DF" w:rsidRPr="008003EE" w:rsidRDefault="005377DF" w:rsidP="008003EE">
      <w:pPr>
        <w:pStyle w:val="ListParagraph"/>
        <w:numPr>
          <w:ilvl w:val="2"/>
          <w:numId w:val="1"/>
        </w:numPr>
        <w:rPr>
          <w:rFonts w:asciiTheme="majorHAnsi" w:hAnsiTheme="majorHAnsi"/>
          <w:sz w:val="20"/>
          <w:szCs w:val="20"/>
        </w:rPr>
      </w:pPr>
      <w:r w:rsidRPr="008003EE">
        <w:rPr>
          <w:rFonts w:asciiTheme="majorHAnsi" w:hAnsiTheme="majorHAnsi"/>
          <w:bCs/>
          <w:sz w:val="20"/>
          <w:szCs w:val="20"/>
        </w:rPr>
        <w:t>=  3.3% x 1.46% x 2.59% = 12.5%</w:t>
      </w:r>
    </w:p>
    <w:p w14:paraId="15EBF901"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MPC</w:t>
      </w:r>
      <w:r w:rsidRPr="008003EE">
        <w:rPr>
          <w:rFonts w:asciiTheme="majorHAnsi" w:hAnsiTheme="majorHAnsi"/>
          <w:bCs/>
          <w:sz w:val="20"/>
          <w:szCs w:val="20"/>
        </w:rPr>
        <w:br/>
        <w:t>Profitability &amp; Efficiency Performance</w:t>
      </w:r>
    </w:p>
    <w:p w14:paraId="18BC4C4B"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MPC </w:t>
      </w:r>
      <w:r w:rsidRPr="008003EE">
        <w:rPr>
          <w:rFonts w:asciiTheme="majorHAnsi" w:hAnsiTheme="majorHAnsi"/>
          <w:bCs/>
          <w:sz w:val="20"/>
          <w:szCs w:val="20"/>
        </w:rPr>
        <w:br/>
        <w:t>Industry Comparables Analysis</w:t>
      </w:r>
    </w:p>
    <w:p w14:paraId="0AC7A42E" w14:textId="77777777" w:rsidR="005377DF" w:rsidRPr="008003EE" w:rsidRDefault="005377DF" w:rsidP="008003EE">
      <w:pPr>
        <w:pStyle w:val="ListParagraph"/>
        <w:numPr>
          <w:ilvl w:val="0"/>
          <w:numId w:val="1"/>
        </w:numPr>
        <w:rPr>
          <w:rFonts w:asciiTheme="majorHAnsi" w:hAnsiTheme="majorHAnsi"/>
          <w:sz w:val="20"/>
          <w:szCs w:val="20"/>
        </w:rPr>
      </w:pPr>
      <w:r w:rsidRPr="008003EE">
        <w:rPr>
          <w:rFonts w:asciiTheme="majorHAnsi" w:hAnsiTheme="majorHAnsi"/>
          <w:bCs/>
          <w:sz w:val="20"/>
          <w:szCs w:val="20"/>
        </w:rPr>
        <w:t xml:space="preserve">MPC </w:t>
      </w:r>
      <w:r w:rsidRPr="008003EE">
        <w:rPr>
          <w:rFonts w:asciiTheme="majorHAnsi" w:hAnsiTheme="majorHAnsi"/>
          <w:bCs/>
          <w:sz w:val="20"/>
          <w:szCs w:val="20"/>
        </w:rPr>
        <w:br/>
        <w:t>Industry Comparables Analysis</w:t>
      </w:r>
    </w:p>
    <w:p w14:paraId="27F21E67" w14:textId="77777777" w:rsidR="00E85B57" w:rsidRPr="008003EE" w:rsidRDefault="00E85B57">
      <w:pPr>
        <w:rPr>
          <w:rFonts w:asciiTheme="majorHAnsi" w:hAnsiTheme="majorHAnsi"/>
          <w:sz w:val="20"/>
          <w:szCs w:val="20"/>
        </w:rPr>
      </w:pPr>
    </w:p>
    <w:sectPr w:rsidR="00E85B57" w:rsidRPr="008003EE" w:rsidSect="008003E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DF6255"/>
    <w:multiLevelType w:val="hybridMultilevel"/>
    <w:tmpl w:val="55C27F3A"/>
    <w:lvl w:ilvl="0" w:tplc="5422FFD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77DF"/>
    <w:rsid w:val="002B0C8B"/>
    <w:rsid w:val="003C5F2C"/>
    <w:rsid w:val="005377DF"/>
    <w:rsid w:val="00555BAA"/>
    <w:rsid w:val="008003EE"/>
    <w:rsid w:val="008D4099"/>
    <w:rsid w:val="0091719A"/>
    <w:rsid w:val="00A205AF"/>
    <w:rsid w:val="00CE06C2"/>
    <w:rsid w:val="00D507E7"/>
    <w:rsid w:val="00E85B5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736E5F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3EE"/>
    <w:pPr>
      <w:ind w:left="720"/>
      <w:contextualSpacing/>
    </w:pPr>
  </w:style>
  <w:style w:type="paragraph" w:styleId="BalloonText">
    <w:name w:val="Balloon Text"/>
    <w:basedOn w:val="Normal"/>
    <w:link w:val="BalloonTextChar"/>
    <w:uiPriority w:val="99"/>
    <w:semiHidden/>
    <w:unhideWhenUsed/>
    <w:rsid w:val="003C5F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5F2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3EE"/>
    <w:pPr>
      <w:ind w:left="720"/>
      <w:contextualSpacing/>
    </w:pPr>
  </w:style>
  <w:style w:type="paragraph" w:styleId="BalloonText">
    <w:name w:val="Balloon Text"/>
    <w:basedOn w:val="Normal"/>
    <w:link w:val="BalloonTextChar"/>
    <w:uiPriority w:val="99"/>
    <w:semiHidden/>
    <w:unhideWhenUsed/>
    <w:rsid w:val="003C5F2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5F2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71608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emf"/><Relationship Id="rId7" Type="http://schemas.openxmlformats.org/officeDocument/2006/relationships/image" Target="media/image2.emf"/><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5</Pages>
  <Words>1586</Words>
  <Characters>9044</Characters>
  <Application>Microsoft Macintosh Word</Application>
  <DocSecurity>0</DocSecurity>
  <Lines>75</Lines>
  <Paragraphs>21</Paragraphs>
  <ScaleCrop>false</ScaleCrop>
  <Company/>
  <LinksUpToDate>false</LinksUpToDate>
  <CharactersWithSpaces>10609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De Costa</dc:creator>
  <cp:keywords/>
  <dc:description/>
  <cp:lastModifiedBy>Gloria De Costa</cp:lastModifiedBy>
  <cp:revision>6</cp:revision>
  <dcterms:created xsi:type="dcterms:W3CDTF">2013-10-22T19:53:00Z</dcterms:created>
  <dcterms:modified xsi:type="dcterms:W3CDTF">2013-10-22T22:27:00Z</dcterms:modified>
</cp:coreProperties>
</file>