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Forensic Psychology - Lecture #1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__________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Administrative Issues Overview of Forensic Psychology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Forensic Psychology </w:t>
      </w:r>
    </w:p>
    <w:p>
      <w:pPr>
        <w:pStyle w:val="Body"/>
        <w:numPr>
          <w:ilvl w:val="1"/>
          <w:numId w:val="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 of psychological issues within the context of the legal system</w:t>
      </w:r>
    </w:p>
    <w:p>
      <w:pPr>
        <w:pStyle w:val="Body"/>
        <w:numPr>
          <w:ilvl w:val="1"/>
          <w:numId w:val="4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u w:val="single"/>
          <w:rtl w:val="0"/>
        </w:rPr>
        <w:t>1. ABFP-AP-LS (1995)</w:t>
      </w:r>
    </w:p>
    <w:p>
      <w:pPr>
        <w:pStyle w:val="Body"/>
        <w:numPr>
          <w:ilvl w:val="4"/>
          <w:numId w:val="5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The professional practice by psychologists within the areas of </w:t>
      </w:r>
      <w:r>
        <w:rPr>
          <w:rFonts w:ascii="Arial" w:cs="Arial" w:hAnsi="Arial" w:eastAsia="Arial"/>
          <w:u w:val="single"/>
          <w:rtl w:val="0"/>
          <w:lang w:val="en-US"/>
        </w:rPr>
        <w:t>clinical psychology</w:t>
      </w:r>
      <w:r>
        <w:rPr>
          <w:rFonts w:ascii="Arial" w:cs="Arial" w:hAnsi="Arial" w:eastAsia="Arial"/>
          <w:rtl w:val="0"/>
        </w:rPr>
        <w:t xml:space="preserve">, </w:t>
      </w:r>
      <w:r>
        <w:rPr>
          <w:rFonts w:ascii="Arial" w:cs="Arial" w:hAnsi="Arial" w:eastAsia="Arial"/>
          <w:u w:val="single"/>
          <w:rtl w:val="0"/>
          <w:lang w:val="en-US"/>
        </w:rPr>
        <w:t>counseling psychology</w:t>
      </w:r>
      <w:r>
        <w:rPr>
          <w:rFonts w:ascii="Arial" w:cs="Arial" w:hAnsi="Arial" w:eastAsia="Arial"/>
          <w:rtl w:val="0"/>
        </w:rPr>
        <w:t xml:space="preserve">, </w:t>
      </w:r>
      <w:r>
        <w:rPr>
          <w:rFonts w:ascii="Arial" w:cs="Arial" w:hAnsi="Arial" w:eastAsia="Arial"/>
          <w:u w:val="single"/>
          <w:rtl w:val="0"/>
          <w:lang w:val="en-US"/>
        </w:rPr>
        <w:t>neuropsychology</w:t>
      </w:r>
      <w:r>
        <w:rPr>
          <w:rFonts w:ascii="Arial" w:cs="Arial" w:hAnsi="Arial" w:eastAsia="Arial"/>
          <w:rtl w:val="0"/>
          <w:lang w:val="en-US"/>
        </w:rPr>
        <w:t xml:space="preserve">, and </w:t>
      </w:r>
      <w:r>
        <w:rPr>
          <w:rFonts w:ascii="Arial" w:cs="Arial" w:hAnsi="Arial" w:eastAsia="Arial"/>
          <w:u w:val="single"/>
          <w:rtl w:val="0"/>
          <w:lang w:val="en-US"/>
        </w:rPr>
        <w:t>school psychology</w:t>
      </w:r>
      <w:r>
        <w:rPr>
          <w:rFonts w:ascii="Arial" w:cs="Arial" w:hAnsi="Arial" w:eastAsia="Arial"/>
          <w:rtl w:val="0"/>
          <w:lang w:val="en-US"/>
        </w:rPr>
        <w:t xml:space="preserve">, when they are engaged regularly as experts and represent themselves as such, in an activity primarily intended to </w:t>
      </w:r>
      <w:r>
        <w:rPr>
          <w:rFonts w:ascii="Arial" w:cs="Arial" w:hAnsi="Arial" w:eastAsia="Arial"/>
          <w:u w:val="single"/>
          <w:rtl w:val="0"/>
          <w:lang w:val="en-US"/>
        </w:rPr>
        <w:t>provide professional expertise to the judicial system</w:t>
      </w:r>
    </w:p>
    <w:p>
      <w:pPr>
        <w:pStyle w:val="Body"/>
        <w:numPr>
          <w:ilvl w:val="5"/>
          <w:numId w:val="6"/>
        </w:numPr>
        <w:tabs>
          <w:tab w:val="num" w:pos="1420"/>
          <w:tab w:val="clear" w:pos="0"/>
        </w:tabs>
        <w:bidi w:val="0"/>
        <w:ind w:left="14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u w:val="single"/>
          <w:rtl w:val="0"/>
          <w:lang w:val="en-US"/>
        </w:rPr>
        <w:t>E</w:t>
      </w:r>
      <w:r>
        <w:rPr>
          <w:rFonts w:ascii="Arial" w:cs="Arial" w:hAnsi="Arial" w:eastAsia="Arial"/>
          <w:rtl w:val="0"/>
          <w:lang w:val="en-US"/>
        </w:rPr>
        <w:t>xcludes some forensic psychologists with this definition</w:t>
      </w:r>
    </w:p>
    <w:p>
      <w:pPr>
        <w:pStyle w:val="Body"/>
        <w:numPr>
          <w:ilvl w:val="2"/>
          <w:numId w:val="7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2. </w:t>
      </w:r>
      <w:r>
        <w:rPr>
          <w:rFonts w:ascii="Arial" w:cs="Arial" w:hAnsi="Arial" w:eastAsia="Arial"/>
          <w:b w:val="1"/>
          <w:bCs w:val="1"/>
          <w:rtl w:val="0"/>
          <w:lang w:val="en-US"/>
        </w:rPr>
        <w:t>Weiner</w:t>
      </w:r>
      <w:r>
        <w:rPr>
          <w:rFonts w:ascii="Arial" w:cs="Arial" w:hAnsi="Arial" w:eastAsia="Arial"/>
          <w:rtl w:val="0"/>
          <w:lang w:val="en-US"/>
        </w:rPr>
        <w:t xml:space="preserve"> (1997)</w:t>
      </w:r>
    </w:p>
    <w:p>
      <w:pPr>
        <w:pStyle w:val="Body"/>
        <w:numPr>
          <w:ilvl w:val="4"/>
          <w:numId w:val="8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Issues arising out of the </w:t>
      </w:r>
      <w:r>
        <w:rPr>
          <w:rFonts w:ascii="Arial" w:cs="Arial" w:hAnsi="Arial" w:eastAsia="Arial"/>
          <w:i w:val="1"/>
          <w:iCs w:val="1"/>
          <w:u w:val="single"/>
          <w:rtl w:val="0"/>
          <w:lang w:val="en-US"/>
        </w:rPr>
        <w:t>relationship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 xml:space="preserve"> between human </w:t>
      </w:r>
      <w:r>
        <w:rPr>
          <w:rFonts w:ascii="Arial" w:cs="Arial" w:hAnsi="Arial" w:eastAsia="Arial"/>
          <w:i w:val="1"/>
          <w:iCs w:val="1"/>
          <w:u w:val="single"/>
          <w:rtl w:val="0"/>
          <w:lang w:val="en-US"/>
        </w:rPr>
        <w:t xml:space="preserve">behaviour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 xml:space="preserve">and the </w:t>
      </w:r>
      <w:r>
        <w:rPr>
          <w:rFonts w:ascii="Arial" w:cs="Arial" w:hAnsi="Arial" w:eastAsia="Arial"/>
          <w:i w:val="1"/>
          <w:iCs w:val="1"/>
          <w:u w:val="single"/>
          <w:rtl w:val="0"/>
          <w:lang w:val="en-US"/>
        </w:rPr>
        <w:t>law</w:t>
      </w:r>
      <w:r>
        <w:rPr>
          <w:rFonts w:ascii="Arial" w:cs="Arial" w:hAnsi="Arial" w:eastAsia="Arial"/>
          <w:u w:val="single"/>
          <w:rtl w:val="0"/>
          <w:lang w:val="en-US"/>
        </w:rPr>
        <w:t>,</w:t>
      </w:r>
      <w:r>
        <w:rPr>
          <w:rFonts w:ascii="Arial" w:cs="Arial" w:hAnsi="Arial" w:eastAsia="Arial"/>
          <w:rtl w:val="0"/>
          <w:lang w:val="en-US"/>
        </w:rPr>
        <w:t xml:space="preserve"> legal system and legal process</w:t>
      </w:r>
    </w:p>
    <w:p>
      <w:pPr>
        <w:pStyle w:val="Body"/>
        <w:numPr>
          <w:ilvl w:val="5"/>
          <w:numId w:val="9"/>
        </w:numPr>
        <w:tabs>
          <w:tab w:val="num" w:pos="1420"/>
          <w:tab w:val="clear" w:pos="0"/>
        </w:tabs>
        <w:bidi w:val="0"/>
        <w:ind w:left="14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This definition is what is more accepted in this course</w:t>
      </w:r>
    </w:p>
    <w:p>
      <w:pPr>
        <w:pStyle w:val="Body"/>
        <w:numPr>
          <w:ilvl w:val="2"/>
          <w:numId w:val="10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3. Bartol and Bartol (1987)</w:t>
      </w:r>
    </w:p>
    <w:p>
      <w:pPr>
        <w:pStyle w:val="Body"/>
        <w:numPr>
          <w:ilvl w:val="4"/>
          <w:numId w:val="11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Research to inform applied practice</w:t>
      </w:r>
    </w:p>
    <w:p>
      <w:pPr>
        <w:pStyle w:val="Body"/>
        <w:numPr>
          <w:ilvl w:val="4"/>
          <w:numId w:val="12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A </w:t>
      </w:r>
      <w:r>
        <w:rPr>
          <w:rFonts w:ascii="Arial" w:cs="Arial" w:hAnsi="Arial" w:eastAsia="Arial"/>
          <w:u w:val="single"/>
          <w:rtl w:val="0"/>
          <w:lang w:val="en-US"/>
        </w:rPr>
        <w:t>research</w:t>
      </w:r>
      <w:r>
        <w:rPr>
          <w:rFonts w:ascii="Arial" w:cs="Arial" w:hAnsi="Arial" w:eastAsia="Arial"/>
          <w:rtl w:val="0"/>
          <w:lang w:val="en-US"/>
        </w:rPr>
        <w:t xml:space="preserve"> endeavour that examines human behaviour directly related to the legal process </w:t>
      </w:r>
    </w:p>
    <w:p>
      <w:pPr>
        <w:pStyle w:val="Body"/>
        <w:numPr>
          <w:ilvl w:val="4"/>
          <w:numId w:val="13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A professional </w:t>
      </w:r>
      <w:r>
        <w:rPr>
          <w:rFonts w:ascii="Arial" w:cs="Arial" w:hAnsi="Arial" w:eastAsia="Arial"/>
          <w:u w:val="single"/>
          <w:rtl w:val="0"/>
          <w:lang w:val="en-US"/>
        </w:rPr>
        <w:t xml:space="preserve">practice </w:t>
      </w:r>
      <w:r>
        <w:rPr>
          <w:rFonts w:ascii="Arial" w:cs="Arial" w:hAnsi="Arial" w:eastAsia="Arial"/>
          <w:rtl w:val="0"/>
          <w:lang w:val="en-US"/>
        </w:rPr>
        <w:t>of psychology  within, or in consultation with, a legal system that embraces both civil and criminal law</w:t>
      </w:r>
    </w:p>
    <w:p>
      <w:pPr>
        <w:pStyle w:val="Body"/>
        <w:bidi w:val="0"/>
        <w:rPr>
          <w:rFonts w:ascii="Arial" w:cs="Arial" w:hAnsi="Arial" w:eastAsia="Arial"/>
          <w:u w:val="single"/>
        </w:rPr>
      </w:pPr>
    </w:p>
    <w:p>
      <w:pPr>
        <w:pStyle w:val="Body"/>
        <w:bidi w:val="0"/>
        <w:rPr>
          <w:rFonts w:ascii="Arial" w:cs="Arial" w:hAnsi="Arial" w:eastAsia="Arial"/>
          <w:u w:val="single"/>
        </w:rPr>
      </w:pPr>
    </w:p>
    <w:p>
      <w:pPr>
        <w:pStyle w:val="Body"/>
        <w:numPr>
          <w:ilvl w:val="0"/>
          <w:numId w:val="14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Textbook Definitions</w:t>
      </w:r>
    </w:p>
    <w:p>
      <w:pPr>
        <w:pStyle w:val="Body"/>
        <w:numPr>
          <w:ilvl w:val="1"/>
          <w:numId w:val="15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A field of psychology that deals with all aspects of human behaviour as it relates to the law or legal system </w:t>
      </w:r>
    </w:p>
    <w:p>
      <w:pPr>
        <w:pStyle w:val="Body"/>
        <w:numPr>
          <w:ilvl w:val="3"/>
          <w:numId w:val="16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Solid base in psychological research</w:t>
      </w:r>
    </w:p>
    <w:p>
      <w:pPr>
        <w:pStyle w:val="Body"/>
        <w:numPr>
          <w:ilvl w:val="1"/>
          <w:numId w:val="17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Narrow definition</w:t>
      </w:r>
    </w:p>
    <w:p>
      <w:pPr>
        <w:pStyle w:val="Body"/>
        <w:numPr>
          <w:ilvl w:val="2"/>
          <w:numId w:val="18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Use of clinical work rather than experimental research </w:t>
      </w:r>
    </w:p>
    <w:p>
      <w:pPr>
        <w:pStyle w:val="Body"/>
        <w:numPr>
          <w:ilvl w:val="2"/>
          <w:numId w:val="19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Only those engaged in the clinical practice, (i.e. assessing, treating, or consulting)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20"/>
        </w:numPr>
        <w:tabs>
          <w:tab w:val="num" w:pos="220"/>
          <w:tab w:val="clear" w:pos="0"/>
        </w:tabs>
        <w:ind w:left="220" w:hanging="220"/>
        <w:rPr>
          <w:rFonts w:ascii="Arial" w:cs="Arial" w:hAnsi="Arial" w:eastAsia="Arial"/>
          <w:b w:val="1"/>
          <w:bCs w:val="1"/>
          <w:position w:val="4"/>
          <w:sz w:val="26"/>
          <w:szCs w:val="26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>Clinical Forensic Psychologists</w:t>
      </w:r>
    </w:p>
    <w:p>
      <w:pPr>
        <w:pStyle w:val="Body"/>
        <w:numPr>
          <w:ilvl w:val="1"/>
          <w:numId w:val="21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Concerned with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>mental health issues</w:t>
      </w:r>
      <w:r>
        <w:rPr>
          <w:rFonts w:ascii="Arial" w:cs="Arial" w:hAnsi="Arial" w:eastAsia="Arial"/>
          <w:rtl w:val="0"/>
          <w:lang w:val="en-US"/>
        </w:rPr>
        <w:t xml:space="preserve"> as they pertain to the legal system</w:t>
      </w:r>
    </w:p>
    <w:p>
      <w:pPr>
        <w:pStyle w:val="Body"/>
        <w:numPr>
          <w:ilvl w:val="1"/>
          <w:numId w:val="22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Can include research and practice in schools, prisons etc.</w:t>
      </w:r>
    </w:p>
    <w:p>
      <w:pPr>
        <w:pStyle w:val="Body"/>
        <w:numPr>
          <w:ilvl w:val="1"/>
          <w:numId w:val="23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i w:val="1"/>
          <w:iCs w:val="1"/>
          <w:rtl w:val="0"/>
          <w:lang w:val="en-US"/>
        </w:rPr>
        <w:t>Treating and assessing mental disorders</w:t>
      </w:r>
      <w:r>
        <w:rPr>
          <w:rFonts w:ascii="Arial" w:cs="Arial" w:hAnsi="Arial" w:eastAsia="Arial"/>
          <w:rtl w:val="0"/>
          <w:lang w:val="en-US"/>
        </w:rPr>
        <w:t xml:space="preserve"> within the context of the law</w:t>
      </w:r>
    </w:p>
    <w:p>
      <w:pPr>
        <w:pStyle w:val="Body"/>
        <w:numPr>
          <w:ilvl w:val="1"/>
          <w:numId w:val="24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Research as predicting when a criminal might be violent, parole board hearing etc.</w:t>
      </w:r>
    </w:p>
    <w:p>
      <w:pPr>
        <w:pStyle w:val="Body"/>
        <w:numPr>
          <w:ilvl w:val="1"/>
          <w:numId w:val="25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Mental illness as a product of physiology, personality and environment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26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Forensic Psychiatrists</w:t>
      </w:r>
    </w:p>
    <w:p>
      <w:pPr>
        <w:pStyle w:val="Body"/>
        <w:numPr>
          <w:ilvl w:val="1"/>
          <w:numId w:val="27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Also treat and assess the mental health of people within the legal system</w:t>
      </w:r>
    </w:p>
    <w:p>
      <w:pPr>
        <w:pStyle w:val="Body"/>
        <w:numPr>
          <w:ilvl w:val="1"/>
          <w:numId w:val="28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They are medical doctors who prescribe medication, medical model of mental illness 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30"/>
        </w:numPr>
        <w:tabs>
          <w:tab w:val="num" w:pos="240"/>
          <w:tab w:val="clear" w:pos="0"/>
        </w:tabs>
        <w:bidi w:val="0"/>
        <w:ind w:left="240" w:hanging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Experimental Forensic Psychologists </w:t>
      </w:r>
    </w:p>
    <w:p>
      <w:pPr>
        <w:pStyle w:val="Body"/>
        <w:numPr>
          <w:ilvl w:val="1"/>
          <w:numId w:val="31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Also concerned with mental illness and the legal system (and other matters that relate to the legal system)</w:t>
      </w:r>
    </w:p>
    <w:p>
      <w:pPr>
        <w:pStyle w:val="Body"/>
        <w:bidi w:val="0"/>
        <w:rPr>
          <w:rFonts w:ascii="Arial" w:cs="Arial" w:hAnsi="Arial" w:eastAsia="Arial"/>
          <w:u w:val="single"/>
        </w:rPr>
      </w:pPr>
    </w:p>
    <w:p>
      <w:pPr>
        <w:pStyle w:val="Body"/>
        <w:bidi w:val="0"/>
        <w:rPr>
          <w:rFonts w:ascii="Arial" w:cs="Arial" w:hAnsi="Arial" w:eastAsia="Arial"/>
          <w:u w:val="single"/>
        </w:rPr>
      </w:pPr>
    </w:p>
    <w:p>
      <w:pPr>
        <w:pStyle w:val="Body"/>
        <w:numPr>
          <w:ilvl w:val="0"/>
          <w:numId w:val="32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Psychology versus Law</w:t>
      </w:r>
    </w:p>
    <w:p>
      <w:pPr>
        <w:pStyle w:val="Body"/>
        <w:numPr>
          <w:ilvl w:val="1"/>
          <w:numId w:val="33"/>
        </w:numPr>
        <w:tabs>
          <w:tab w:val="num" w:pos="460"/>
          <w:tab w:val="clear" w:pos="0"/>
        </w:tabs>
        <w:ind w:left="460" w:hanging="220"/>
        <w:rPr>
          <w:rFonts w:ascii="Arial" w:cs="Arial" w:hAnsi="Arial" w:eastAsia="Arial"/>
          <w:b w:val="1"/>
          <w:bCs w:val="1"/>
          <w:position w:val="0"/>
          <w:sz w:val="26"/>
          <w:szCs w:val="26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>Haney (1980)</w:t>
      </w:r>
    </w:p>
    <w:p>
      <w:pPr>
        <w:pStyle w:val="Body"/>
        <w:numPr>
          <w:ilvl w:val="2"/>
          <w:numId w:val="34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Psychology and the law can relate to each other in three different ways</w:t>
      </w:r>
    </w:p>
    <w:p>
      <w:pPr>
        <w:pStyle w:val="Body"/>
        <w:numPr>
          <w:ilvl w:val="3"/>
          <w:numId w:val="35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Psychology AND the law</w:t>
      </w:r>
    </w:p>
    <w:p>
      <w:pPr>
        <w:pStyle w:val="Body"/>
        <w:numPr>
          <w:ilvl w:val="4"/>
          <w:numId w:val="36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Using psychology to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 xml:space="preserve"> examine the operation </w:t>
      </w:r>
      <w:r>
        <w:rPr>
          <w:rFonts w:ascii="Arial" w:cs="Arial" w:hAnsi="Arial" w:eastAsia="Arial"/>
          <w:rtl w:val="0"/>
          <w:lang w:val="en-US"/>
        </w:rPr>
        <w:t>of the legal system</w:t>
      </w:r>
    </w:p>
    <w:p>
      <w:pPr>
        <w:pStyle w:val="Body"/>
        <w:numPr>
          <w:ilvl w:val="4"/>
          <w:numId w:val="37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Studying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>assumptions</w:t>
      </w:r>
      <w:r>
        <w:rPr>
          <w:rFonts w:ascii="Arial" w:cs="Arial" w:hAnsi="Arial" w:eastAsia="Arial"/>
          <w:rtl w:val="0"/>
          <w:lang w:val="en-US"/>
        </w:rPr>
        <w:t xml:space="preserve"> made by the law or the legal system</w:t>
      </w:r>
    </w:p>
    <w:p>
      <w:pPr>
        <w:pStyle w:val="Body"/>
        <w:numPr>
          <w:ilvl w:val="4"/>
          <w:numId w:val="38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Examines components of the legal system with a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>psychological perspective</w:t>
      </w:r>
    </w:p>
    <w:p>
      <w:pPr>
        <w:pStyle w:val="Body"/>
        <w:numPr>
          <w:ilvl w:val="4"/>
          <w:numId w:val="39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Answers communicated to legal community </w:t>
      </w:r>
    </w:p>
    <w:p>
      <w:pPr>
        <w:pStyle w:val="Body"/>
        <w:numPr>
          <w:ilvl w:val="4"/>
          <w:numId w:val="40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i.e. throwing people in jail will fix the problem, young people are more likely to drink and drive</w:t>
      </w:r>
    </w:p>
    <w:p>
      <w:pPr>
        <w:pStyle w:val="Body"/>
        <w:numPr>
          <w:ilvl w:val="3"/>
          <w:numId w:val="41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Psychology IN the law</w:t>
      </w:r>
    </w:p>
    <w:p>
      <w:pPr>
        <w:pStyle w:val="Body"/>
        <w:numPr>
          <w:ilvl w:val="4"/>
          <w:numId w:val="42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Psychology is used in the system as it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 xml:space="preserve">currently operates </w:t>
      </w:r>
    </w:p>
    <w:p>
      <w:pPr>
        <w:pStyle w:val="Body"/>
        <w:numPr>
          <w:ilvl w:val="4"/>
          <w:numId w:val="43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Psychology used by police in their work</w:t>
      </w:r>
    </w:p>
    <w:p>
      <w:pPr>
        <w:pStyle w:val="Body"/>
        <w:numPr>
          <w:ilvl w:val="4"/>
          <w:numId w:val="44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i.e. parole boards</w:t>
      </w:r>
    </w:p>
    <w:p>
      <w:pPr>
        <w:pStyle w:val="Body"/>
        <w:numPr>
          <w:ilvl w:val="3"/>
          <w:numId w:val="45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Psychology OF the law</w:t>
      </w:r>
    </w:p>
    <w:p>
      <w:pPr>
        <w:pStyle w:val="Body"/>
        <w:numPr>
          <w:ilvl w:val="4"/>
          <w:numId w:val="46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Psychology used to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 xml:space="preserve">study </w:t>
      </w:r>
      <w:r>
        <w:rPr>
          <w:rFonts w:ascii="Arial" w:cs="Arial" w:hAnsi="Arial" w:eastAsia="Arial"/>
          <w:rtl w:val="0"/>
          <w:lang w:val="en-US"/>
        </w:rPr>
        <w:t>the law itself</w:t>
      </w:r>
    </w:p>
    <w:p>
      <w:pPr>
        <w:pStyle w:val="Body"/>
        <w:numPr>
          <w:ilvl w:val="4"/>
          <w:numId w:val="47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i.e. why do police officers have a lot of discretion 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  <w:r>
        <w:rPr>
          <w:rFonts w:ascii="Arial" w:cs="Arial" w:hAnsi="Arial" w:eastAsia="Arial"/>
          <w:rtl w:val="0"/>
          <w:lang w:val="en-US"/>
        </w:rPr>
        <w:t>Psychology Versus Law (Hess 1999)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49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Knowledge - accumulates completely differently in each field </w:t>
      </w:r>
    </w:p>
    <w:p>
      <w:pPr>
        <w:pStyle w:val="Body"/>
        <w:numPr>
          <w:ilvl w:val="0"/>
          <w:numId w:val="49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Methodology</w:t>
      </w:r>
    </w:p>
    <w:p>
      <w:pPr>
        <w:pStyle w:val="Body"/>
        <w:numPr>
          <w:ilvl w:val="0"/>
          <w:numId w:val="49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Epistemology</w:t>
      </w:r>
    </w:p>
    <w:p>
      <w:pPr>
        <w:pStyle w:val="Body"/>
        <w:numPr>
          <w:ilvl w:val="0"/>
          <w:numId w:val="49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Criteria</w:t>
      </w:r>
    </w:p>
    <w:p>
      <w:pPr>
        <w:pStyle w:val="Body"/>
        <w:numPr>
          <w:ilvl w:val="0"/>
          <w:numId w:val="49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Nature</w:t>
      </w:r>
    </w:p>
    <w:p>
      <w:pPr>
        <w:pStyle w:val="Body"/>
        <w:numPr>
          <w:ilvl w:val="0"/>
          <w:numId w:val="49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Principles</w:t>
      </w:r>
    </w:p>
    <w:p>
      <w:pPr>
        <w:pStyle w:val="Body"/>
        <w:numPr>
          <w:ilvl w:val="0"/>
          <w:numId w:val="49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Latitude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  <w:r>
        <w:rPr>
          <w:rFonts w:ascii="Arial" w:cs="Arial" w:hAnsi="Arial" w:eastAsia="Arial"/>
          <w:rtl w:val="0"/>
          <w:lang w:val="en-US"/>
        </w:rPr>
        <w:t>Psychology</w:t>
      </w:r>
    </w:p>
    <w:p>
      <w:pPr>
        <w:pStyle w:val="Body"/>
        <w:numPr>
          <w:ilvl w:val="0"/>
          <w:numId w:val="50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Research</w:t>
      </w:r>
    </w:p>
    <w:p>
      <w:pPr>
        <w:pStyle w:val="Body"/>
        <w:numPr>
          <w:ilvl w:val="0"/>
          <w:numId w:val="50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>Nomothetic</w:t>
      </w:r>
      <w:r>
        <w:rPr>
          <w:rFonts w:ascii="Arial" w:cs="Arial" w:hAnsi="Arial" w:eastAsia="Arial"/>
          <w:rtl w:val="0"/>
          <w:lang w:val="en-US"/>
        </w:rPr>
        <w:t xml:space="preserve"> - large sample groups so broad, said that there is no place in the court (real disconnect)</w:t>
      </w:r>
    </w:p>
    <w:p>
      <w:pPr>
        <w:pStyle w:val="Body"/>
        <w:numPr>
          <w:ilvl w:val="0"/>
          <w:numId w:val="50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Experiments - can uncover hidden truth through this</w:t>
      </w:r>
    </w:p>
    <w:p>
      <w:pPr>
        <w:pStyle w:val="Body"/>
        <w:numPr>
          <w:ilvl w:val="0"/>
          <w:numId w:val="50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Strict criteria</w:t>
      </w:r>
    </w:p>
    <w:p>
      <w:pPr>
        <w:pStyle w:val="Body"/>
        <w:numPr>
          <w:ilvl w:val="0"/>
          <w:numId w:val="50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Descriptive - describe how people do behave</w:t>
      </w:r>
    </w:p>
    <w:p>
      <w:pPr>
        <w:pStyle w:val="Body"/>
        <w:numPr>
          <w:ilvl w:val="0"/>
          <w:numId w:val="50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Multiple explanations</w:t>
      </w:r>
    </w:p>
    <w:p>
      <w:pPr>
        <w:pStyle w:val="Body"/>
        <w:numPr>
          <w:ilvl w:val="0"/>
          <w:numId w:val="50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Limited - restricted about what they can talk about in court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  <w:r>
        <w:rPr>
          <w:rFonts w:ascii="Arial" w:cs="Arial" w:hAnsi="Arial" w:eastAsia="Arial"/>
          <w:rtl w:val="0"/>
          <w:lang w:val="en-US"/>
        </w:rPr>
        <w:t>Law</w:t>
      </w:r>
    </w:p>
    <w:p>
      <w:pPr>
        <w:pStyle w:val="Body"/>
        <w:numPr>
          <w:ilvl w:val="0"/>
          <w:numId w:val="51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Stare Decisis (precedent)- also logical thinking and case law</w:t>
      </w:r>
    </w:p>
    <w:p>
      <w:pPr>
        <w:pStyle w:val="Body"/>
        <w:numPr>
          <w:ilvl w:val="0"/>
          <w:numId w:val="51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 xml:space="preserve">Idiographic </w:t>
      </w:r>
      <w:r>
        <w:rPr>
          <w:rFonts w:ascii="Arial" w:cs="Arial" w:hAnsi="Arial" w:eastAsia="Arial"/>
          <w:rtl w:val="0"/>
          <w:lang w:val="en-US"/>
        </w:rPr>
        <w:t>- study individuals (did that person do it)</w:t>
      </w:r>
    </w:p>
    <w:p>
      <w:pPr>
        <w:pStyle w:val="Body"/>
        <w:numPr>
          <w:ilvl w:val="0"/>
          <w:numId w:val="51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Adversarial - providing a convincing argument </w:t>
      </w:r>
    </w:p>
    <w:p>
      <w:pPr>
        <w:pStyle w:val="Body"/>
        <w:numPr>
          <w:ilvl w:val="0"/>
          <w:numId w:val="51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Lenient criteria</w:t>
      </w:r>
    </w:p>
    <w:p>
      <w:pPr>
        <w:pStyle w:val="Body"/>
        <w:numPr>
          <w:ilvl w:val="0"/>
          <w:numId w:val="51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Prescriptive - describe how people should behave</w:t>
      </w:r>
    </w:p>
    <w:p>
      <w:pPr>
        <w:pStyle w:val="Body"/>
        <w:numPr>
          <w:ilvl w:val="0"/>
          <w:numId w:val="51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Single explanation - lawyer convincing that there is only one explanation</w:t>
      </w:r>
    </w:p>
    <w:p>
      <w:pPr>
        <w:pStyle w:val="Body"/>
        <w:numPr>
          <w:ilvl w:val="0"/>
          <w:numId w:val="51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Unlimited - rarely restricted in the court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52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History of Forensic Psychology</w:t>
      </w:r>
    </w:p>
    <w:p>
      <w:pPr>
        <w:pStyle w:val="Body"/>
        <w:numPr>
          <w:ilvl w:val="1"/>
          <w:numId w:val="53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Weiner and Hess (1987)</w:t>
      </w:r>
    </w:p>
    <w:p>
      <w:pPr>
        <w:pStyle w:val="Body"/>
        <w:numPr>
          <w:ilvl w:val="2"/>
          <w:numId w:val="54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The beginning</w:t>
      </w:r>
    </w:p>
    <w:p>
      <w:pPr>
        <w:pStyle w:val="Body"/>
        <w:numPr>
          <w:ilvl w:val="2"/>
          <w:numId w:val="55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Forensic Psychology in NA</w:t>
      </w:r>
    </w:p>
    <w:p>
      <w:pPr>
        <w:pStyle w:val="Body"/>
        <w:numPr>
          <w:ilvl w:val="2"/>
          <w:numId w:val="56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Forensic Psychology in the CJS</w:t>
      </w:r>
    </w:p>
    <w:p>
      <w:pPr>
        <w:pStyle w:val="Body"/>
        <w:numPr>
          <w:ilvl w:val="2"/>
          <w:numId w:val="57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Forensic Psychology in the courts</w:t>
      </w:r>
    </w:p>
    <w:p>
      <w:pPr>
        <w:pStyle w:val="Body"/>
        <w:numPr>
          <w:ilvl w:val="2"/>
          <w:numId w:val="58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Forensic Psychology in law schools</w:t>
      </w:r>
    </w:p>
    <w:p>
      <w:pPr>
        <w:pStyle w:val="Body"/>
        <w:numPr>
          <w:ilvl w:val="2"/>
          <w:numId w:val="59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Period of rapid growth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60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The Beginning</w:t>
      </w:r>
    </w:p>
    <w:p>
      <w:pPr>
        <w:pStyle w:val="Body"/>
        <w:numPr>
          <w:ilvl w:val="1"/>
          <w:numId w:val="61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 xml:space="preserve">Cattell </w:t>
      </w:r>
      <w:r>
        <w:rPr>
          <w:rFonts w:ascii="Arial" w:cs="Arial" w:hAnsi="Arial" w:eastAsia="Arial"/>
          <w:rtl w:val="0"/>
          <w:lang w:val="en-US"/>
        </w:rPr>
        <w:t>(1893)</w:t>
      </w:r>
    </w:p>
    <w:p>
      <w:pPr>
        <w:pStyle w:val="Body"/>
        <w:numPr>
          <w:ilvl w:val="2"/>
          <w:numId w:val="62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Psychology of eye witness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>testimony</w:t>
      </w:r>
    </w:p>
    <w:p>
      <w:pPr>
        <w:pStyle w:val="Body"/>
        <w:numPr>
          <w:ilvl w:val="3"/>
          <w:numId w:val="63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Early research called this</w:t>
      </w:r>
    </w:p>
    <w:p>
      <w:pPr>
        <w:pStyle w:val="Body"/>
        <w:numPr>
          <w:ilvl w:val="2"/>
          <w:numId w:val="64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Did not necessarily think of himself as a forensic psych</w:t>
      </w:r>
    </w:p>
    <w:p>
      <w:pPr>
        <w:pStyle w:val="Body"/>
        <w:numPr>
          <w:ilvl w:val="2"/>
          <w:numId w:val="65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Asked students to describe everyday items</w:t>
      </w:r>
    </w:p>
    <w:p>
      <w:pPr>
        <w:pStyle w:val="Body"/>
        <w:numPr>
          <w:ilvl w:val="3"/>
          <w:numId w:val="66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Things that we do not necessarily encode</w:t>
      </w:r>
    </w:p>
    <w:p>
      <w:pPr>
        <w:pStyle w:val="Body"/>
        <w:numPr>
          <w:ilvl w:val="3"/>
          <w:numId w:val="67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i.e. which way to apples seeds point</w:t>
      </w:r>
    </w:p>
    <w:p>
      <w:pPr>
        <w:pStyle w:val="Body"/>
        <w:numPr>
          <w:ilvl w:val="3"/>
          <w:numId w:val="68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Answers were often inaccurate</w:t>
      </w:r>
    </w:p>
    <w:p>
      <w:pPr>
        <w:pStyle w:val="Body"/>
        <w:numPr>
          <w:ilvl w:val="4"/>
          <w:numId w:val="69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If they were correct, students were not confident with the answers and vice versa</w:t>
      </w:r>
    </w:p>
    <w:p>
      <w:pPr>
        <w:pStyle w:val="Body"/>
        <w:numPr>
          <w:ilvl w:val="2"/>
          <w:numId w:val="70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Good application and use for eye witness testimony</w:t>
      </w:r>
    </w:p>
    <w:p>
      <w:pPr>
        <w:pStyle w:val="Body"/>
        <w:numPr>
          <w:ilvl w:val="2"/>
          <w:numId w:val="71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Showed that relationship between confidence and accuracy is low</w:t>
      </w:r>
    </w:p>
    <w:p>
      <w:pPr>
        <w:pStyle w:val="Body"/>
        <w:numPr>
          <w:ilvl w:val="2"/>
          <w:numId w:val="72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A lot of weight on eye witnesses - juries/judges rely on their confidence</w:t>
      </w:r>
    </w:p>
    <w:p>
      <w:pPr>
        <w:pStyle w:val="Body"/>
        <w:numPr>
          <w:ilvl w:val="2"/>
          <w:numId w:val="73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Study issues</w:t>
      </w:r>
      <w:r>
        <w:rPr>
          <w:rFonts w:ascii="Arial" w:cs="Arial" w:hAnsi="Arial" w:eastAsia="Arial"/>
          <w:rtl w:val="0"/>
          <w:lang w:val="en-US"/>
        </w:rPr>
        <w:t>…</w:t>
      </w:r>
    </w:p>
    <w:p>
      <w:pPr>
        <w:pStyle w:val="Body"/>
        <w:numPr>
          <w:ilvl w:val="3"/>
          <w:numId w:val="74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Crimes have an emotional component versus everyday random things</w:t>
      </w:r>
    </w:p>
    <w:p>
      <w:pPr>
        <w:pStyle w:val="Body"/>
        <w:numPr>
          <w:ilvl w:val="3"/>
          <w:numId w:val="75"/>
        </w:numPr>
        <w:tabs>
          <w:tab w:val="num" w:pos="940"/>
          <w:tab w:val="clear" w:pos="0"/>
        </w:tabs>
        <w:ind w:left="940" w:hanging="220"/>
        <w:rPr>
          <w:rFonts w:ascii="Arial" w:cs="Arial" w:hAnsi="Arial" w:eastAsia="Arial"/>
          <w:i w:val="1"/>
          <w:iCs w:val="1"/>
          <w:position w:val="0"/>
          <w:sz w:val="26"/>
          <w:szCs w:val="26"/>
        </w:rPr>
      </w:pPr>
      <w:r>
        <w:rPr>
          <w:rFonts w:ascii="Arial" w:cs="Arial" w:hAnsi="Arial" w:eastAsia="Arial"/>
          <w:i w:val="1"/>
          <w:iCs w:val="1"/>
          <w:rtl w:val="0"/>
          <w:lang w:val="en-US"/>
        </w:rPr>
        <w:t>External validity</w:t>
      </w:r>
    </w:p>
    <w:p>
      <w:pPr>
        <w:pStyle w:val="Body"/>
        <w:numPr>
          <w:ilvl w:val="4"/>
          <w:numId w:val="76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Low because the situation is so artificial</w:t>
      </w:r>
    </w:p>
    <w:p>
      <w:pPr>
        <w:pStyle w:val="Body"/>
        <w:numPr>
          <w:ilvl w:val="4"/>
          <w:numId w:val="77"/>
        </w:numPr>
        <w:tabs>
          <w:tab w:val="num" w:pos="1180"/>
          <w:tab w:val="clear" w:pos="0"/>
        </w:tabs>
        <w:ind w:left="1180" w:hanging="220"/>
        <w:rPr>
          <w:rStyle w:val="Red"/>
          <w:i w:val="1"/>
          <w:iCs w:val="1"/>
          <w:position w:val="4"/>
          <w:sz w:val="26"/>
          <w:szCs w:val="26"/>
        </w:rPr>
      </w:pPr>
      <w:r>
        <w:rPr>
          <w:rFonts w:ascii="Arial" w:cs="Arial" w:hAnsi="Arial" w:eastAsia="Arial"/>
          <w:i w:val="1"/>
          <w:iCs w:val="1"/>
          <w:rtl w:val="0"/>
          <w:lang w:val="en-US"/>
        </w:rPr>
        <w:t xml:space="preserve">Results may not apply to the real world </w:t>
      </w:r>
    </w:p>
    <w:p>
      <w:pPr>
        <w:pStyle w:val="Body"/>
        <w:numPr>
          <w:ilvl w:val="3"/>
          <w:numId w:val="78"/>
        </w:numPr>
        <w:ind w:left="940"/>
        <w:rPr>
          <w:i w:val="1"/>
          <w:iCs w:val="1"/>
          <w:position w:val="0"/>
          <w:sz w:val="26"/>
          <w:szCs w:val="26"/>
        </w:rPr>
      </w:pPr>
      <w:r>
        <w:rPr>
          <w:i w:val="1"/>
          <w:iCs w:val="1"/>
          <w:rtl w:val="0"/>
          <w:lang w:val="en-US"/>
        </w:rPr>
        <w:t xml:space="preserve">Internal validity </w:t>
      </w:r>
    </w:p>
    <w:p>
      <w:pPr>
        <w:pStyle w:val="Body"/>
        <w:numPr>
          <w:ilvl w:val="4"/>
          <w:numId w:val="79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i w:val="1"/>
          <w:iCs w:val="1"/>
          <w:rtl w:val="0"/>
          <w:lang w:val="en-US"/>
        </w:rPr>
        <w:t>Controlling all the factors except for something like age</w:t>
      </w:r>
    </w:p>
    <w:p>
      <w:pPr>
        <w:pStyle w:val="Body"/>
        <w:numPr>
          <w:ilvl w:val="4"/>
          <w:numId w:val="80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Allows for more certain results</w:t>
      </w:r>
    </w:p>
    <w:p>
      <w:pPr>
        <w:pStyle w:val="Body"/>
        <w:numPr>
          <w:ilvl w:val="2"/>
          <w:numId w:val="81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The study had good internal validity, but poor external validity </w:t>
      </w:r>
    </w:p>
    <w:p>
      <w:pPr>
        <w:pStyle w:val="Body"/>
        <w:bidi w:val="0"/>
        <w:rPr>
          <w:rFonts w:ascii="Arial" w:cs="Arial" w:hAnsi="Arial" w:eastAsia="Arial"/>
        </w:rPr>
      </w:pPr>
      <w:r>
        <w:rPr>
          <w:rFonts w:ascii="Arial" w:cs="Arial" w:hAnsi="Arial" w:eastAsia="Arial"/>
        </w:rPr>
        <w:tab/>
        <w:tab/>
        <w:tab/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82"/>
        </w:numPr>
        <w:tabs>
          <w:tab w:val="num" w:pos="220"/>
          <w:tab w:val="clear" w:pos="0"/>
        </w:tabs>
        <w:ind w:left="220" w:hanging="220"/>
        <w:rPr>
          <w:rFonts w:ascii="Arial" w:cs="Arial" w:hAnsi="Arial" w:eastAsia="Arial"/>
          <w:b w:val="1"/>
          <w:bCs w:val="1"/>
          <w:position w:val="4"/>
          <w:sz w:val="26"/>
          <w:szCs w:val="26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>Binet</w:t>
      </w:r>
    </w:p>
    <w:p>
      <w:pPr>
        <w:pStyle w:val="Body"/>
        <w:numPr>
          <w:ilvl w:val="1"/>
          <w:numId w:val="83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Testimony provided by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 xml:space="preserve">children </w:t>
      </w:r>
      <w:r>
        <w:rPr>
          <w:rFonts w:ascii="Arial" w:cs="Arial" w:hAnsi="Arial" w:eastAsia="Arial"/>
          <w:rtl w:val="0"/>
          <w:lang w:val="en-US"/>
        </w:rPr>
        <w:t xml:space="preserve">as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>highly susceptible</w:t>
      </w:r>
      <w:r>
        <w:rPr>
          <w:rFonts w:ascii="Arial" w:cs="Arial" w:hAnsi="Arial" w:eastAsia="Arial"/>
          <w:rtl w:val="0"/>
          <w:lang w:val="en-US"/>
        </w:rPr>
        <w:t xml:space="preserve"> to suggestive questioning techniques</w:t>
      </w:r>
    </w:p>
    <w:p>
      <w:pPr>
        <w:pStyle w:val="Body"/>
        <w:numPr>
          <w:ilvl w:val="1"/>
          <w:numId w:val="84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Kids shown objects, asked questions or to describe them</w:t>
      </w:r>
    </w:p>
    <w:p>
      <w:pPr>
        <w:pStyle w:val="Body"/>
        <w:numPr>
          <w:ilvl w:val="1"/>
          <w:numId w:val="85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Misleading questions led the kids to believe false info</w:t>
      </w:r>
    </w:p>
    <w:p>
      <w:pPr>
        <w:pStyle w:val="Body"/>
        <w:numPr>
          <w:ilvl w:val="1"/>
          <w:numId w:val="86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Free recall through description was the most accurate method 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87"/>
        </w:numPr>
        <w:tabs>
          <w:tab w:val="num" w:pos="220"/>
          <w:tab w:val="clear" w:pos="0"/>
        </w:tabs>
        <w:ind w:left="220" w:hanging="220"/>
        <w:rPr>
          <w:rFonts w:ascii="Arial" w:cs="Arial" w:hAnsi="Arial" w:eastAsia="Arial"/>
          <w:b w:val="1"/>
          <w:bCs w:val="1"/>
          <w:position w:val="4"/>
          <w:sz w:val="26"/>
          <w:szCs w:val="26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 xml:space="preserve">Stern and Liszt </w:t>
      </w:r>
      <w:r>
        <w:rPr>
          <w:rFonts w:ascii="Arial" w:cs="Arial" w:hAnsi="Arial" w:eastAsia="Arial"/>
          <w:b w:val="0"/>
          <w:bCs w:val="0"/>
          <w:rtl w:val="0"/>
          <w:lang w:val="en-US"/>
        </w:rPr>
        <w:t>(1910)</w:t>
      </w:r>
    </w:p>
    <w:p>
      <w:pPr>
        <w:pStyle w:val="Body"/>
        <w:numPr>
          <w:ilvl w:val="1"/>
          <w:numId w:val="88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“</w:t>
      </w:r>
      <w:r>
        <w:rPr>
          <w:rFonts w:ascii="Arial" w:cs="Arial" w:hAnsi="Arial" w:eastAsia="Arial"/>
          <w:rtl w:val="0"/>
          <w:lang w:val="en-US"/>
        </w:rPr>
        <w:t>Reality encounter,</w:t>
      </w:r>
      <w:r>
        <w:rPr>
          <w:rFonts w:ascii="Arial" w:cs="Arial" w:hAnsi="Arial" w:eastAsia="Arial"/>
          <w:rtl w:val="0"/>
          <w:lang w:val="en-US"/>
        </w:rPr>
        <w:t>”</w:t>
      </w:r>
      <w:r>
        <w:rPr>
          <w:rFonts w:ascii="Arial" w:cs="Arial" w:hAnsi="Arial" w:eastAsia="Arial"/>
          <w:rtl w:val="0"/>
          <w:lang w:val="en-US"/>
        </w:rPr>
        <w:t>Classroom encounter</w:t>
      </w:r>
    </w:p>
    <w:p>
      <w:pPr>
        <w:pStyle w:val="Body"/>
        <w:numPr>
          <w:ilvl w:val="1"/>
          <w:numId w:val="89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Trying to mimic real world situations</w:t>
      </w:r>
    </w:p>
    <w:p>
      <w:pPr>
        <w:pStyle w:val="Body"/>
        <w:numPr>
          <w:ilvl w:val="1"/>
          <w:numId w:val="90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Set up two students to argue and then one to draw a gun on the other</w:t>
      </w:r>
    </w:p>
    <w:p>
      <w:pPr>
        <w:pStyle w:val="Body"/>
        <w:numPr>
          <w:ilvl w:val="2"/>
          <w:numId w:val="91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Asked the students in the class about what they saw</w:t>
      </w:r>
    </w:p>
    <w:p>
      <w:pPr>
        <w:pStyle w:val="Body"/>
        <w:numPr>
          <w:ilvl w:val="1"/>
          <w:numId w:val="92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External validity </w:t>
      </w:r>
    </w:p>
    <w:p>
      <w:pPr>
        <w:pStyle w:val="Body"/>
        <w:numPr>
          <w:ilvl w:val="2"/>
          <w:numId w:val="93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Answers often inaccurate</w:t>
      </w:r>
    </w:p>
    <w:p>
      <w:pPr>
        <w:pStyle w:val="Body"/>
        <w:numPr>
          <w:ilvl w:val="2"/>
          <w:numId w:val="94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Answers more inaccurate the closer you were to the situation</w:t>
      </w:r>
    </w:p>
    <w:p>
      <w:pPr>
        <w:pStyle w:val="Body"/>
        <w:numPr>
          <w:ilvl w:val="3"/>
          <w:numId w:val="95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Therefore, emotions reduce recall accuracy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96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 xml:space="preserve">Von Schrenck-Notzing </w:t>
      </w:r>
      <w:r>
        <w:rPr>
          <w:rFonts w:ascii="Arial" w:cs="Arial" w:hAnsi="Arial" w:eastAsia="Arial"/>
          <w:rtl w:val="0"/>
          <w:lang w:val="en-US"/>
        </w:rPr>
        <w:t>(1896)</w:t>
      </w:r>
    </w:p>
    <w:p>
      <w:pPr>
        <w:pStyle w:val="Body"/>
        <w:numPr>
          <w:ilvl w:val="1"/>
          <w:numId w:val="97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German expert witness</w:t>
      </w:r>
    </w:p>
    <w:p>
      <w:pPr>
        <w:pStyle w:val="Body"/>
        <w:numPr>
          <w:ilvl w:val="1"/>
          <w:numId w:val="98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Brought in to testify about the effect of the intensive pre trial media coverage on witnesses</w:t>
      </w:r>
    </w:p>
    <w:p>
      <w:pPr>
        <w:pStyle w:val="Body"/>
        <w:numPr>
          <w:ilvl w:val="1"/>
          <w:numId w:val="99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Extensive pre-trial press coverage of the case</w:t>
      </w:r>
    </w:p>
    <w:p>
      <w:pPr>
        <w:pStyle w:val="Body"/>
        <w:numPr>
          <w:ilvl w:val="1"/>
          <w:numId w:val="100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Retroactive memory falsification</w:t>
      </w:r>
    </w:p>
    <w:p>
      <w:pPr>
        <w:pStyle w:val="Body"/>
        <w:numPr>
          <w:ilvl w:val="2"/>
          <w:numId w:val="101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Found that often times that things that were reported in the media were talked about by witnesses in their statements</w:t>
      </w:r>
    </w:p>
    <w:p>
      <w:pPr>
        <w:pStyle w:val="Body"/>
        <w:numPr>
          <w:ilvl w:val="2"/>
          <w:numId w:val="102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What we see vs what was reported by the media</w:t>
      </w:r>
    </w:p>
    <w:p>
      <w:pPr>
        <w:pStyle w:val="Body"/>
        <w:numPr>
          <w:ilvl w:val="3"/>
          <w:numId w:val="103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Merged them unconsciously </w:t>
      </w:r>
    </w:p>
    <w:p>
      <w:pPr>
        <w:pStyle w:val="Body"/>
        <w:bidi w:val="0"/>
        <w:rPr>
          <w:rFonts w:ascii="Arial" w:cs="Arial" w:hAnsi="Arial" w:eastAsia="Arial"/>
        </w:rPr>
      </w:pPr>
      <w:r>
        <w:rPr>
          <w:rFonts w:ascii="Arial" w:cs="Arial" w:hAnsi="Arial" w:eastAsia="Arial"/>
        </w:rPr>
        <w:tab/>
        <w:tab/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104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Forensic Psych in North America</w:t>
      </w:r>
    </w:p>
    <w:p>
      <w:pPr>
        <w:pStyle w:val="Body"/>
        <w:numPr>
          <w:ilvl w:val="1"/>
          <w:numId w:val="105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Real surge of work in the early 1900</w:t>
      </w:r>
      <w:r>
        <w:rPr>
          <w:rFonts w:ascii="Arial" w:cs="Arial" w:hAnsi="Arial" w:eastAsia="Arial"/>
          <w:rtl w:val="0"/>
          <w:lang w:val="en-US"/>
        </w:rPr>
        <w:t>’</w:t>
      </w:r>
      <w:r>
        <w:rPr>
          <w:rFonts w:ascii="Arial" w:cs="Arial" w:hAnsi="Arial" w:eastAsia="Arial"/>
          <w:rtl w:val="0"/>
          <w:lang w:val="en-US"/>
        </w:rPr>
        <w:t>s</w:t>
      </w:r>
    </w:p>
    <w:p>
      <w:pPr>
        <w:pStyle w:val="Body"/>
        <w:numPr>
          <w:ilvl w:val="1"/>
          <w:numId w:val="106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 xml:space="preserve">Munsterberg </w:t>
      </w:r>
      <w:r>
        <w:rPr>
          <w:rFonts w:ascii="Arial" w:cs="Arial" w:hAnsi="Arial" w:eastAsia="Arial"/>
          <w:rtl w:val="0"/>
          <w:lang w:val="en-US"/>
        </w:rPr>
        <w:t>(1908)</w:t>
      </w:r>
    </w:p>
    <w:p>
      <w:pPr>
        <w:pStyle w:val="Body"/>
        <w:numPr>
          <w:ilvl w:val="2"/>
          <w:numId w:val="107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Viewed as the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>father of forensic psych</w:t>
      </w:r>
      <w:r>
        <w:rPr>
          <w:rFonts w:ascii="Arial" w:cs="Arial" w:hAnsi="Arial" w:eastAsia="Arial"/>
          <w:rtl w:val="0"/>
          <w:lang w:val="en-US"/>
        </w:rPr>
        <w:t xml:space="preserve"> by a lot of people</w:t>
      </w:r>
    </w:p>
    <w:p>
      <w:pPr>
        <w:pStyle w:val="Body"/>
        <w:numPr>
          <w:ilvl w:val="2"/>
          <w:numId w:val="108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Published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>On the Witness Stand</w:t>
      </w:r>
    </w:p>
    <w:p>
      <w:pPr>
        <w:pStyle w:val="Body"/>
        <w:numPr>
          <w:ilvl w:val="3"/>
          <w:numId w:val="109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Stated how psychology could help to improve the legal system</w:t>
      </w:r>
    </w:p>
    <w:p>
      <w:pPr>
        <w:pStyle w:val="Body"/>
        <w:numPr>
          <w:ilvl w:val="3"/>
          <w:numId w:val="110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Resistance from legal scholars</w:t>
      </w:r>
    </w:p>
    <w:p>
      <w:pPr>
        <w:pStyle w:val="Body"/>
        <w:numPr>
          <w:ilvl w:val="3"/>
          <w:numId w:val="111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Pushed psychology into legal arena</w:t>
      </w:r>
    </w:p>
    <w:p>
      <w:pPr>
        <w:pStyle w:val="Body"/>
        <w:bidi w:val="0"/>
        <w:rPr>
          <w:rFonts w:ascii="Arial" w:cs="Arial" w:hAnsi="Arial" w:eastAsia="Arial"/>
        </w:rPr>
      </w:pPr>
      <w:r>
        <w:rPr>
          <w:rFonts w:ascii="Arial" w:cs="Arial" w:hAnsi="Arial" w:eastAsia="Arial"/>
        </w:rPr>
        <w:tab/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112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>Fernald and Healy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 xml:space="preserve"> </w:t>
      </w:r>
      <w:r>
        <w:rPr>
          <w:rFonts w:ascii="Arial" w:cs="Arial" w:hAnsi="Arial" w:eastAsia="Arial"/>
          <w:rtl w:val="0"/>
          <w:lang w:val="en-US"/>
        </w:rPr>
        <w:t>(1909)</w:t>
      </w:r>
    </w:p>
    <w:p>
      <w:pPr>
        <w:pStyle w:val="Body"/>
        <w:numPr>
          <w:ilvl w:val="1"/>
          <w:numId w:val="113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First clinic for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>delinquents</w:t>
      </w:r>
    </w:p>
    <w:p>
      <w:pPr>
        <w:pStyle w:val="Body"/>
        <w:numPr>
          <w:ilvl w:val="2"/>
          <w:numId w:val="114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Called the Juvenile Psychopathic Institute</w:t>
      </w:r>
    </w:p>
    <w:p>
      <w:pPr>
        <w:pStyle w:val="Body"/>
        <w:numPr>
          <w:ilvl w:val="1"/>
          <w:numId w:val="115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Responsible for the diagnosis, treatment, research around juvenile delinquency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116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Many activities begin to appear</w:t>
      </w:r>
      <w:r>
        <w:rPr>
          <w:rFonts w:ascii="Arial" w:cs="Arial" w:hAnsi="Arial" w:eastAsia="Arial"/>
          <w:rtl w:val="0"/>
          <w:lang w:val="en-US"/>
        </w:rPr>
        <w:t>…</w:t>
      </w:r>
    </w:p>
    <w:p>
      <w:pPr>
        <w:pStyle w:val="Body"/>
        <w:numPr>
          <w:ilvl w:val="1"/>
          <w:numId w:val="117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1913</w:t>
      </w:r>
    </w:p>
    <w:p>
      <w:pPr>
        <w:pStyle w:val="Body"/>
        <w:numPr>
          <w:ilvl w:val="2"/>
          <w:numId w:val="118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Psychological services in prison</w:t>
      </w:r>
    </w:p>
    <w:p>
      <w:pPr>
        <w:pStyle w:val="Body"/>
        <w:numPr>
          <w:ilvl w:val="1"/>
          <w:numId w:val="119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1916</w:t>
      </w:r>
    </w:p>
    <w:p>
      <w:pPr>
        <w:pStyle w:val="Body"/>
        <w:numPr>
          <w:ilvl w:val="2"/>
          <w:numId w:val="120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Psychological services for police</w:t>
      </w:r>
    </w:p>
    <w:p>
      <w:pPr>
        <w:pStyle w:val="Body"/>
        <w:numPr>
          <w:ilvl w:val="1"/>
          <w:numId w:val="121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1917</w:t>
      </w:r>
    </w:p>
    <w:p>
      <w:pPr>
        <w:pStyle w:val="Body"/>
        <w:numPr>
          <w:ilvl w:val="2"/>
          <w:numId w:val="122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Test for personnel selection for law enforcement agencies 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123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 xml:space="preserve">Vaendonck </w:t>
      </w:r>
      <w:r>
        <w:rPr>
          <w:rFonts w:ascii="Arial" w:cs="Arial" w:hAnsi="Arial" w:eastAsia="Arial"/>
          <w:rtl w:val="0"/>
          <w:lang w:val="en-US"/>
        </w:rPr>
        <w:t>(1911)</w:t>
      </w:r>
    </w:p>
    <w:p>
      <w:pPr>
        <w:pStyle w:val="Body"/>
        <w:numPr>
          <w:ilvl w:val="1"/>
          <w:numId w:val="124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Belgian murder trial</w:t>
      </w:r>
    </w:p>
    <w:p>
      <w:pPr>
        <w:pStyle w:val="Body"/>
        <w:numPr>
          <w:ilvl w:val="2"/>
          <w:numId w:val="125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Number of child witnesses</w:t>
      </w:r>
    </w:p>
    <w:p>
      <w:pPr>
        <w:pStyle w:val="Body"/>
        <w:numPr>
          <w:ilvl w:val="3"/>
          <w:numId w:val="126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Court asked if their testimony is reliable</w:t>
      </w:r>
    </w:p>
    <w:p>
      <w:pPr>
        <w:pStyle w:val="Body"/>
        <w:numPr>
          <w:ilvl w:val="2"/>
          <w:numId w:val="127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Children giving different evidence</w:t>
      </w:r>
    </w:p>
    <w:p>
      <w:pPr>
        <w:pStyle w:val="Body"/>
        <w:numPr>
          <w:ilvl w:val="3"/>
          <w:numId w:val="128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Asked children what the man looked like who took the crayons</w:t>
      </w:r>
    </w:p>
    <w:p>
      <w:pPr>
        <w:pStyle w:val="Body"/>
        <w:numPr>
          <w:ilvl w:val="3"/>
          <w:numId w:val="129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Person did not exist</w:t>
      </w:r>
    </w:p>
    <w:p>
      <w:pPr>
        <w:pStyle w:val="Body"/>
        <w:numPr>
          <w:ilvl w:val="2"/>
          <w:numId w:val="130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Showed inaccurate recall of children</w:t>
        <w:tab/>
      </w:r>
    </w:p>
    <w:p>
      <w:pPr>
        <w:pStyle w:val="Body"/>
        <w:numPr>
          <w:ilvl w:val="2"/>
          <w:numId w:val="131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Children are suggestible 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132"/>
        </w:numPr>
        <w:tabs>
          <w:tab w:val="num" w:pos="220"/>
          <w:tab w:val="clear" w:pos="0"/>
        </w:tabs>
        <w:ind w:left="220" w:hanging="220"/>
        <w:rPr>
          <w:rFonts w:ascii="Arial" w:cs="Arial" w:hAnsi="Arial" w:eastAsia="Arial"/>
          <w:b w:val="1"/>
          <w:bCs w:val="1"/>
          <w:position w:val="4"/>
          <w:sz w:val="26"/>
          <w:szCs w:val="26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>State v. Driver 1921</w:t>
      </w:r>
    </w:p>
    <w:p>
      <w:pPr>
        <w:pStyle w:val="Body"/>
        <w:numPr>
          <w:ilvl w:val="1"/>
          <w:numId w:val="133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First time a psychologist provided expert testimony in courts </w:t>
      </w:r>
    </w:p>
    <w:p>
      <w:pPr>
        <w:pStyle w:val="Body"/>
        <w:numPr>
          <w:ilvl w:val="1"/>
          <w:numId w:val="134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Attempted rape of a young girl</w:t>
      </w:r>
    </w:p>
    <w:p>
      <w:pPr>
        <w:pStyle w:val="Body"/>
        <w:numPr>
          <w:ilvl w:val="2"/>
          <w:numId w:val="135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Expert testimony on juvenile delinquency </w:t>
      </w:r>
    </w:p>
    <w:p>
      <w:pPr>
        <w:pStyle w:val="Body"/>
        <w:numPr>
          <w:ilvl w:val="1"/>
          <w:numId w:val="136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However, testimony called the victim a </w:t>
      </w:r>
      <w:r>
        <w:rPr>
          <w:rFonts w:ascii="Arial" w:cs="Arial" w:hAnsi="Arial" w:eastAsia="Arial"/>
          <w:rtl w:val="0"/>
          <w:lang w:val="en-US"/>
        </w:rPr>
        <w:t>“</w:t>
      </w:r>
      <w:r>
        <w:rPr>
          <w:rFonts w:ascii="Arial" w:cs="Arial" w:hAnsi="Arial" w:eastAsia="Arial"/>
          <w:rtl w:val="0"/>
          <w:lang w:val="en-US"/>
        </w:rPr>
        <w:t>moron</w:t>
      </w:r>
      <w:r>
        <w:rPr>
          <w:rFonts w:ascii="Arial" w:cs="Arial" w:hAnsi="Arial" w:eastAsia="Arial"/>
          <w:rtl w:val="0"/>
          <w:lang w:val="en-US"/>
        </w:rPr>
        <w:t>”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rPr>
          <w:rFonts w:ascii="Arial" w:cs="Arial" w:hAnsi="Arial" w:eastAsia="Arial"/>
          <w:b w:val="1"/>
          <w:bCs w:val="1"/>
        </w:rPr>
      </w:pPr>
    </w:p>
    <w:p>
      <w:pPr>
        <w:pStyle w:val="Body"/>
        <w:numPr>
          <w:ilvl w:val="0"/>
          <w:numId w:val="137"/>
        </w:numPr>
        <w:tabs>
          <w:tab w:val="num" w:pos="220"/>
          <w:tab w:val="clear" w:pos="0"/>
        </w:tabs>
        <w:ind w:left="220" w:hanging="220"/>
        <w:rPr>
          <w:rFonts w:ascii="Arial" w:cs="Arial" w:hAnsi="Arial" w:eastAsia="Arial"/>
          <w:b w:val="1"/>
          <w:bCs w:val="1"/>
          <w:position w:val="4"/>
          <w:sz w:val="26"/>
          <w:szCs w:val="26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>Brown v. Board of Education 1954</w:t>
      </w:r>
    </w:p>
    <w:p>
      <w:pPr>
        <w:pStyle w:val="Body"/>
        <w:numPr>
          <w:ilvl w:val="1"/>
          <w:numId w:val="138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Challenged the constitutionality of publicly segregated schools</w:t>
      </w:r>
    </w:p>
    <w:p>
      <w:pPr>
        <w:pStyle w:val="Body"/>
        <w:numPr>
          <w:ilvl w:val="1"/>
          <w:numId w:val="139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Argument of a feeling of inferiority for African American children</w:t>
      </w:r>
    </w:p>
    <w:p>
      <w:pPr>
        <w:pStyle w:val="Body"/>
        <w:numPr>
          <w:ilvl w:val="1"/>
          <w:numId w:val="140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Court cited the work of a psychologist for the first time in a decision</w:t>
      </w:r>
    </w:p>
    <w:p>
      <w:pPr>
        <w:pStyle w:val="Body"/>
        <w:numPr>
          <w:ilvl w:val="1"/>
          <w:numId w:val="141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Seen as a validation of psychology as a science</w:t>
      </w:r>
    </w:p>
    <w:p>
      <w:pPr>
        <w:pStyle w:val="Body"/>
        <w:bidi w:val="0"/>
        <w:rPr>
          <w:rFonts w:ascii="Arial" w:cs="Arial" w:hAnsi="Arial" w:eastAsia="Arial"/>
        </w:rPr>
      </w:pPr>
      <w:r>
        <w:rPr>
          <w:rFonts w:ascii="Arial" w:cs="Arial" w:hAnsi="Arial" w:eastAsia="Arial"/>
        </w:rPr>
        <w:tab/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142"/>
        </w:numPr>
        <w:tabs>
          <w:tab w:val="num" w:pos="220"/>
          <w:tab w:val="clear" w:pos="0"/>
        </w:tabs>
        <w:ind w:left="220" w:hanging="220"/>
        <w:rPr>
          <w:rFonts w:ascii="Arial" w:cs="Arial" w:hAnsi="Arial" w:eastAsia="Arial"/>
          <w:b w:val="1"/>
          <w:bCs w:val="1"/>
          <w:position w:val="4"/>
          <w:sz w:val="26"/>
          <w:szCs w:val="26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>Jenkins v. United States 1962</w:t>
      </w:r>
    </w:p>
    <w:p>
      <w:pPr>
        <w:pStyle w:val="Body"/>
        <w:numPr>
          <w:ilvl w:val="1"/>
          <w:numId w:val="143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Defendant argued insanity</w:t>
      </w:r>
    </w:p>
    <w:p>
      <w:pPr>
        <w:pStyle w:val="Body"/>
        <w:numPr>
          <w:ilvl w:val="1"/>
          <w:numId w:val="144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Three clinical psychologists examined the defendant and declared him to be suffering from schizophrenia </w:t>
      </w:r>
    </w:p>
    <w:p>
      <w:pPr>
        <w:pStyle w:val="Body"/>
        <w:numPr>
          <w:ilvl w:val="1"/>
          <w:numId w:val="145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Jury told to disregard this as they were not seen as experts to determine the issue of mental disease</w:t>
      </w:r>
    </w:p>
    <w:p>
      <w:pPr>
        <w:pStyle w:val="Body"/>
        <w:numPr>
          <w:ilvl w:val="1"/>
          <w:numId w:val="146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Appealed, psychologist testimony allowed as long as they were qualified 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147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Expert Witness</w:t>
      </w:r>
    </w:p>
    <w:p>
      <w:pPr>
        <w:pStyle w:val="Body"/>
        <w:numPr>
          <w:ilvl w:val="1"/>
          <w:numId w:val="148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As having two functions</w:t>
      </w:r>
    </w:p>
    <w:p>
      <w:pPr>
        <w:pStyle w:val="Body"/>
        <w:numPr>
          <w:ilvl w:val="2"/>
          <w:numId w:val="149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Provide the court with info that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>assists in their understanding</w:t>
      </w:r>
    </w:p>
    <w:p>
      <w:pPr>
        <w:pStyle w:val="Body"/>
        <w:numPr>
          <w:ilvl w:val="2"/>
          <w:numId w:val="150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Provide the court with an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 xml:space="preserve">opinion </w:t>
      </w:r>
    </w:p>
    <w:p>
      <w:pPr>
        <w:pStyle w:val="Body"/>
        <w:numPr>
          <w:ilvl w:val="1"/>
          <w:numId w:val="151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Also as an educator </w:t>
      </w:r>
    </w:p>
    <w:p>
      <w:pPr>
        <w:pStyle w:val="Body"/>
        <w:numPr>
          <w:ilvl w:val="1"/>
          <w:numId w:val="152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Courts find it hard to validate their testimony when they are focused on how people </w:t>
        <w:tab/>
        <w:tab/>
        <w:t>behave rather than how the individuals has behaved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153"/>
        </w:numPr>
        <w:tabs>
          <w:tab w:val="num" w:pos="220"/>
          <w:tab w:val="clear" w:pos="0"/>
        </w:tabs>
        <w:ind w:left="220" w:hanging="220"/>
        <w:rPr>
          <w:rFonts w:ascii="Arial" w:cs="Arial" w:hAnsi="Arial" w:eastAsia="Arial"/>
          <w:b w:val="1"/>
          <w:bCs w:val="1"/>
          <w:position w:val="4"/>
          <w:sz w:val="26"/>
          <w:szCs w:val="26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>Frye v US</w:t>
      </w:r>
    </w:p>
    <w:p>
      <w:pPr>
        <w:pStyle w:val="Body"/>
        <w:numPr>
          <w:ilvl w:val="1"/>
          <w:numId w:val="154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Established when expert testimony should be allowed in courts </w:t>
      </w:r>
    </w:p>
    <w:p>
      <w:pPr>
        <w:pStyle w:val="Body"/>
        <w:numPr>
          <w:ilvl w:val="1"/>
          <w:numId w:val="155"/>
        </w:numPr>
        <w:tabs>
          <w:tab w:val="num" w:pos="460"/>
          <w:tab w:val="clear" w:pos="0"/>
        </w:tabs>
        <w:ind w:left="460" w:hanging="220"/>
        <w:rPr>
          <w:rFonts w:ascii="Arial" w:cs="Arial" w:hAnsi="Arial" w:eastAsia="Arial"/>
          <w:i w:val="1"/>
          <w:iCs w:val="1"/>
          <w:position w:val="0"/>
          <w:sz w:val="26"/>
          <w:szCs w:val="26"/>
        </w:rPr>
      </w:pPr>
      <w:r>
        <w:rPr>
          <w:rFonts w:ascii="Arial" w:cs="Arial" w:hAnsi="Arial" w:eastAsia="Arial"/>
          <w:i w:val="1"/>
          <w:iCs w:val="1"/>
          <w:rtl w:val="0"/>
          <w:lang w:val="en-US"/>
        </w:rPr>
        <w:t>General Acceptance Test</w:t>
      </w:r>
    </w:p>
    <w:p>
      <w:pPr>
        <w:pStyle w:val="Body"/>
        <w:numPr>
          <w:ilvl w:val="2"/>
          <w:numId w:val="156"/>
        </w:numPr>
        <w:tabs>
          <w:tab w:val="num" w:pos="700"/>
          <w:tab w:val="clear" w:pos="0"/>
        </w:tabs>
        <w:ind w:left="700" w:hanging="220"/>
        <w:rPr>
          <w:rFonts w:ascii="Arial" w:cs="Arial" w:hAnsi="Arial" w:eastAsia="Arial"/>
          <w:i w:val="1"/>
          <w:iCs w:val="1"/>
          <w:position w:val="4"/>
          <w:sz w:val="26"/>
          <w:szCs w:val="26"/>
        </w:rPr>
      </w:pPr>
      <w:r>
        <w:rPr>
          <w:rFonts w:ascii="Arial" w:cs="Arial" w:hAnsi="Arial" w:eastAsia="Arial"/>
          <w:i w:val="0"/>
          <w:iCs w:val="0"/>
          <w:rtl w:val="0"/>
          <w:lang w:val="en-US"/>
        </w:rPr>
        <w:t>If the basis of the testimony is generally accepted in the scientific community, then it will be accepted in court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157"/>
        </w:numPr>
        <w:tabs>
          <w:tab w:val="num" w:pos="220"/>
          <w:tab w:val="clear" w:pos="0"/>
        </w:tabs>
        <w:ind w:left="220" w:hanging="220"/>
        <w:rPr>
          <w:rFonts w:ascii="Arial" w:cs="Arial" w:hAnsi="Arial" w:eastAsia="Arial"/>
          <w:b w:val="1"/>
          <w:bCs w:val="1"/>
          <w:position w:val="4"/>
          <w:sz w:val="26"/>
          <w:szCs w:val="26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>Daubert v. Merrel Dow Pharmaceuticals (1993)</w:t>
      </w:r>
    </w:p>
    <w:p>
      <w:pPr>
        <w:pStyle w:val="Body"/>
        <w:numPr>
          <w:ilvl w:val="1"/>
          <w:numId w:val="158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Showed the vagueness of the GAT</w:t>
      </w:r>
    </w:p>
    <w:p>
      <w:pPr>
        <w:pStyle w:val="Body"/>
        <w:numPr>
          <w:ilvl w:val="1"/>
          <w:numId w:val="159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Added qualifications for admittance to court</w:t>
      </w:r>
    </w:p>
    <w:p>
      <w:pPr>
        <w:pStyle w:val="Body"/>
        <w:numPr>
          <w:ilvl w:val="2"/>
          <w:numId w:val="160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Provided by a qualified expert</w:t>
      </w:r>
    </w:p>
    <w:p>
      <w:pPr>
        <w:pStyle w:val="Body"/>
        <w:numPr>
          <w:ilvl w:val="2"/>
          <w:numId w:val="161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Be relevant</w:t>
      </w:r>
    </w:p>
    <w:p>
      <w:pPr>
        <w:pStyle w:val="Body"/>
        <w:numPr>
          <w:ilvl w:val="2"/>
          <w:numId w:val="162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Be reliable and scientifically valid</w:t>
      </w:r>
    </w:p>
    <w:p>
      <w:pPr>
        <w:pStyle w:val="Body"/>
        <w:numPr>
          <w:ilvl w:val="1"/>
          <w:numId w:val="163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US Supreme Courts qualifications</w:t>
      </w:r>
    </w:p>
    <w:p>
      <w:pPr>
        <w:pStyle w:val="Body"/>
        <w:numPr>
          <w:ilvl w:val="2"/>
          <w:numId w:val="164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Research has to be peer reviewed </w:t>
      </w:r>
    </w:p>
    <w:p>
      <w:pPr>
        <w:pStyle w:val="Body"/>
        <w:numPr>
          <w:ilvl w:val="2"/>
          <w:numId w:val="165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Research is testable</w:t>
      </w:r>
    </w:p>
    <w:p>
      <w:pPr>
        <w:pStyle w:val="Body"/>
        <w:numPr>
          <w:ilvl w:val="2"/>
          <w:numId w:val="166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Research has a recognized rate of error</w:t>
      </w:r>
    </w:p>
    <w:p>
      <w:pPr>
        <w:pStyle w:val="Body"/>
        <w:numPr>
          <w:ilvl w:val="2"/>
          <w:numId w:val="167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Research adheres to professional standards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168"/>
        </w:numPr>
        <w:tabs>
          <w:tab w:val="num" w:pos="220"/>
          <w:tab w:val="clear" w:pos="0"/>
        </w:tabs>
        <w:ind w:left="220" w:hanging="220"/>
        <w:rPr>
          <w:rFonts w:ascii="Arial" w:cs="Arial" w:hAnsi="Arial" w:eastAsia="Arial"/>
          <w:b w:val="1"/>
          <w:bCs w:val="1"/>
          <w:position w:val="4"/>
          <w:sz w:val="26"/>
          <w:szCs w:val="26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>Kumho Tire Company v. Carmichael</w:t>
      </w:r>
    </w:p>
    <w:p>
      <w:pPr>
        <w:pStyle w:val="Body"/>
        <w:numPr>
          <w:ilvl w:val="1"/>
          <w:numId w:val="169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Criteria applies to all expert testimony, not just scientific 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170"/>
        </w:numPr>
        <w:tabs>
          <w:tab w:val="num" w:pos="220"/>
          <w:tab w:val="clear" w:pos="0"/>
        </w:tabs>
        <w:ind w:left="220" w:hanging="220"/>
        <w:rPr>
          <w:rFonts w:ascii="Arial" w:cs="Arial" w:hAnsi="Arial" w:eastAsia="Arial"/>
          <w:b w:val="1"/>
          <w:bCs w:val="1"/>
          <w:position w:val="4"/>
          <w:sz w:val="26"/>
          <w:szCs w:val="26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>R v. Mohan</w:t>
      </w:r>
    </w:p>
    <w:p>
      <w:pPr>
        <w:pStyle w:val="Body"/>
        <w:numPr>
          <w:ilvl w:val="1"/>
          <w:numId w:val="171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Established admissibility criteria in Canada</w:t>
      </w:r>
    </w:p>
    <w:p>
      <w:pPr>
        <w:pStyle w:val="Body"/>
        <w:numPr>
          <w:ilvl w:val="1"/>
          <w:numId w:val="172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>Criteria</w:t>
      </w:r>
    </w:p>
    <w:p>
      <w:pPr>
        <w:pStyle w:val="Body"/>
        <w:numPr>
          <w:ilvl w:val="2"/>
          <w:numId w:val="173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Evidence must be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>relevant</w:t>
      </w:r>
      <w:r>
        <w:rPr>
          <w:rFonts w:ascii="Arial" w:cs="Arial" w:hAnsi="Arial" w:eastAsia="Arial"/>
          <w:rtl w:val="0"/>
          <w:lang w:val="en-US"/>
        </w:rPr>
        <w:t xml:space="preserve"> - makes the facts more or less likely</w:t>
      </w:r>
    </w:p>
    <w:p>
      <w:pPr>
        <w:pStyle w:val="Body"/>
        <w:numPr>
          <w:ilvl w:val="2"/>
          <w:numId w:val="174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Evidence must be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>necessary for assisting</w:t>
      </w:r>
      <w:r>
        <w:rPr>
          <w:rFonts w:ascii="Arial" w:cs="Arial" w:hAnsi="Arial" w:eastAsia="Arial"/>
          <w:rtl w:val="0"/>
          <w:lang w:val="en-US"/>
        </w:rPr>
        <w:t xml:space="preserve"> the trier of fact (goes beyond common sense) sense)</w:t>
      </w:r>
    </w:p>
    <w:p>
      <w:pPr>
        <w:pStyle w:val="Body"/>
        <w:numPr>
          <w:ilvl w:val="2"/>
          <w:numId w:val="175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Evidence must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 xml:space="preserve">not violate rules of exclusion </w:t>
      </w:r>
      <w:r>
        <w:rPr>
          <w:rFonts w:ascii="Arial" w:cs="Arial" w:hAnsi="Arial" w:eastAsia="Arial"/>
          <w:rtl w:val="0"/>
          <w:lang w:val="en-US"/>
        </w:rPr>
        <w:t>(rules that would exclude the</w:t>
        <w:tab/>
        <w:t>admissibility of the evidence)</w:t>
      </w:r>
    </w:p>
    <w:p>
      <w:pPr>
        <w:pStyle w:val="Body"/>
        <w:numPr>
          <w:ilvl w:val="2"/>
          <w:numId w:val="176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Evidence is provided by a 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t>qualified expert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numPr>
          <w:ilvl w:val="0"/>
          <w:numId w:val="177"/>
        </w:numPr>
        <w:tabs>
          <w:tab w:val="num" w:pos="220"/>
          <w:tab w:val="clear" w:pos="0"/>
        </w:tabs>
        <w:ind w:left="220" w:hanging="220"/>
        <w:rPr>
          <w:rFonts w:ascii="Arial" w:cs="Arial" w:hAnsi="Arial" w:eastAsia="Arial"/>
          <w:b w:val="1"/>
          <w:bCs w:val="1"/>
          <w:position w:val="4"/>
          <w:sz w:val="26"/>
          <w:szCs w:val="26"/>
        </w:rPr>
      </w:pPr>
      <w:r>
        <w:rPr>
          <w:rFonts w:ascii="Arial" w:cs="Arial" w:hAnsi="Arial" w:eastAsia="Arial"/>
          <w:b w:val="1"/>
          <w:bCs w:val="1"/>
          <w:rtl w:val="0"/>
          <w:lang w:val="en-US"/>
        </w:rPr>
        <w:t>R. v. McIntosh and McCarthy</w:t>
      </w:r>
    </w:p>
    <w:p>
      <w:pPr>
        <w:pStyle w:val="Body"/>
        <w:numPr>
          <w:ilvl w:val="1"/>
          <w:numId w:val="178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Arial" w:cs="Arial" w:hAnsi="Arial" w:eastAsia="Arial"/>
          <w:rtl w:val="0"/>
          <w:lang w:val="en-US"/>
        </w:rPr>
        <w:t xml:space="preserve">Accuracy of eyewitness testimony deemed to be common sense and therefore </w:t>
        <w:tab/>
        <w:tab/>
        <w:t>inadmissible (based on Mohan criteria)</w:t>
      </w:r>
    </w:p>
    <w:p>
      <w:pPr>
        <w:pStyle w:val="Body"/>
        <w:bidi w:val="0"/>
        <w:rPr>
          <w:rFonts w:ascii="Arial" w:cs="Arial" w:hAnsi="Arial" w:eastAsia="Arial"/>
        </w:rPr>
      </w:pPr>
    </w:p>
    <w:p>
      <w:pPr>
        <w:pStyle w:val="Body"/>
        <w:bidi w:val="0"/>
        <w:rPr>
          <w:rFonts w:ascii="Arial" w:cs="Arial" w:hAnsi="Arial" w:eastAsia="Arial"/>
        </w:rPr>
      </w:pPr>
      <w:r>
        <w:rPr>
          <w:rFonts w:ascii="Arial" w:cs="Arial" w:hAnsi="Arial" w:eastAsia="Arial"/>
        </w:rPr>
        <w:tab/>
      </w:r>
    </w:p>
    <w:p>
      <w:pPr>
        <w:pStyle w:val="Body"/>
        <w:bidi w:val="0"/>
        <w:rPr>
          <w:rFonts w:ascii="Arial" w:cs="Arial" w:hAnsi="Arial" w:eastAsia="Arial"/>
        </w:rPr>
      </w:pPr>
      <w:r>
        <w:rPr>
          <w:rFonts w:ascii="Arial" w:cs="Arial" w:hAnsi="Arial" w:eastAsia="Arial"/>
        </w:rPr>
        <w:tab/>
        <w:tab/>
      </w:r>
    </w:p>
    <w:p>
      <w:pPr>
        <w:pStyle w:val="Body"/>
        <w:bidi w:val="0"/>
        <w:rPr>
          <w:rFonts w:ascii="Arial" w:cs="Arial" w:hAnsi="Arial" w:eastAsia="Arial"/>
        </w:rPr>
      </w:pPr>
      <w:r>
        <w:rPr>
          <w:rFonts w:ascii="Arial" w:cs="Arial" w:hAnsi="Arial" w:eastAsia="Arial"/>
        </w:rPr>
        <w:tab/>
      </w:r>
    </w:p>
    <w:p>
      <w:pPr>
        <w:pStyle w:val="Body"/>
        <w:bidi w:val="0"/>
      </w:pPr>
      <w:r>
        <w:rPr>
          <w:rFonts w:ascii="Arial" w:cs="Arial" w:hAnsi="Arial" w:eastAsia="Arial"/>
        </w:rPr>
        <w:tab/>
        <w:tab/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  <w:u w:val="single"/>
      </w:rPr>
    </w:lvl>
  </w:abstractNum>
  <w:abstractNum w:abstractNumId="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  <w:u w:val="single"/>
      </w:rPr>
    </w:lvl>
    <w:lvl w:ilvl="5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  <w:u w:val="none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  <w:u w:val="single"/>
      </w:rPr>
    </w:lvl>
  </w:abstractNum>
  <w:abstractNum w:abstractNumId="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3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9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2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2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2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i w:val="1"/>
        <w:iCs w:val="1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i w:val="0"/>
        <w:iCs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i w:val="1"/>
        <w:i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i w:val="1"/>
        <w:i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i w:val="1"/>
        <w:i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i w:val="1"/>
        <w:i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i w:val="1"/>
        <w:i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i w:val="1"/>
        <w:i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i w:val="1"/>
        <w:iCs w:val="1"/>
        <w:position w:val="4"/>
      </w:rPr>
    </w:lvl>
  </w:abstractNum>
  <w:abstractNum w:abstractNumId="2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2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25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2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2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28">
    <w:multiLevelType w:val="multilevel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29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1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3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31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3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3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3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3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3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3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3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3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4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4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4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4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4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4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4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47"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cs="Arial" w:hAnsi="Arial" w:eastAsia="Arial"/>
        <w:position w:val="0"/>
      </w:rPr>
    </w:lvl>
    <w:lvl w:ilvl="1">
      <w:start w:val="1"/>
      <w:numFmt w:val="decimal"/>
      <w:suff w:val="tab"/>
      <w:lvlText w:val="%2.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decimal"/>
      <w:suff w:val="tab"/>
      <w:lvlText w:val="%3."/>
      <w:lvlJc w:val="left"/>
      <w:pPr/>
      <w:rPr>
        <w:rFonts w:ascii="Arial" w:cs="Arial" w:hAnsi="Arial" w:eastAsia="Arial"/>
        <w:position w:val="0"/>
      </w:rPr>
    </w:lvl>
    <w:lvl w:ilvl="3">
      <w:start w:val="1"/>
      <w:numFmt w:val="decimal"/>
      <w:suff w:val="tab"/>
      <w:lvlText w:val="%4.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decimal"/>
      <w:suff w:val="tab"/>
      <w:lvlText w:val="%5."/>
      <w:lvlJc w:val="left"/>
      <w:pPr/>
      <w:rPr>
        <w:rFonts w:ascii="Arial" w:cs="Arial" w:hAnsi="Arial" w:eastAsia="Arial"/>
        <w:position w:val="0"/>
      </w:rPr>
    </w:lvl>
    <w:lvl w:ilvl="5">
      <w:start w:val="1"/>
      <w:numFmt w:val="decimal"/>
      <w:suff w:val="tab"/>
      <w:lvlText w:val="%6.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decimal"/>
      <w:suff w:val="tab"/>
      <w:lvlText w:val="%7."/>
      <w:lvlJc w:val="left"/>
      <w:pPr/>
      <w:rPr>
        <w:rFonts w:ascii="Arial" w:cs="Arial" w:hAnsi="Arial" w:eastAsia="Arial"/>
        <w:position w:val="0"/>
      </w:rPr>
    </w:lvl>
    <w:lvl w:ilvl="7">
      <w:start w:val="1"/>
      <w:numFmt w:val="decimal"/>
      <w:suff w:val="tab"/>
      <w:lvlText w:val="%8.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decimal"/>
      <w:suff w:val="tab"/>
      <w:lvlText w:val="%9."/>
      <w:lvlJc w:val="left"/>
      <w:pPr/>
      <w:rPr>
        <w:rFonts w:ascii="Arial" w:cs="Arial" w:hAnsi="Arial" w:eastAsia="Arial"/>
        <w:position w:val="0"/>
      </w:rPr>
    </w:lvl>
  </w:abstractNum>
  <w:abstractNum w:abstractNumId="48">
    <w:multiLevelType w:val="multilevel"/>
    <w:styleLink w:val="Numbered"/>
    <w:lvl w:ilvl="0">
      <w:start w:val="1"/>
      <w:numFmt w:val="decimal"/>
      <w:suff w:val="tab"/>
      <w:lvlText w:val="%1."/>
      <w:lvlJc w:val="left"/>
      <w:pPr/>
      <w:rPr>
        <w:rFonts w:ascii="Helvetica" w:cs="Helvetica" w:hAnsi="Helvetica" w:eastAsia="Helvetica"/>
        <w:position w:val="0"/>
      </w:rPr>
    </w:lvl>
    <w:lvl w:ilvl="1">
      <w:start w:val="1"/>
      <w:numFmt w:val="decimal"/>
      <w:suff w:val="tab"/>
      <w:lvlText w:val="%2.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decimal"/>
      <w:suff w:val="tab"/>
      <w:lvlText w:val="%3."/>
      <w:lvlJc w:val="left"/>
      <w:pPr/>
      <w:rPr>
        <w:rFonts w:ascii="Arial" w:cs="Arial" w:hAnsi="Arial" w:eastAsia="Arial"/>
        <w:position w:val="0"/>
      </w:rPr>
    </w:lvl>
    <w:lvl w:ilvl="3">
      <w:start w:val="1"/>
      <w:numFmt w:val="decimal"/>
      <w:suff w:val="tab"/>
      <w:lvlText w:val="%4.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decimal"/>
      <w:suff w:val="tab"/>
      <w:lvlText w:val="%5."/>
      <w:lvlJc w:val="left"/>
      <w:pPr/>
      <w:rPr>
        <w:rFonts w:ascii="Arial" w:cs="Arial" w:hAnsi="Arial" w:eastAsia="Arial"/>
        <w:position w:val="0"/>
      </w:rPr>
    </w:lvl>
    <w:lvl w:ilvl="5">
      <w:start w:val="1"/>
      <w:numFmt w:val="decimal"/>
      <w:suff w:val="tab"/>
      <w:lvlText w:val="%6.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decimal"/>
      <w:suff w:val="tab"/>
      <w:lvlText w:val="%7."/>
      <w:lvlJc w:val="left"/>
      <w:pPr/>
      <w:rPr>
        <w:rFonts w:ascii="Arial" w:cs="Arial" w:hAnsi="Arial" w:eastAsia="Arial"/>
        <w:position w:val="0"/>
      </w:rPr>
    </w:lvl>
    <w:lvl w:ilvl="7">
      <w:start w:val="1"/>
      <w:numFmt w:val="decimal"/>
      <w:suff w:val="tab"/>
      <w:lvlText w:val="%8.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decimal"/>
      <w:suff w:val="tab"/>
      <w:lvlText w:val="%9."/>
      <w:lvlJc w:val="left"/>
      <w:pPr/>
      <w:rPr>
        <w:rFonts w:ascii="Arial" w:cs="Arial" w:hAnsi="Arial" w:eastAsia="Arial"/>
        <w:position w:val="0"/>
      </w:rPr>
    </w:lvl>
  </w:abstractNum>
  <w:abstractNum w:abstractNumId="49">
    <w:multiLevelType w:val="multilevel"/>
    <w:styleLink w:val="Numbered"/>
    <w:lvl w:ilvl="0">
      <w:start w:val="1"/>
      <w:numFmt w:val="decimal"/>
      <w:suff w:val="tab"/>
      <w:lvlText w:val="%1."/>
      <w:lvlJc w:val="left"/>
      <w:pPr/>
      <w:rPr>
        <w:rFonts w:ascii="Helvetica" w:cs="Helvetica" w:hAnsi="Helvetica" w:eastAsia="Helvetica"/>
        <w:position w:val="0"/>
      </w:rPr>
    </w:lvl>
    <w:lvl w:ilvl="1">
      <w:start w:val="1"/>
      <w:numFmt w:val="decimal"/>
      <w:suff w:val="tab"/>
      <w:lvlText w:val="%2.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decimal"/>
      <w:suff w:val="tab"/>
      <w:lvlText w:val="%3."/>
      <w:lvlJc w:val="left"/>
      <w:pPr/>
      <w:rPr>
        <w:rFonts w:ascii="Arial" w:cs="Arial" w:hAnsi="Arial" w:eastAsia="Arial"/>
        <w:position w:val="0"/>
      </w:rPr>
    </w:lvl>
    <w:lvl w:ilvl="3">
      <w:start w:val="1"/>
      <w:numFmt w:val="decimal"/>
      <w:suff w:val="tab"/>
      <w:lvlText w:val="%4.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decimal"/>
      <w:suff w:val="tab"/>
      <w:lvlText w:val="%5."/>
      <w:lvlJc w:val="left"/>
      <w:pPr/>
      <w:rPr>
        <w:rFonts w:ascii="Arial" w:cs="Arial" w:hAnsi="Arial" w:eastAsia="Arial"/>
        <w:position w:val="0"/>
      </w:rPr>
    </w:lvl>
    <w:lvl w:ilvl="5">
      <w:start w:val="1"/>
      <w:numFmt w:val="decimal"/>
      <w:suff w:val="tab"/>
      <w:lvlText w:val="%6.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decimal"/>
      <w:suff w:val="tab"/>
      <w:lvlText w:val="%7."/>
      <w:lvlJc w:val="left"/>
      <w:pPr/>
      <w:rPr>
        <w:rFonts w:ascii="Arial" w:cs="Arial" w:hAnsi="Arial" w:eastAsia="Arial"/>
        <w:position w:val="0"/>
      </w:rPr>
    </w:lvl>
    <w:lvl w:ilvl="7">
      <w:start w:val="1"/>
      <w:numFmt w:val="decimal"/>
      <w:suff w:val="tab"/>
      <w:lvlText w:val="%8.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decimal"/>
      <w:suff w:val="tab"/>
      <w:lvlText w:val="%9."/>
      <w:lvlJc w:val="left"/>
      <w:pPr/>
      <w:rPr>
        <w:rFonts w:ascii="Arial" w:cs="Arial" w:hAnsi="Arial" w:eastAsia="Arial"/>
        <w:position w:val="0"/>
      </w:rPr>
    </w:lvl>
  </w:abstractNum>
  <w:abstractNum w:abstractNumId="50">
    <w:multiLevelType w:val="multilevel"/>
    <w:styleLink w:val="Numbered"/>
    <w:lvl w:ilvl="0">
      <w:start w:val="1"/>
      <w:numFmt w:val="decimal"/>
      <w:suff w:val="tab"/>
      <w:lvlText w:val="%1."/>
      <w:lvlJc w:val="left"/>
      <w:pPr/>
      <w:rPr>
        <w:rFonts w:ascii="Helvetica" w:cs="Helvetica" w:hAnsi="Helvetica" w:eastAsia="Helvetica"/>
        <w:position w:val="0"/>
      </w:rPr>
    </w:lvl>
    <w:lvl w:ilvl="1">
      <w:start w:val="1"/>
      <w:numFmt w:val="decimal"/>
      <w:suff w:val="tab"/>
      <w:lvlText w:val="%2.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decimal"/>
      <w:suff w:val="tab"/>
      <w:lvlText w:val="%3."/>
      <w:lvlJc w:val="left"/>
      <w:pPr/>
      <w:rPr>
        <w:rFonts w:ascii="Arial" w:cs="Arial" w:hAnsi="Arial" w:eastAsia="Arial"/>
        <w:position w:val="0"/>
      </w:rPr>
    </w:lvl>
    <w:lvl w:ilvl="3">
      <w:start w:val="1"/>
      <w:numFmt w:val="decimal"/>
      <w:suff w:val="tab"/>
      <w:lvlText w:val="%4.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decimal"/>
      <w:suff w:val="tab"/>
      <w:lvlText w:val="%5."/>
      <w:lvlJc w:val="left"/>
      <w:pPr/>
      <w:rPr>
        <w:rFonts w:ascii="Arial" w:cs="Arial" w:hAnsi="Arial" w:eastAsia="Arial"/>
        <w:position w:val="0"/>
      </w:rPr>
    </w:lvl>
    <w:lvl w:ilvl="5">
      <w:start w:val="1"/>
      <w:numFmt w:val="decimal"/>
      <w:suff w:val="tab"/>
      <w:lvlText w:val="%6.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decimal"/>
      <w:suff w:val="tab"/>
      <w:lvlText w:val="%7."/>
      <w:lvlJc w:val="left"/>
      <w:pPr/>
      <w:rPr>
        <w:rFonts w:ascii="Arial" w:cs="Arial" w:hAnsi="Arial" w:eastAsia="Arial"/>
        <w:position w:val="0"/>
      </w:rPr>
    </w:lvl>
    <w:lvl w:ilvl="7">
      <w:start w:val="1"/>
      <w:numFmt w:val="decimal"/>
      <w:suff w:val="tab"/>
      <w:lvlText w:val="%8.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decimal"/>
      <w:suff w:val="tab"/>
      <w:lvlText w:val="%9."/>
      <w:lvlJc w:val="left"/>
      <w:pPr/>
      <w:rPr>
        <w:rFonts w:ascii="Arial" w:cs="Arial" w:hAnsi="Arial" w:eastAsia="Arial"/>
        <w:position w:val="0"/>
      </w:rPr>
    </w:lvl>
  </w:abstractNum>
  <w:abstractNum w:abstractNumId="51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5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5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5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5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5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5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5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59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6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b w:val="0"/>
        <w:bCs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</w:abstractNum>
  <w:abstractNum w:abstractNumId="6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6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6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6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6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6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6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6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6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7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7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7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7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7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7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7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</w:rPr>
    </w:lvl>
  </w:abstractNum>
  <w:abstractNum w:abstractNumId="7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i w:val="1"/>
        <w:iCs w:val="1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i w:val="1"/>
        <w:i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i w:val="1"/>
        <w:i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i w:val="1"/>
        <w:iCs w:val="1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i w:val="0"/>
        <w:iCs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i w:val="1"/>
        <w:i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i w:val="1"/>
        <w:i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i w:val="1"/>
        <w:i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i w:val="1"/>
        <w:iCs w:val="1"/>
        <w:position w:val="4"/>
      </w:rPr>
    </w:lvl>
  </w:abstractNum>
  <w:abstractNum w:abstractNumId="7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8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81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8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8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8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8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86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8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8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8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9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9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9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9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9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95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b w:val="0"/>
        <w:bCs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</w:abstractNum>
  <w:abstractNum w:abstractNumId="9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9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9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9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0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0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0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03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0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0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b w:val="0"/>
        <w:bCs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</w:abstractNum>
  <w:abstractNum w:abstractNumId="10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0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0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0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1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11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b w:val="0"/>
        <w:bCs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</w:abstractNum>
  <w:abstractNum w:abstractNumId="11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1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1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15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1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1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1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1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2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2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22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b w:val="0"/>
        <w:bCs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b w:val="1"/>
        <w:bCs w:val="1"/>
        <w:position w:val="4"/>
      </w:rPr>
    </w:lvl>
  </w:abstractNum>
  <w:abstractNum w:abstractNumId="12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2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2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2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2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2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2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3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31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3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3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3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3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36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3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3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3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4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41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4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4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4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4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46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4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4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4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5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5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52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5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5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5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56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5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5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5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6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6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6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6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6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6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6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67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6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69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7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7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7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7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7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7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0"/>
      <w:numFmt w:val="bullet"/>
      <w:suff w:val="tab"/>
      <w:lvlText w:val="-"/>
      <w:lvlJc w:val="left"/>
      <w:pPr/>
      <w:rPr>
        <w:rFonts w:ascii="Helvetica" w:cs="Helvetica" w:hAnsi="Helvetica" w:eastAsia="Helvetica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76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abstractNum w:abstractNumId="17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1">
      <w:start w:val="0"/>
      <w:numFmt w:val="bullet"/>
      <w:suff w:val="tab"/>
      <w:lvlText w:val="•"/>
      <w:lvlJc w:val="left"/>
      <w:pPr/>
      <w:rPr>
        <w:rFonts w:ascii="Helvetica" w:cs="Helvetica" w:hAnsi="Helvetica" w:eastAsia="Helvetica"/>
        <w:position w:val="0"/>
      </w:rPr>
    </w:lvl>
    <w:lvl w:ilvl="2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3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4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5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6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  <w:lvl w:ilvl="7">
      <w:start w:val="1"/>
      <w:numFmt w:val="bullet"/>
      <w:suff w:val="tab"/>
      <w:lvlText w:val="•"/>
      <w:lvlJc w:val="left"/>
      <w:pPr/>
      <w:rPr>
        <w:rFonts w:ascii="Arial" w:cs="Arial" w:hAnsi="Arial" w:eastAsia="Arial"/>
        <w:position w:val="0"/>
      </w:rPr>
    </w:lvl>
    <w:lvl w:ilvl="8">
      <w:start w:val="1"/>
      <w:numFmt w:val="bullet"/>
      <w:suff w:val="tab"/>
      <w:lvlText w:val="-"/>
      <w:lvlJc w:val="left"/>
      <w:pPr/>
      <w:rPr>
        <w:rFonts w:ascii="Arial" w:cs="Arial" w:hAnsi="Arial" w:eastAsia="Arial"/>
        <w:position w:val="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Note Taking">
    <w:name w:val="Note Taking"/>
    <w:next w:val="Note Taking"/>
    <w:pPr>
      <w:numPr>
        <w:numId w:val="1"/>
      </w:numPr>
    </w:pPr>
  </w:style>
  <w:style w:type="numbering" w:styleId="Dash">
    <w:name w:val="Dash"/>
    <w:next w:val="Dash"/>
    <w:pPr>
      <w:numPr>
        <w:numId w:val="29"/>
      </w:numPr>
    </w:pPr>
  </w:style>
  <w:style w:type="numbering" w:styleId="Numbered">
    <w:name w:val="Numbered"/>
    <w:next w:val="Numbered"/>
    <w:pPr>
      <w:numPr>
        <w:numId w:val="48"/>
      </w:numPr>
    </w:pPr>
  </w:style>
  <w:style w:type="character" w:styleId="Red">
    <w:name w:val="Red"/>
    <w:rPr>
      <w:color w:val="c82505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