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4B19" w:rsidRPr="004E6355" w:rsidRDefault="00344B19" w:rsidP="00344B19">
      <w:pPr>
        <w:jc w:val="center"/>
        <w:rPr>
          <w:b/>
          <w:smallCaps/>
          <w:sz w:val="32"/>
        </w:rPr>
      </w:pPr>
      <w:r w:rsidRPr="004E6355">
        <w:rPr>
          <w:b/>
          <w:smallCaps/>
          <w:sz w:val="32"/>
        </w:rPr>
        <w:t>Study notes for Phil1100</w:t>
      </w:r>
    </w:p>
    <w:p w:rsidR="00344B19" w:rsidRPr="004E6355" w:rsidRDefault="00344B19" w:rsidP="00344B19">
      <w:pPr>
        <w:spacing w:after="0"/>
        <w:rPr>
          <w:b/>
          <w:smallCaps/>
        </w:rPr>
      </w:pPr>
      <w:r w:rsidRPr="004E6355">
        <w:rPr>
          <w:b/>
          <w:smallCaps/>
        </w:rPr>
        <w:t>Descartes:</w:t>
      </w:r>
    </w:p>
    <w:p w:rsidR="00344B19" w:rsidRPr="004E6355" w:rsidRDefault="00344B19" w:rsidP="00344B19">
      <w:pPr>
        <w:rPr>
          <w:smallCaps/>
        </w:rPr>
      </w:pPr>
      <w:r w:rsidRPr="004E6355">
        <w:rPr>
          <w:smallCaps/>
        </w:rPr>
        <w:t>In the meditations, Descartes aims to provide what he calls a secure foundation for science and knowledge in general. Purportedly this need arose from him realizing that much that he thought was true—that he took for granted—turned out to be false. His focus, as we see in Meditation One, is on perception and how it can mislead.</w:t>
      </w:r>
    </w:p>
    <w:p w:rsidR="00344B19" w:rsidRPr="004E6355" w:rsidRDefault="00344B19" w:rsidP="00344B19">
      <w:pPr>
        <w:rPr>
          <w:smallCaps/>
        </w:rPr>
      </w:pPr>
      <w:r w:rsidRPr="004E6355">
        <w:rPr>
          <w:smallCaps/>
        </w:rPr>
        <w:t>Ultimately, Descartes wants to base knowledge on what is certain. He therefore adopts what is called ‘methodological doubt’. That is he decides to doubts everything he possibly can. Only that which he cannot doubt will he accept as true. To help himself in this enterprise, he avails himself of the following ideas: dream skepticism (I cannot be sure that I’m dreaming or awake) and the Evil Demon (who is intent on deceiving him).</w:t>
      </w:r>
    </w:p>
    <w:p w:rsidR="00344B19" w:rsidRPr="004E6355" w:rsidRDefault="00344B19" w:rsidP="00344B19">
      <w:pPr>
        <w:rPr>
          <w:smallCaps/>
        </w:rPr>
      </w:pPr>
      <w:r w:rsidRPr="004E6355">
        <w:rPr>
          <w:smallCaps/>
        </w:rPr>
        <w:t>Only when he starts doubting whether he, Descartes, exists does his doubt come to and end. “I doubt, therefore I think; I think, therefore I Am” is the basic line of reasoning. However, it is only his existence as a thinking thing—not as a thinking thing in a body, e.g.—that he is certain of. Next, Descartes provides a proof for the existence of God. He has an idea of God, everything has a cause, so the idea of God must have a cause. Could he, Descartes, be the author of the idea of God? No. Why not? There must be as much reality in the cause of an idea as the idea presents the object that the idea is about as having (formal and objective reality). Descartes does not have as much reality as God has, so he cannot be the cause of the idea of God (remember the idea of the scale of reality of existences, with God at the top). Only God or</w:t>
      </w:r>
      <w:r>
        <w:rPr>
          <w:smallCaps/>
        </w:rPr>
        <w:t xml:space="preserve"> another being more perfect than</w:t>
      </w:r>
      <w:r w:rsidRPr="004E6355">
        <w:rPr>
          <w:smallCaps/>
        </w:rPr>
        <w:t xml:space="preserve"> God could be the cause of the idea of God. But Descartes cannot think of a being more perfect than God. So God must be the author of the idea of God. So God exists.  </w:t>
      </w:r>
    </w:p>
    <w:p w:rsidR="00344B19" w:rsidRPr="004E6355" w:rsidRDefault="00344B19" w:rsidP="00344B19">
      <w:r w:rsidRPr="004E6355">
        <w:rPr>
          <w:smallCaps/>
        </w:rPr>
        <w:t>Two concerns permeate Meditation Four: 1. Finding the sou</w:t>
      </w:r>
      <w:r>
        <w:rPr>
          <w:smallCaps/>
        </w:rPr>
        <w:t>rce of truth so that we can move</w:t>
      </w:r>
      <w:r w:rsidRPr="004E6355">
        <w:rPr>
          <w:smallCaps/>
        </w:rPr>
        <w:t xml:space="preserve"> forward in our c</w:t>
      </w:r>
      <w:r>
        <w:rPr>
          <w:smallCaps/>
        </w:rPr>
        <w:t>onstruction of knowledge</w:t>
      </w:r>
      <w:r w:rsidRPr="004E6355">
        <w:rPr>
          <w:smallCaps/>
        </w:rPr>
        <w:t>, and 2. Theodicy concerns—trying to counter the atheists who presumably doubt the perfection or goodness of God given how imperfect the world is. So D. goes out of his way to argue that God is perfect and good even if his creation seems not to be so.  The source of our being mistaken about things is our tendency to overextend our will beyond our power of understanding and affirm or deny that of which we do not have clear and distinct ideas. Individually, neither capacity is flawed. The understanding is not positively mistaken in any way, ra</w:t>
      </w:r>
      <w:r>
        <w:rPr>
          <w:smallCaps/>
        </w:rPr>
        <w:t xml:space="preserve">ther it is incomplete or </w:t>
      </w:r>
      <w:r w:rsidRPr="004E6355">
        <w:rPr>
          <w:smallCaps/>
        </w:rPr>
        <w:t>there is negation in it. This solution is required not to impugn the perfection of God and his creation. The will, on the other hand, is as perfect (</w:t>
      </w:r>
      <w:r w:rsidRPr="004E6355">
        <w:rPr>
          <w:i/>
          <w:smallCaps/>
        </w:rPr>
        <w:t>qua</w:t>
      </w:r>
      <w:r w:rsidRPr="004E6355">
        <w:rPr>
          <w:smallCaps/>
        </w:rPr>
        <w:t xml:space="preserve"> will) as that of God. But where God has the understanding and the power to set into motion that which he wills, we do not.</w:t>
      </w:r>
      <w:r w:rsidRPr="004E6355">
        <w:t xml:space="preserve"> </w:t>
      </w:r>
    </w:p>
    <w:p w:rsidR="00344B19" w:rsidRPr="004E6355" w:rsidRDefault="00344B19" w:rsidP="00344B19">
      <w:pPr>
        <w:rPr>
          <w:smallCaps/>
        </w:rPr>
      </w:pPr>
      <w:r w:rsidRPr="004E6355">
        <w:rPr>
          <w:smallCaps/>
        </w:rPr>
        <w:t xml:space="preserve">In Meditation Five, Descartes provides another proof for the existence of God. It is close to Anselm’s. When I conceive of God, I conceive of a perfect being; If God did not exist, he would not be perfect; Insofar as I conceive of God, he must exist. In fact, the existence of God is part of his essence. </w:t>
      </w:r>
    </w:p>
    <w:p w:rsidR="00344B19" w:rsidRPr="004E6355" w:rsidRDefault="00344B19" w:rsidP="00344B19">
      <w:pPr>
        <w:rPr>
          <w:smallCaps/>
        </w:rPr>
      </w:pPr>
      <w:r w:rsidRPr="004E6355">
        <w:rPr>
          <w:smallCaps/>
        </w:rPr>
        <w:t xml:space="preserve">Next we move on to the existence of material objects. First, Descartes focuses on the essence of material objects, which is to be extended. Because the essence of material objects is to be extended, and the essence of being a thinking thing is to think, the two are not the same. Indeed, the two are in </w:t>
      </w:r>
      <w:r w:rsidRPr="004E6355">
        <w:rPr>
          <w:smallCaps/>
        </w:rPr>
        <w:lastRenderedPageBreak/>
        <w:t xml:space="preserve">actuality separate even if they are intimately connected in the form of human beings. The argument for the so-called ‘real distinction between mind and body’ is that if the mind is the body, it too must possess the properties of the body. One property of the body is to be divisible. The mind, however, is not divisible. Ergo, the mind is not the body. </w:t>
      </w:r>
    </w:p>
    <w:p w:rsidR="00344B19" w:rsidRPr="004E6355" w:rsidRDefault="00344B19" w:rsidP="00344B19">
      <w:pPr>
        <w:spacing w:after="0"/>
        <w:rPr>
          <w:smallCaps/>
        </w:rPr>
      </w:pPr>
      <w:r w:rsidRPr="004E6355">
        <w:rPr>
          <w:smallCaps/>
        </w:rPr>
        <w:t xml:space="preserve">Finally, Descartes proves the existence of material objects, Descartes notes that he has a passive power to sense things. He knows it is passive because he cannot control it. Therefore, something active outside him must produce these sensations in him. Just as the idea of God must have as much formal reality as it has objective reality, the active principle of my idea of material objects must have as much formal reality as my idea of material objects has objective reality. If my idea of materials objects did not come from material objects, but from a more eminent source, then God would be a deceiver. But God is not a deceiver, so material objects must exist. Note that the objects that Descartes has proven the existence of are extended objects, not </w:t>
      </w:r>
      <w:r>
        <w:rPr>
          <w:smallCaps/>
        </w:rPr>
        <w:t xml:space="preserve">objects as we know </w:t>
      </w:r>
      <w:r w:rsidRPr="004E6355">
        <w:rPr>
          <w:smallCaps/>
        </w:rPr>
        <w:t xml:space="preserve">them, i.e. </w:t>
      </w:r>
      <w:r>
        <w:rPr>
          <w:smallCaps/>
        </w:rPr>
        <w:t xml:space="preserve">things that are colored, smell, are hot or cold, and so on. </w:t>
      </w:r>
      <w:r w:rsidRPr="004E6355">
        <w:rPr>
          <w:smallCaps/>
        </w:rPr>
        <w:t>Here again he relies on clear and distinct ideas and God ensuring that clear and distinct ideas are true. This line of thought also allows him to resolve his doubt once and for all. We do not have to be afraid of being deceived—as long as we trust only our clear and distinct ideas.</w:t>
      </w:r>
    </w:p>
    <w:p w:rsidR="00344B19" w:rsidRPr="004E6355" w:rsidRDefault="00344B19" w:rsidP="00344B19">
      <w:pPr>
        <w:spacing w:after="0"/>
        <w:rPr>
          <w:smallCaps/>
        </w:rPr>
      </w:pPr>
    </w:p>
    <w:p w:rsidR="00344B19" w:rsidRPr="004E6355" w:rsidRDefault="00344B19" w:rsidP="00344B19">
      <w:pPr>
        <w:spacing w:after="0"/>
        <w:rPr>
          <w:smallCaps/>
        </w:rPr>
      </w:pPr>
    </w:p>
    <w:p w:rsidR="00344B19" w:rsidRPr="004E6355" w:rsidRDefault="00344B19" w:rsidP="00344B19">
      <w:pPr>
        <w:spacing w:after="0"/>
        <w:rPr>
          <w:b/>
          <w:smallCaps/>
        </w:rPr>
      </w:pPr>
      <w:r w:rsidRPr="004E6355">
        <w:rPr>
          <w:b/>
          <w:smallCaps/>
        </w:rPr>
        <w:t>Questions:</w:t>
      </w:r>
    </w:p>
    <w:p w:rsidR="00344B19" w:rsidRPr="004E6355" w:rsidRDefault="00344B19" w:rsidP="00344B19">
      <w:pPr>
        <w:spacing w:after="0"/>
        <w:rPr>
          <w:b/>
          <w:smallCaps/>
        </w:rPr>
      </w:pPr>
    </w:p>
    <w:p w:rsidR="00344B19" w:rsidRPr="004E6355" w:rsidRDefault="00344B19" w:rsidP="00344B19">
      <w:pPr>
        <w:spacing w:after="0"/>
        <w:jc w:val="both"/>
        <w:rPr>
          <w:smallCaps/>
        </w:rPr>
      </w:pPr>
      <w:r w:rsidRPr="004E6355">
        <w:rPr>
          <w:smallCaps/>
        </w:rPr>
        <w:t xml:space="preserve">1. </w:t>
      </w:r>
      <w:r>
        <w:rPr>
          <w:smallCaps/>
        </w:rPr>
        <w:t>What i</w:t>
      </w:r>
      <w:r w:rsidRPr="004E6355">
        <w:rPr>
          <w:smallCaps/>
        </w:rPr>
        <w:t>s a foundation of knowledge?</w:t>
      </w:r>
    </w:p>
    <w:p w:rsidR="00344B19" w:rsidRPr="004E6355" w:rsidRDefault="00344B19" w:rsidP="00344B19">
      <w:pPr>
        <w:spacing w:after="0"/>
        <w:jc w:val="both"/>
        <w:rPr>
          <w:smallCaps/>
        </w:rPr>
      </w:pPr>
      <w:r w:rsidRPr="004E6355">
        <w:rPr>
          <w:smallCaps/>
        </w:rPr>
        <w:t>2. Is it really true that dream experiences are just like awake experiences?</w:t>
      </w:r>
    </w:p>
    <w:p w:rsidR="00344B19" w:rsidRPr="004E6355" w:rsidRDefault="00344B19" w:rsidP="00344B19">
      <w:pPr>
        <w:spacing w:after="0"/>
        <w:jc w:val="both"/>
        <w:rPr>
          <w:smallCaps/>
        </w:rPr>
      </w:pPr>
      <w:r w:rsidRPr="004E6355">
        <w:rPr>
          <w:smallCaps/>
        </w:rPr>
        <w:t xml:space="preserve">4. How can Descartes be certain that thinking is transparent to itself? I.e. how can he know that he knows what is in his mind? </w:t>
      </w:r>
    </w:p>
    <w:p w:rsidR="00344B19" w:rsidRPr="004E6355" w:rsidRDefault="00344B19" w:rsidP="00344B19">
      <w:pPr>
        <w:spacing w:after="0"/>
        <w:jc w:val="both"/>
        <w:rPr>
          <w:smallCaps/>
        </w:rPr>
      </w:pPr>
      <w:r w:rsidRPr="004E6355">
        <w:rPr>
          <w:smallCaps/>
        </w:rPr>
        <w:t>5. How does the cogito work? Is it an argument? Is it an intuition?</w:t>
      </w:r>
    </w:p>
    <w:p w:rsidR="00344B19" w:rsidRPr="004E6355" w:rsidRDefault="00344B19" w:rsidP="00344B19">
      <w:pPr>
        <w:spacing w:after="0"/>
        <w:jc w:val="both"/>
        <w:rPr>
          <w:smallCaps/>
        </w:rPr>
      </w:pPr>
      <w:r w:rsidRPr="004E6355">
        <w:rPr>
          <w:smallCaps/>
        </w:rPr>
        <w:t>6. How does Descartes know that he’s a thinking thing – that his essence is thinking, and not having a body?</w:t>
      </w:r>
    </w:p>
    <w:p w:rsidR="00344B19" w:rsidRPr="004E6355" w:rsidRDefault="00344B19" w:rsidP="00344B19">
      <w:pPr>
        <w:spacing w:after="0"/>
        <w:jc w:val="both"/>
        <w:rPr>
          <w:smallCaps/>
        </w:rPr>
      </w:pPr>
      <w:r w:rsidRPr="004E6355">
        <w:rPr>
          <w:smallCaps/>
        </w:rPr>
        <w:t>7. What are clear and distinct ideas?</w:t>
      </w:r>
    </w:p>
    <w:p w:rsidR="00344B19" w:rsidRPr="004E6355" w:rsidRDefault="00344B19" w:rsidP="00344B19">
      <w:pPr>
        <w:spacing w:after="0"/>
        <w:rPr>
          <w:smallCaps/>
        </w:rPr>
      </w:pPr>
      <w:r w:rsidRPr="004E6355">
        <w:rPr>
          <w:smallCaps/>
        </w:rPr>
        <w:t>8. What can Descartes assume about the causes of his ideas?</w:t>
      </w:r>
    </w:p>
    <w:p w:rsidR="00344B19" w:rsidRPr="004E6355" w:rsidRDefault="00344B19" w:rsidP="00344B19">
      <w:pPr>
        <w:spacing w:after="0"/>
        <w:rPr>
          <w:smallCaps/>
        </w:rPr>
      </w:pPr>
      <w:r w:rsidRPr="004E6355">
        <w:rPr>
          <w:smallCaps/>
        </w:rPr>
        <w:t>9. Why is it that Descartes thinks he can be the author of all his ideas, but not his idea of God?</w:t>
      </w:r>
    </w:p>
    <w:p w:rsidR="00344B19" w:rsidRPr="004E6355" w:rsidRDefault="00344B19" w:rsidP="00344B19">
      <w:pPr>
        <w:spacing w:after="0"/>
        <w:rPr>
          <w:smallCaps/>
        </w:rPr>
      </w:pPr>
      <w:r w:rsidRPr="004E6355">
        <w:rPr>
          <w:smallCaps/>
        </w:rPr>
        <w:t>10. What is the source of our being mistaken about things?</w:t>
      </w:r>
    </w:p>
    <w:p w:rsidR="00344B19" w:rsidRPr="004E6355" w:rsidRDefault="00344B19" w:rsidP="00344B19">
      <w:pPr>
        <w:spacing w:after="0"/>
        <w:rPr>
          <w:smallCaps/>
        </w:rPr>
      </w:pPr>
      <w:r w:rsidRPr="004E6355">
        <w:rPr>
          <w:smallCaps/>
        </w:rPr>
        <w:t>11. how can we know that God is not a deceiver?</w:t>
      </w:r>
    </w:p>
    <w:p w:rsidR="00344B19" w:rsidRPr="004E6355" w:rsidRDefault="00344B19" w:rsidP="00344B19">
      <w:pPr>
        <w:spacing w:after="0"/>
        <w:rPr>
          <w:smallCaps/>
        </w:rPr>
      </w:pPr>
      <w:r w:rsidRPr="004E6355">
        <w:rPr>
          <w:smallCaps/>
        </w:rPr>
        <w:t>12. What is the difference between regarding something as an imperfection and as a negation? Why is the difference important?</w:t>
      </w:r>
    </w:p>
    <w:p w:rsidR="00344B19" w:rsidRPr="004E6355" w:rsidRDefault="00344B19" w:rsidP="00344B19">
      <w:pPr>
        <w:spacing w:after="0"/>
        <w:rPr>
          <w:smallCaps/>
        </w:rPr>
      </w:pPr>
      <w:r w:rsidRPr="004E6355">
        <w:rPr>
          <w:smallCaps/>
        </w:rPr>
        <w:t>13. What is Descartes’ argument for the existence of God in Meditation 5?</w:t>
      </w:r>
    </w:p>
    <w:p w:rsidR="00344B19" w:rsidRPr="004E6355" w:rsidRDefault="00344B19" w:rsidP="00344B19">
      <w:pPr>
        <w:spacing w:after="0"/>
        <w:rPr>
          <w:smallCaps/>
        </w:rPr>
      </w:pPr>
      <w:r w:rsidRPr="004E6355">
        <w:rPr>
          <w:smallCaps/>
        </w:rPr>
        <w:t>14. Why is the essence of God inseparable from his existence?</w:t>
      </w:r>
    </w:p>
    <w:p w:rsidR="00344B19" w:rsidRPr="004E6355" w:rsidRDefault="00344B19" w:rsidP="00344B19">
      <w:pPr>
        <w:spacing w:after="0"/>
        <w:rPr>
          <w:smallCaps/>
        </w:rPr>
      </w:pPr>
      <w:r w:rsidRPr="004E6355">
        <w:rPr>
          <w:smallCaps/>
        </w:rPr>
        <w:t>15. To what extent is Descartes relying on the truth of clear and distinct ideas to prove the existence of God? Is this a problem?</w:t>
      </w:r>
    </w:p>
    <w:p w:rsidR="00344B19" w:rsidRPr="004E6355" w:rsidRDefault="00344B19" w:rsidP="00344B19">
      <w:pPr>
        <w:spacing w:after="0"/>
        <w:rPr>
          <w:smallCaps/>
        </w:rPr>
      </w:pPr>
      <w:r w:rsidRPr="004E6355">
        <w:rPr>
          <w:smallCaps/>
        </w:rPr>
        <w:t>16. Why is proving the existence of God so important to Descartes at this point in the Meditation? Why can’t he first prove the existence of material objects and all the other things that seem more evident, then worry about the existence of God?</w:t>
      </w:r>
    </w:p>
    <w:p w:rsidR="00344B19" w:rsidRPr="004E6355" w:rsidRDefault="00344B19" w:rsidP="00344B19">
      <w:pPr>
        <w:spacing w:after="0"/>
        <w:rPr>
          <w:smallCaps/>
        </w:rPr>
      </w:pPr>
      <w:r w:rsidRPr="004E6355">
        <w:rPr>
          <w:smallCaps/>
        </w:rPr>
        <w:t>17. What is the essence of physical objects, and how does Descartes prove this?</w:t>
      </w:r>
    </w:p>
    <w:p w:rsidR="00344B19" w:rsidRPr="004E6355" w:rsidRDefault="00344B19" w:rsidP="00344B19">
      <w:pPr>
        <w:spacing w:after="0"/>
        <w:rPr>
          <w:smallCaps/>
        </w:rPr>
      </w:pPr>
      <w:r w:rsidRPr="004E6355">
        <w:rPr>
          <w:smallCaps/>
        </w:rPr>
        <w:t xml:space="preserve">18. What is Descartes’ argument for the existence of material things? </w:t>
      </w:r>
    </w:p>
    <w:p w:rsidR="00344B19" w:rsidRPr="004E6355" w:rsidRDefault="00344B19" w:rsidP="00344B19">
      <w:pPr>
        <w:pBdr>
          <w:bottom w:val="single" w:sz="12" w:space="1" w:color="auto"/>
        </w:pBdr>
        <w:spacing w:after="0"/>
        <w:rPr>
          <w:smallCaps/>
        </w:rPr>
      </w:pPr>
      <w:r w:rsidRPr="004E6355">
        <w:rPr>
          <w:smallCaps/>
        </w:rPr>
        <w:lastRenderedPageBreak/>
        <w:t xml:space="preserve">19. When Descartes has shown the existence of material objects, has he shown that the things you and I think exist, exist? </w:t>
      </w:r>
    </w:p>
    <w:p w:rsidR="00344B19" w:rsidRPr="004E6355" w:rsidRDefault="00344B19" w:rsidP="00344B19">
      <w:pPr>
        <w:spacing w:after="0"/>
        <w:rPr>
          <w:b/>
          <w:smallCaps/>
        </w:rPr>
      </w:pPr>
      <w:r>
        <w:rPr>
          <w:b/>
          <w:smallCaps/>
        </w:rPr>
        <w:br/>
      </w:r>
    </w:p>
    <w:p w:rsidR="00344B19" w:rsidRPr="004E6355" w:rsidRDefault="00344B19" w:rsidP="00344B19">
      <w:pPr>
        <w:spacing w:after="0"/>
        <w:rPr>
          <w:b/>
          <w:smallCaps/>
        </w:rPr>
      </w:pPr>
      <w:r w:rsidRPr="004E6355">
        <w:rPr>
          <w:b/>
          <w:smallCaps/>
        </w:rPr>
        <w:t>Intuitions</w:t>
      </w:r>
    </w:p>
    <w:p w:rsidR="00344B19" w:rsidRDefault="00344B19" w:rsidP="00344B19">
      <w:pPr>
        <w:spacing w:after="240"/>
        <w:rPr>
          <w:smallCaps/>
        </w:rPr>
      </w:pPr>
      <w:r w:rsidRPr="004E6355">
        <w:rPr>
          <w:smallCaps/>
        </w:rPr>
        <w:t>In the next section of the course, we were looking at intuitions. We were considering Stich’s critique of ‘Plato’s Method’, and we saw the method in action in Philippa Foot’s paper, Greene et al.’s experiments, and were exposed to further criticisms of the idea in Stich &amp; Buckwalter.</w:t>
      </w:r>
    </w:p>
    <w:p w:rsidR="00344B19" w:rsidRDefault="00344B19" w:rsidP="00344B19">
      <w:pPr>
        <w:spacing w:after="240"/>
        <w:rPr>
          <w:smallCaps/>
        </w:rPr>
      </w:pPr>
      <w:r>
        <w:rPr>
          <w:smallCaps/>
        </w:rPr>
        <w:t>‘Plato’s Method’ is to Expose our theories about thing to our intuitions about what would follow, were those theories true. For instance, let us assume that justice is returning to others what they have lent us. Let us imagine this is true. If so, if my friend has lent me his sword and wants it returned to him, I should return it to him. However, he might have gone crazy and started talking about killing others or himself. Should I still return the sword to him? Well, my gut tells me ‘no’. However, I cannot both think that justice requires that we return what we have borrowed to others and that we should not return to others what we have borrowed. So something must give. In the example in question, Socrates suggests that there is something wrong with the theory of justice. So we now need to revise this theory to bring it into equilibrium with our intuitions about specific cases involving justice.</w:t>
      </w:r>
    </w:p>
    <w:p w:rsidR="00344B19" w:rsidRPr="00476282" w:rsidRDefault="00344B19" w:rsidP="00344B19">
      <w:pPr>
        <w:spacing w:after="240"/>
        <w:rPr>
          <w:smallCaps/>
        </w:rPr>
      </w:pPr>
      <w:r>
        <w:rPr>
          <w:smallCaps/>
        </w:rPr>
        <w:t xml:space="preserve">This method still holds sway in much philosophy, Stich claims. He is thinking about philosophy about normative claims, i.e. claims concerning knowledge and ethics (though possibly also aesthetics). In the theory of knowledge, he gives the example of Edmund Gettier whose article we also discussed in class. Gettier’s article is a great example of a modern application of Plato’s method. The reasoning goes something like this. What is knowledge? Knowledge is justified true belief. Ok, let’s assume we believe Deirdre drives an American car because we’ve seen her driving a Ford to campus a couple of times. However, unbeknownst to us she has traded her Ford in for a Chevrolet. So she does, in fact, drive an American car. Our belief is therefore true </w:t>
      </w:r>
      <w:r>
        <w:rPr>
          <w:i/>
          <w:smallCaps/>
        </w:rPr>
        <w:t>and</w:t>
      </w:r>
      <w:r>
        <w:rPr>
          <w:smallCaps/>
        </w:rPr>
        <w:t xml:space="preserve"> justified. But is it knowledge? Our intuitions say ‘no’ (Gettier claims). Therefore, there is something wrong with the view that knowledge is true justified belief. </w:t>
      </w:r>
    </w:p>
    <w:p w:rsidR="00344B19" w:rsidRDefault="00344B19" w:rsidP="00344B19">
      <w:pPr>
        <w:spacing w:after="240"/>
        <w:rPr>
          <w:smallCaps/>
        </w:rPr>
      </w:pPr>
      <w:r>
        <w:rPr>
          <w:smallCaps/>
        </w:rPr>
        <w:t xml:space="preserve">Stich doubts the value of this approach. He doubts it because he doubts the value of intuitions. Plato thought that we were born with knowledge of the forms. In simple modern language, Plato thought we were born with knowledge of the truth pertaining to the deeper reality of things, including moral and political reality. Before we were born into our current form, we existed with the forms. however, by being born as human beings, we forget the true nature of reality, which the forms exemplify. However, we can come to remember these truths with a little help. This is what Socrates takes himself as providing—he calls himself a midwife. By means of the dialectical method—the practice of question-and-answer that is typical of the Platonic dialogue—we can bring out our knowledge of the form. This is the doctrine of </w:t>
      </w:r>
      <w:r>
        <w:rPr>
          <w:i/>
          <w:smallCaps/>
        </w:rPr>
        <w:t xml:space="preserve">anamnesis, </w:t>
      </w:r>
      <w:r>
        <w:rPr>
          <w:smallCaps/>
        </w:rPr>
        <w:t xml:space="preserve">the idea that all knowledge is recollection (remembering). Because there are only the one forms, as it were, and because we are all reborn souls who have knowledge of those forms, our intuitions about such forms can be trusted. There is no real possibility of disagreement here. Our intuitions are trustworthy because it is not seriously considered that they might differ. If they seem to, we try harder (perhaps we are more careful only to </w:t>
      </w:r>
      <w:r>
        <w:rPr>
          <w:smallCaps/>
        </w:rPr>
        <w:lastRenderedPageBreak/>
        <w:t>trust the really good one—the clear and distinct ones?). But, Stich claims, nobody believes in anamnesis anymore. If so, why should we trust our intuitions?</w:t>
      </w:r>
    </w:p>
    <w:p w:rsidR="00344B19" w:rsidRDefault="00344B19" w:rsidP="00344B19">
      <w:pPr>
        <w:spacing w:after="240"/>
        <w:rPr>
          <w:smallCaps/>
        </w:rPr>
      </w:pPr>
      <w:r>
        <w:rPr>
          <w:smallCaps/>
        </w:rPr>
        <w:t>Stich claims that Plato’s Method seems fishy to him because he can conceive of there being people whose intuitions differ from ours. If there are, whose intuitions are we to trust? Ironically, Stich seems to be using Plato’s Method here—we have a theory about counts as good philosophical theorizing, we expose it to our intuitions, and then the problem arises… Fortunately, empirical evidence suggests that there actually are substantial differences in people’s intuitions about a range of things. If this is true, then Stich’s worry is a reality, as it were.</w:t>
      </w:r>
    </w:p>
    <w:p w:rsidR="00344B19" w:rsidRDefault="00344B19" w:rsidP="00344B19">
      <w:pPr>
        <w:spacing w:after="240"/>
        <w:rPr>
          <w:smallCaps/>
        </w:rPr>
      </w:pPr>
      <w:r>
        <w:rPr>
          <w:smallCaps/>
        </w:rPr>
        <w:t>Take the Gettier case. In an experiment conducted by Stich and colleagues (Nichols, Stich &amp; Weinberg 2003), they found that Western subject overwhelmingly agree with Gettier that we only have true belief, but not knowledge, that Deirdre drives an American car (74%). By contrast, East Asians were less likely to agree with Gettier (57%), as were South Asians (61%). [Beware, however, of the statistical significance of those numbers] These are certainly differences, and they are differences that Stich finds worrisome. It also turns out that intuitions about what counts as knowledge vary according to your socio-economic status. Those with higher SES are more likely to have stricter demands on what counts as knowledge, than those of lower SES. (And in another reading, Stich also argues that women and men have different intuitions) Who are we to trust when intuitions differ?</w:t>
      </w:r>
    </w:p>
    <w:p w:rsidR="00344B19" w:rsidRDefault="00344B19" w:rsidP="00344B19">
      <w:pPr>
        <w:spacing w:after="240"/>
        <w:rPr>
          <w:smallCaps/>
        </w:rPr>
      </w:pPr>
      <w:r>
        <w:rPr>
          <w:smallCaps/>
        </w:rPr>
        <w:t xml:space="preserve">We have two options. Either we assume that high SES and Westerners, perhaps, have the intuitions that we should trust. It’s pretty obvious why this is problematic. Or we can reject Plato’s Method as a useful way of settling normative issues. Stich opts for the latter. </w:t>
      </w:r>
    </w:p>
    <w:p w:rsidR="00344B19" w:rsidRDefault="00344B19" w:rsidP="00344B19">
      <w:pPr>
        <w:spacing w:after="240"/>
        <w:rPr>
          <w:b/>
          <w:smallCaps/>
        </w:rPr>
      </w:pPr>
      <w:r>
        <w:rPr>
          <w:b/>
          <w:smallCaps/>
        </w:rPr>
        <w:t>Questions:</w:t>
      </w:r>
    </w:p>
    <w:p w:rsidR="00344B19" w:rsidRDefault="00344B19" w:rsidP="00344B19">
      <w:pPr>
        <w:spacing w:after="0"/>
        <w:rPr>
          <w:smallCaps/>
        </w:rPr>
      </w:pPr>
      <w:r>
        <w:rPr>
          <w:smallCaps/>
        </w:rPr>
        <w:t>1. What is Plato’s Method? Give examples.</w:t>
      </w:r>
    </w:p>
    <w:p w:rsidR="00344B19" w:rsidRDefault="00344B19" w:rsidP="00344B19">
      <w:pPr>
        <w:spacing w:after="0"/>
        <w:rPr>
          <w:smallCaps/>
        </w:rPr>
      </w:pPr>
      <w:r>
        <w:rPr>
          <w:smallCaps/>
        </w:rPr>
        <w:t>2. What is the problem, according to Stich, with Plato’s Method?</w:t>
      </w:r>
    </w:p>
    <w:p w:rsidR="00344B19" w:rsidRDefault="00344B19" w:rsidP="00344B19">
      <w:pPr>
        <w:spacing w:after="0"/>
        <w:rPr>
          <w:smallCaps/>
        </w:rPr>
      </w:pPr>
      <w:r>
        <w:rPr>
          <w:smallCaps/>
        </w:rPr>
        <w:t>3. Does Stich’s critique affect all areas of philosophy?</w:t>
      </w:r>
    </w:p>
    <w:p w:rsidR="00344B19" w:rsidRDefault="00344B19" w:rsidP="00344B19">
      <w:pPr>
        <w:spacing w:after="0"/>
        <w:rPr>
          <w:smallCaps/>
        </w:rPr>
      </w:pPr>
      <w:r>
        <w:rPr>
          <w:smallCaps/>
        </w:rPr>
        <w:t>4. Stich find that only appox. 59% of Asians (East &amp; South) have Gettier style intuitions whereas 74% of Westerners have such intuitions. It is still true, however, that most of both groups have Gettier style intuitions. So what is the problem?</w:t>
      </w:r>
    </w:p>
    <w:p w:rsidR="00344B19" w:rsidRDefault="00344B19" w:rsidP="00344B19">
      <w:pPr>
        <w:spacing w:after="0"/>
        <w:rPr>
          <w:smallCaps/>
        </w:rPr>
      </w:pPr>
      <w:r>
        <w:rPr>
          <w:smallCaps/>
        </w:rPr>
        <w:t xml:space="preserve">5. Why is it important to Stich to point out that philosophers no longer believe in </w:t>
      </w:r>
      <w:r>
        <w:rPr>
          <w:i/>
          <w:smallCaps/>
        </w:rPr>
        <w:t>anamnesis</w:t>
      </w:r>
      <w:r>
        <w:rPr>
          <w:smallCaps/>
        </w:rPr>
        <w:t>, Plato’s theory of recollection?</w:t>
      </w:r>
    </w:p>
    <w:p w:rsidR="00344B19" w:rsidRDefault="00344B19" w:rsidP="00344B19">
      <w:pPr>
        <w:spacing w:after="0"/>
        <w:rPr>
          <w:smallCaps/>
        </w:rPr>
      </w:pPr>
      <w:r>
        <w:rPr>
          <w:smallCaps/>
        </w:rPr>
        <w:t>6. What is a Gettier case and what does it purport to show?</w:t>
      </w:r>
    </w:p>
    <w:p w:rsidR="00344B19" w:rsidRDefault="00344B19" w:rsidP="00344B19">
      <w:pPr>
        <w:pBdr>
          <w:bottom w:val="single" w:sz="12" w:space="1" w:color="auto"/>
        </w:pBdr>
        <w:spacing w:after="0"/>
        <w:rPr>
          <w:smallCaps/>
        </w:rPr>
      </w:pPr>
    </w:p>
    <w:p w:rsidR="00344B19" w:rsidRDefault="00344B19" w:rsidP="00344B19">
      <w:pPr>
        <w:spacing w:after="0"/>
        <w:rPr>
          <w:smallCaps/>
        </w:rPr>
      </w:pPr>
    </w:p>
    <w:p w:rsidR="00344B19" w:rsidRPr="00AA304C" w:rsidRDefault="00344B19" w:rsidP="00344B19">
      <w:pPr>
        <w:spacing w:after="0"/>
        <w:rPr>
          <w:b/>
          <w:smallCaps/>
        </w:rPr>
      </w:pPr>
      <w:r>
        <w:rPr>
          <w:b/>
          <w:smallCaps/>
        </w:rPr>
        <w:t>The Doctrine of Double Effect, Trolley cases &amp; Intuitions</w:t>
      </w:r>
    </w:p>
    <w:p w:rsidR="00344B19" w:rsidRDefault="00344B19" w:rsidP="00344B19">
      <w:pPr>
        <w:spacing w:after="0"/>
        <w:rPr>
          <w:smallCaps/>
        </w:rPr>
      </w:pPr>
    </w:p>
    <w:p w:rsidR="00344B19" w:rsidRDefault="00344B19" w:rsidP="00344B19">
      <w:pPr>
        <w:spacing w:after="0"/>
        <w:rPr>
          <w:smallCaps/>
        </w:rPr>
      </w:pPr>
      <w:r>
        <w:rPr>
          <w:smallCaps/>
        </w:rPr>
        <w:t xml:space="preserve">In her Paper, </w:t>
      </w:r>
      <w:r w:rsidRPr="00CD4F97">
        <w:rPr>
          <w:b/>
          <w:smallCaps/>
        </w:rPr>
        <w:t>Philippa Foot</w:t>
      </w:r>
      <w:r>
        <w:rPr>
          <w:smallCaps/>
        </w:rPr>
        <w:t xml:space="preserve"> is concerned with the Doctrine of Double Effect, and the way in which it can be used in arguments about the permissibility of abortion. The Doctrine of Double Effect holds that it is sometimes permissible to bring about by oblique intention that which one is not permitted to bring about by direct intention. Put differently, under certain circumstances it is alright to perform an action that leads to certain consequences that one foresees, but does not directly intend, even if </w:t>
      </w:r>
      <w:r>
        <w:rPr>
          <w:smallCaps/>
        </w:rPr>
        <w:lastRenderedPageBreak/>
        <w:t xml:space="preserve">it is not permitted to intend to bring about those very same consequences. For instance, It is permissible to kill someone in self-defense because what one intends is to defend oneself and one does not intend to kill the assailant even if one foresees that he/she might die as a result of such self-defense.  </w:t>
      </w:r>
    </w:p>
    <w:p w:rsidR="00344B19" w:rsidRDefault="00344B19" w:rsidP="00344B19">
      <w:pPr>
        <w:spacing w:after="0"/>
        <w:rPr>
          <w:smallCaps/>
        </w:rPr>
      </w:pPr>
    </w:p>
    <w:p w:rsidR="00344B19" w:rsidRDefault="00344B19" w:rsidP="00344B19">
      <w:pPr>
        <w:spacing w:after="0"/>
        <w:rPr>
          <w:smallCaps/>
        </w:rPr>
      </w:pPr>
      <w:r>
        <w:rPr>
          <w:smallCaps/>
        </w:rPr>
        <w:t xml:space="preserve">The Doctrine of Double Effect is useful in arguing against certain utilitarian conclusions. In fact, some might think it is the only way of arguing against such conclusions. Here is the problem. We think that it is acceptable to withold a drug in short supply to a person who needs a lot of it if we can save the lives of five people with the same amount that it would take to save her, even if she dies as a result of not receiving the drug. But can we not apply the same considerations to the case of killing one innocent person in order to use her organs to save five—also innocent—people? The consequences are the same, it would seem. However, most people find such an idea abhorrent. Here the Doctrine of Double Effect can save the day. In the first instance, we intend to save the five and foresee that by doing so, the one dies. The means to our end of saving the five is to give them the drug, which is equivalent to withholding the drug from the one person. But though her death is foreseable, it is not intended. But in the organ transplant case, we must intend to kill the innocent person, because harvesting her organs is the means to our end of saving the five. </w:t>
      </w:r>
    </w:p>
    <w:p w:rsidR="00344B19" w:rsidRDefault="00344B19" w:rsidP="00344B19">
      <w:pPr>
        <w:spacing w:after="0"/>
        <w:rPr>
          <w:smallCaps/>
        </w:rPr>
      </w:pPr>
    </w:p>
    <w:p w:rsidR="00344B19" w:rsidRDefault="00344B19" w:rsidP="00344B19">
      <w:pPr>
        <w:spacing w:after="0"/>
        <w:rPr>
          <w:smallCaps/>
        </w:rPr>
      </w:pPr>
      <w:r>
        <w:rPr>
          <w:smallCaps/>
        </w:rPr>
        <w:t xml:space="preserve">Jungle case—We also talked about an example from </w:t>
      </w:r>
      <w:r w:rsidRPr="00CD4F97">
        <w:rPr>
          <w:b/>
          <w:smallCaps/>
        </w:rPr>
        <w:t>Bernard Williams</w:t>
      </w:r>
      <w:r>
        <w:rPr>
          <w:smallCaps/>
        </w:rPr>
        <w:t xml:space="preserve"> about a man hiking in the jungle coming upon a village where the natives are being held hostage by nazis. The nazis give him a choice: shoot one man and everybody will go free, or we will kill everybody. Williams point was that there would be nothing wrong about refusing to kill someone because you adhere to norms that prohibit you from killing. True, you could save the many by killing the one, but what should not be ignored is that in killing the one </w:t>
      </w:r>
      <w:r>
        <w:rPr>
          <w:i/>
          <w:smallCaps/>
        </w:rPr>
        <w:t>you</w:t>
      </w:r>
      <w:r>
        <w:rPr>
          <w:smallCaps/>
        </w:rPr>
        <w:t xml:space="preserve"> are killing a person, whereas in refusing to kill the one, the </w:t>
      </w:r>
      <w:r w:rsidRPr="006C2D5E">
        <w:rPr>
          <w:i/>
          <w:smallCaps/>
        </w:rPr>
        <w:t>nazis</w:t>
      </w:r>
      <w:r>
        <w:rPr>
          <w:smallCaps/>
        </w:rPr>
        <w:t xml:space="preserve"> will kill many people. Morality is not just about optimizing wellbeing and reducing suffering, it is also about </w:t>
      </w:r>
      <w:r>
        <w:rPr>
          <w:i/>
          <w:smallCaps/>
        </w:rPr>
        <w:t>you</w:t>
      </w:r>
      <w:r>
        <w:rPr>
          <w:smallCaps/>
        </w:rPr>
        <w:t xml:space="preserve"> adopting certain norms and living in accordance with them. After all morality is about how we should act, which means that </w:t>
      </w:r>
      <w:r>
        <w:rPr>
          <w:i/>
          <w:smallCaps/>
        </w:rPr>
        <w:t xml:space="preserve">someone </w:t>
      </w:r>
      <w:r>
        <w:rPr>
          <w:smallCaps/>
        </w:rPr>
        <w:t>has to act. If you get pressurized into killing the one to save the many, you may lose your integrity. [Williams does not actually use this as an argument against utilitarianism; he uses it as an argument to highlight the importance of integrity in morality.]</w:t>
      </w:r>
    </w:p>
    <w:p w:rsidR="00344B19" w:rsidRDefault="00344B19" w:rsidP="00344B19">
      <w:pPr>
        <w:spacing w:after="0"/>
        <w:rPr>
          <w:smallCaps/>
        </w:rPr>
      </w:pPr>
    </w:p>
    <w:p w:rsidR="00344B19" w:rsidRDefault="00344B19" w:rsidP="00344B19">
      <w:pPr>
        <w:spacing w:after="0"/>
        <w:rPr>
          <w:smallCaps/>
        </w:rPr>
      </w:pPr>
      <w:r>
        <w:rPr>
          <w:smallCaps/>
        </w:rPr>
        <w:t xml:space="preserve">Foot says that one effective way to defend refusing to kill the one to save the many is, again, to use the Doctrine of Double Effect. In Williams’ jungle case, the Doctrine tells us </w:t>
      </w:r>
      <w:r>
        <w:rPr>
          <w:i/>
          <w:smallCaps/>
        </w:rPr>
        <w:t>not</w:t>
      </w:r>
      <w:r>
        <w:rPr>
          <w:smallCaps/>
        </w:rPr>
        <w:t xml:space="preserve"> to kill the one to save the many. The reason is that since killing the one is the means to saving the many, there is no plausible scenario in which we do not intend to kill the one, and so the killing of the one is not </w:t>
      </w:r>
      <w:r>
        <w:rPr>
          <w:i/>
          <w:smallCaps/>
        </w:rPr>
        <w:t>obliquely</w:t>
      </w:r>
      <w:r>
        <w:rPr>
          <w:smallCaps/>
        </w:rPr>
        <w:t xml:space="preserve"> intended. In other words, it is not merely a foreseen consequence, but an intended means to an end. Notice that this use of the Doctrine of Double Effect militates </w:t>
      </w:r>
      <w:r>
        <w:rPr>
          <w:i/>
          <w:smallCaps/>
        </w:rPr>
        <w:t>against</w:t>
      </w:r>
      <w:r>
        <w:rPr>
          <w:smallCaps/>
        </w:rPr>
        <w:t xml:space="preserve"> the utilitarian conclusion. In effect, it specifies that we are not permitted to save the many by killing the one in this particular case (</w:t>
      </w:r>
      <w:r>
        <w:rPr>
          <w:i/>
          <w:smallCaps/>
        </w:rPr>
        <w:t>contra</w:t>
      </w:r>
      <w:r>
        <w:rPr>
          <w:smallCaps/>
        </w:rPr>
        <w:t xml:space="preserve"> Williams). </w:t>
      </w:r>
    </w:p>
    <w:p w:rsidR="00344B19" w:rsidRDefault="00344B19" w:rsidP="00344B19">
      <w:pPr>
        <w:spacing w:after="0"/>
        <w:rPr>
          <w:smallCaps/>
        </w:rPr>
      </w:pPr>
    </w:p>
    <w:p w:rsidR="00344B19" w:rsidRDefault="00344B19" w:rsidP="00344B19">
      <w:pPr>
        <w:spacing w:after="0"/>
        <w:rPr>
          <w:smallCaps/>
        </w:rPr>
      </w:pPr>
      <w:r>
        <w:rPr>
          <w:smallCaps/>
        </w:rPr>
        <w:t xml:space="preserve">Foot herself goes on to suggest an alternative to the Doctrine of Double Effect. She suggests that we can rely on the concepts of positive and negative duties to do the work that DDE does. Negative duties are duties we have </w:t>
      </w:r>
      <w:r>
        <w:rPr>
          <w:i/>
          <w:smallCaps/>
        </w:rPr>
        <w:t>not</w:t>
      </w:r>
      <w:r>
        <w:rPr>
          <w:smallCaps/>
        </w:rPr>
        <w:t xml:space="preserve"> to do certain things (morality is typically primarily about what we should </w:t>
      </w:r>
      <w:r>
        <w:rPr>
          <w:i/>
          <w:smallCaps/>
        </w:rPr>
        <w:t>not</w:t>
      </w:r>
      <w:r>
        <w:rPr>
          <w:smallCaps/>
        </w:rPr>
        <w:t xml:space="preserve"> do; compare 10 commandments (8 negative). Positive duties are usually duties to provide </w:t>
      </w:r>
      <w:r>
        <w:rPr>
          <w:smallCaps/>
        </w:rPr>
        <w:lastRenderedPageBreak/>
        <w:t xml:space="preserve">aid. Generally, negative duties (e.g. not to kill) are weighed heavier than positive duties (e.g. food provisioning). When there is a conflict between a negative duty not to kill or harm and a positive one of providing aid, the negative one will typically win out. (Though one wonders whether this will remain true as one cranks up the numbers of people one could aid by one killing…) This theorizing can take care of Jungle-type cases in the following way. We are asked to flout a negative duty in order to perform a positive duty but, generally speaking, a negative duty trumps a positive one particularly if the negative duty is not to kill and the positive one is to provide aid. </w:t>
      </w:r>
    </w:p>
    <w:p w:rsidR="00344B19" w:rsidRDefault="00344B19" w:rsidP="00344B19">
      <w:pPr>
        <w:spacing w:after="0"/>
        <w:rPr>
          <w:smallCaps/>
        </w:rPr>
      </w:pPr>
    </w:p>
    <w:p w:rsidR="00344B19" w:rsidRDefault="00344B19" w:rsidP="00344B19">
      <w:pPr>
        <w:spacing w:after="0"/>
        <w:rPr>
          <w:smallCaps/>
        </w:rPr>
      </w:pPr>
      <w:r>
        <w:rPr>
          <w:smallCaps/>
        </w:rPr>
        <w:t xml:space="preserve">Foot originated much of the talk about trolleys as a way of exploring our moral intuitions. In the last decade or so, research into people’s intuitions about trolley cases has taken off. </w:t>
      </w:r>
      <w:r>
        <w:rPr>
          <w:b/>
          <w:smallCaps/>
        </w:rPr>
        <w:t>Joshua Greene</w:t>
      </w:r>
      <w:r>
        <w:rPr>
          <w:smallCaps/>
        </w:rPr>
        <w:t xml:space="preserve">, in particular, has conducted much research in this area. He is interesting in what types of mechanisms underlie our moral intuitions. Like Stich, he is not inclined to put too much credence in our intuitions, though his approach is different. Instead of raising doubts, in general, about the use of intutions in normative research, he explores the principles that most likely underlie our moral intuitions and then consider whether or not they are good ones and, consequently, the extent to which they should be trusted, if trusted at all, when we try to decide moral matters. </w:t>
      </w:r>
    </w:p>
    <w:p w:rsidR="00344B19" w:rsidRDefault="00344B19" w:rsidP="00344B19">
      <w:pPr>
        <w:spacing w:after="0"/>
        <w:rPr>
          <w:smallCaps/>
        </w:rPr>
      </w:pPr>
    </w:p>
    <w:p w:rsidR="00344B19" w:rsidRDefault="00344B19" w:rsidP="00344B19">
      <w:pPr>
        <w:spacing w:after="0"/>
        <w:rPr>
          <w:smallCaps/>
        </w:rPr>
      </w:pPr>
      <w:r>
        <w:rPr>
          <w:smallCaps/>
        </w:rPr>
        <w:t xml:space="preserve">In “Pushing Moral Buttons”, Greene et al. suggest that two principles underlie typical judgments in trolley cases: the Doctrine of Double Effect and the Principle of Personal Force. But there seems to be an interesting interaction between the two that does not quite fit with the typical philosophical reliance on the DDE. So in the trolley loop case, there is no statistically significant difference between subjects’ responses to the simple loop scenario and the loop-obstable scenario. But in the loop case, the subject is used as a means to the end of stopping the trolley so we can save the many (five). We therefore plausibly intend the death of this person, thus violating DDE. In the loop-weight scenario, however, we intend to use the weight </w:t>
      </w:r>
      <w:r>
        <w:rPr>
          <w:i/>
          <w:smallCaps/>
        </w:rPr>
        <w:t>behind</w:t>
      </w:r>
      <w:r>
        <w:rPr>
          <w:smallCaps/>
        </w:rPr>
        <w:t xml:space="preserve"> the subject as means to our end of stopping the trollye/saving the five. the death of the person in front of the weight is merely a foreseen, not intended effect. Therefore, if people’s intuitions actually did accord with, or were produced by acceptance of, DDE, they should judge the loop scenario as much less acceptable than the loop-weight scenario. But they do not. So, the experiment suggests that DDE plays a much more limited role in our moral intuitions than we are sometimes led to believe. (A similar conclusion is suggested by Foot, though her reasons are different.)</w:t>
      </w:r>
    </w:p>
    <w:p w:rsidR="00344B19" w:rsidRDefault="00344B19" w:rsidP="00344B19">
      <w:pPr>
        <w:spacing w:after="0"/>
        <w:rPr>
          <w:smallCaps/>
        </w:rPr>
      </w:pPr>
    </w:p>
    <w:p w:rsidR="00344B19" w:rsidRDefault="00344B19" w:rsidP="00344B19">
      <w:pPr>
        <w:spacing w:after="0"/>
        <w:rPr>
          <w:smallCaps/>
        </w:rPr>
      </w:pPr>
      <w:r>
        <w:rPr>
          <w:smallCaps/>
        </w:rPr>
        <w:t>Where DDE seems to play a significant role is when it is paired with PPF. So, in the obstacle push/obstacle collide scenarios, it seems that applying personal force in the demise of the person in the footbridge is judged to be siginificantly more problematic when doing so is a means to the end of saving the five than when it is a foreseen, but not intended, side-effect of saving the five. So DDE seems to play a role, but only in PF cases. However, it does not seem to be morally relevant how we cause the death of someone, i.e. whether we push a lever that causes them to fall in front of a trolley and be killed or whether we push them with our arms to their certain death. Thus, what I have called the principle of personal force (PPF) is morally irrelevant. However, if PF is morally irrelevant what are we to make of our intuitions in the trolley cases? How can they guide our moral theorizing? How can they help us make the right decisions about what to allow and what to forbid? (Greene ultimately wants to suggest that we should not trust them; in part because he subscribes to utilitarianism.)</w:t>
      </w:r>
    </w:p>
    <w:p w:rsidR="00344B19" w:rsidRDefault="00344B19" w:rsidP="00344B19">
      <w:pPr>
        <w:spacing w:after="0"/>
        <w:rPr>
          <w:smallCaps/>
        </w:rPr>
      </w:pPr>
    </w:p>
    <w:p w:rsidR="00344B19" w:rsidRDefault="00344B19" w:rsidP="00344B19">
      <w:pPr>
        <w:spacing w:after="0"/>
        <w:rPr>
          <w:smallCaps/>
        </w:rPr>
      </w:pPr>
      <w:r>
        <w:rPr>
          <w:b/>
          <w:smallCaps/>
        </w:rPr>
        <w:t>Questions:</w:t>
      </w:r>
    </w:p>
    <w:p w:rsidR="00344B19" w:rsidRDefault="00344B19" w:rsidP="00344B19">
      <w:pPr>
        <w:spacing w:after="0"/>
        <w:rPr>
          <w:smallCaps/>
        </w:rPr>
      </w:pPr>
      <w:r>
        <w:rPr>
          <w:smallCaps/>
        </w:rPr>
        <w:t>1. What is the Doctrine of Double Effect?</w:t>
      </w:r>
    </w:p>
    <w:p w:rsidR="00344B19" w:rsidRDefault="00344B19" w:rsidP="00344B19">
      <w:pPr>
        <w:spacing w:after="0"/>
        <w:rPr>
          <w:smallCaps/>
        </w:rPr>
      </w:pPr>
      <w:r>
        <w:rPr>
          <w:smallCaps/>
        </w:rPr>
        <w:t>2. In the case of abortion, what types of things with the Doctrine of Double Effect allow you to do to save the mother, and what types of actions are impermissible, and why? (One example of each is sufficient)</w:t>
      </w:r>
    </w:p>
    <w:p w:rsidR="00344B19" w:rsidRDefault="00344B19" w:rsidP="00344B19">
      <w:pPr>
        <w:spacing w:after="0"/>
        <w:rPr>
          <w:smallCaps/>
        </w:rPr>
      </w:pPr>
      <w:r>
        <w:rPr>
          <w:smallCaps/>
        </w:rPr>
        <w:t>3. What are negative and positive duties and what job does Foot want those concepts to do in moral theorizing?</w:t>
      </w:r>
    </w:p>
    <w:p w:rsidR="00344B19" w:rsidRDefault="00344B19" w:rsidP="00344B19">
      <w:pPr>
        <w:spacing w:after="0"/>
        <w:rPr>
          <w:smallCaps/>
        </w:rPr>
      </w:pPr>
      <w:r>
        <w:rPr>
          <w:smallCaps/>
        </w:rPr>
        <w:t>4. Why are trolley cases used in moral theorizing?</w:t>
      </w:r>
    </w:p>
    <w:p w:rsidR="00344B19" w:rsidRDefault="00344B19" w:rsidP="00344B19">
      <w:pPr>
        <w:spacing w:after="0"/>
        <w:rPr>
          <w:smallCaps/>
        </w:rPr>
      </w:pPr>
      <w:r>
        <w:rPr>
          <w:smallCaps/>
        </w:rPr>
        <w:t>5. What does Greene et al. say about our intuitions in trolley type cases?</w:t>
      </w:r>
    </w:p>
    <w:p w:rsidR="00344B19" w:rsidRDefault="00344B19" w:rsidP="00344B19">
      <w:pPr>
        <w:spacing w:after="0"/>
        <w:rPr>
          <w:smallCaps/>
        </w:rPr>
      </w:pPr>
      <w:r>
        <w:rPr>
          <w:smallCaps/>
        </w:rPr>
        <w:t>6. What is the Principle of Personal Force, what role does it play in intuitions about trolley cases and what is its moral relevance?</w:t>
      </w:r>
    </w:p>
    <w:p w:rsidR="00344B19" w:rsidRDefault="00344B19" w:rsidP="00344B19">
      <w:pPr>
        <w:spacing w:after="0"/>
        <w:rPr>
          <w:smallCaps/>
        </w:rPr>
      </w:pPr>
      <w:r>
        <w:rPr>
          <w:smallCaps/>
        </w:rPr>
        <w:t>7. Should the experimental data on trolley cases lead us to abandon our trust in the intuitions of professionally trained moral philosophers? Why?</w:t>
      </w:r>
    </w:p>
    <w:p w:rsidR="00344B19" w:rsidRDefault="00344B19" w:rsidP="00344B19">
      <w:pPr>
        <w:pBdr>
          <w:bottom w:val="single" w:sz="12" w:space="1" w:color="auto"/>
        </w:pBdr>
        <w:spacing w:after="0"/>
        <w:rPr>
          <w:smallCaps/>
        </w:rPr>
      </w:pPr>
    </w:p>
    <w:p w:rsidR="00344B19" w:rsidRDefault="00344B19" w:rsidP="00344B19">
      <w:pPr>
        <w:spacing w:after="0"/>
        <w:rPr>
          <w:smallCaps/>
        </w:rPr>
      </w:pPr>
    </w:p>
    <w:p w:rsidR="00344B19" w:rsidRDefault="00344B19" w:rsidP="00344B19">
      <w:pPr>
        <w:spacing w:after="0"/>
        <w:rPr>
          <w:smallCaps/>
        </w:rPr>
      </w:pPr>
      <w:r>
        <w:rPr>
          <w:b/>
          <w:smallCaps/>
        </w:rPr>
        <w:t>Female Philosophical Intuitions</w:t>
      </w:r>
    </w:p>
    <w:p w:rsidR="00344B19" w:rsidRDefault="00344B19" w:rsidP="00344B19">
      <w:pPr>
        <w:spacing w:after="0"/>
        <w:rPr>
          <w:smallCaps/>
        </w:rPr>
      </w:pPr>
      <w:r>
        <w:rPr>
          <w:smallCaps/>
        </w:rPr>
        <w:t xml:space="preserve">Buckwalter &amp; Stich argue that there are significant differences in men’s and women’s intuitions about philosophical problems, wherefore we have reason to think that their philosophical intuitions differ. They also argue that the evidence suggests that smart women are more discouraged about being confused about a subject matter than less smart women. These two pieces of data point, in their view, to the idea that the gender gap in philosophy—which is substantial both in the student and professional population—might be explained partly in terms of such differing intuitions. This is yet another reason to purge philosophy of intuitions. As we have seen, Stich is very skeptical about the use of intuitions in settling issues about normative concerns. This is partly because he thinks intuitions are bound to differ and we are then left in the difficult position of deciding whose intuitions to trust. This is yet another example of the same problem. Only in this case, the use of intuitions is not only philosophically and scientifically problematic, but it also leads to socially and academically noxious effects by favoring men over women. </w:t>
      </w:r>
    </w:p>
    <w:p w:rsidR="00344B19" w:rsidRDefault="00344B19" w:rsidP="00344B19">
      <w:pPr>
        <w:spacing w:after="0"/>
        <w:rPr>
          <w:smallCaps/>
        </w:rPr>
      </w:pPr>
    </w:p>
    <w:p w:rsidR="00344B19" w:rsidRDefault="00344B19" w:rsidP="00344B19">
      <w:pPr>
        <w:spacing w:after="0"/>
        <w:rPr>
          <w:smallCaps/>
        </w:rPr>
      </w:pPr>
      <w:r>
        <w:rPr>
          <w:smallCaps/>
        </w:rPr>
        <w:t xml:space="preserve">There are at least five difficulties with Buckwalter &amp; Stich’s  argument: (1) it is quite likely that there is no gender effect. To figure out whether there is, we need to know how many studies of philosophical intuitions did </w:t>
      </w:r>
      <w:r>
        <w:rPr>
          <w:i/>
          <w:smallCaps/>
        </w:rPr>
        <w:t>not</w:t>
      </w:r>
      <w:r>
        <w:rPr>
          <w:smallCaps/>
        </w:rPr>
        <w:t xml:space="preserve"> show a gender effect. If the number is high, the 13 (actually 11) studies that B&amp;S mention are just noise. This is a rather serious question about scientific methdology. (2) We have no reason to think that the gender effect actually favors men, as women’s intuitions seem to accord more with the mainstream philosophical intuitions. (3) What should we make of intuitions on likert scales that cluster around the midpoint? how are we to interpret that data? (4) The evidence that women are more discouraged by confusion (particularly smart women) is tied to a tradition exploring the underrepresentation of women in math. That has since changed, and many mathematic professions show something like parity in representation, and certainly a much superior gender split than philosophy. A number of the studies that B&amp;S rely on are questionable. (5) all this talk about gender differences in philosophical intuitions might have a negative loop-back effect on women in the profession. This latter argument brings us to Fine’s paper.</w:t>
      </w:r>
    </w:p>
    <w:p w:rsidR="00344B19" w:rsidRDefault="00344B19" w:rsidP="00344B19">
      <w:pPr>
        <w:spacing w:after="0"/>
        <w:rPr>
          <w:smallCaps/>
        </w:rPr>
      </w:pPr>
    </w:p>
    <w:p w:rsidR="00344B19" w:rsidRDefault="00344B19" w:rsidP="00344B19">
      <w:pPr>
        <w:spacing w:after="0"/>
        <w:rPr>
          <w:smallCaps/>
        </w:rPr>
      </w:pPr>
      <w:r>
        <w:rPr>
          <w:b/>
          <w:smallCaps/>
        </w:rPr>
        <w:lastRenderedPageBreak/>
        <w:t xml:space="preserve">Cordelia Fine </w:t>
      </w:r>
      <w:r>
        <w:rPr>
          <w:smallCaps/>
        </w:rPr>
        <w:t xml:space="preserve">argues that presenting evidence of sex-differences can have the self-fulfilling effect of making differences where perhaps there were none. Her example is Baron-Cohen’s much publicized ‘Brain Organization Hypothesis’. This hypothesis suggests that prenatal levles of foetal testosterone affects brain develop so that women preponderantly develop an empathetic brain whereas men develop a systematizing brain (understanding and building systems). This theory has been exposed to a number of quite damning critiques on the basis of scientific methodology (see, e.g. Rebecca Jordan-Young’s </w:t>
      </w:r>
      <w:r>
        <w:rPr>
          <w:i/>
          <w:smallCaps/>
        </w:rPr>
        <w:t>Brainstorms</w:t>
      </w:r>
      <w:r>
        <w:rPr>
          <w:smallCaps/>
        </w:rPr>
        <w:t xml:space="preserve">). However, Fine is concerned with the idea of self-fulling ‘prophesies’ or hypotheses. </w:t>
      </w:r>
    </w:p>
    <w:p w:rsidR="00344B19" w:rsidRDefault="00344B19" w:rsidP="00344B19">
      <w:pPr>
        <w:spacing w:after="0"/>
        <w:rPr>
          <w:smallCaps/>
        </w:rPr>
      </w:pPr>
    </w:p>
    <w:p w:rsidR="00344B19" w:rsidRDefault="00344B19" w:rsidP="00344B19">
      <w:pPr>
        <w:spacing w:after="0"/>
        <w:rPr>
          <w:smallCaps/>
        </w:rPr>
      </w:pPr>
      <w:r>
        <w:rPr>
          <w:smallCaps/>
        </w:rPr>
        <w:t xml:space="preserve">The operation of stereotypes can be found in all areas of society. Not only do people regard other people in terms of their gender stereotype—thought not always exclusively so, of course—but people also seem to conform to stereotypes under many circumstances. This suggests that stereotypes mould people potentially as much, if not more than, they reflect an underlying reality. Specifically, stereotypes about women, i.e. that they are more people-oriented, less ambitious, less apt at scientific and technical work, are physically smaller, etc., affect the way women are being treated and the way that they present themselves. Furthermore, there is evidence that women are punished by not living up to these gender stereotypes; by being too ambitious, for instance. ‘Stereotype Threat’ describes what decreased performance on tasks that one is stereotyped at being inferior at because of one’s group membership (being a female, e.g.). The effect is pervasive and well documented.   </w:t>
      </w:r>
    </w:p>
    <w:p w:rsidR="00344B19" w:rsidRDefault="00344B19" w:rsidP="00344B19">
      <w:pPr>
        <w:spacing w:after="0"/>
        <w:rPr>
          <w:smallCaps/>
        </w:rPr>
      </w:pPr>
    </w:p>
    <w:p w:rsidR="00344B19" w:rsidRDefault="00344B19" w:rsidP="00344B19">
      <w:pPr>
        <w:spacing w:after="0"/>
        <w:rPr>
          <w:smallCaps/>
        </w:rPr>
      </w:pPr>
      <w:r>
        <w:rPr>
          <w:smallCaps/>
        </w:rPr>
        <w:t xml:space="preserve">The stereotype effect turns out to be particularly marked when the traits that differ among groups is supposed to be innate. This is what Fine calls essentialism. Baron-Cohen’s argument is, of course, essentialist so can be expected to be particularly problematic. Given that much of the very publicized work on sex- and gender- differences is of problematic scientific status, one should think hard about the moral repercussions of not only publishing such work, but also publicizing it as much as it standardly has been. Fine directs this challenge to the scientists themselves to make responsible use of their data. She also calls for further research into the effects of stereotyping. </w:t>
      </w:r>
    </w:p>
    <w:p w:rsidR="00344B19" w:rsidRDefault="00344B19" w:rsidP="00344B19">
      <w:pPr>
        <w:spacing w:after="0"/>
        <w:rPr>
          <w:smallCaps/>
        </w:rPr>
      </w:pPr>
    </w:p>
    <w:p w:rsidR="00344B19" w:rsidRDefault="00344B19" w:rsidP="00344B19">
      <w:pPr>
        <w:spacing w:after="0"/>
        <w:rPr>
          <w:b/>
          <w:smallCaps/>
        </w:rPr>
      </w:pPr>
      <w:r>
        <w:rPr>
          <w:b/>
          <w:smallCaps/>
        </w:rPr>
        <w:t>Questions:</w:t>
      </w:r>
    </w:p>
    <w:p w:rsidR="00344B19" w:rsidRDefault="00344B19" w:rsidP="00344B19">
      <w:pPr>
        <w:spacing w:after="0"/>
        <w:rPr>
          <w:smallCaps/>
        </w:rPr>
      </w:pPr>
      <w:r>
        <w:rPr>
          <w:smallCaps/>
        </w:rPr>
        <w:t>1. What types of differences do Buckwalter &amp; Stich find in men’s and women’s intuitions? Give examples.</w:t>
      </w:r>
    </w:p>
    <w:p w:rsidR="00344B19" w:rsidRDefault="00344B19" w:rsidP="00344B19">
      <w:pPr>
        <w:spacing w:after="0"/>
        <w:rPr>
          <w:smallCaps/>
        </w:rPr>
      </w:pPr>
      <w:r>
        <w:rPr>
          <w:smallCaps/>
        </w:rPr>
        <w:t>2. If there are differences between men’s and women’s philosophical intuitions, what does Buckwalter &amp; Stich suggest we do about it?</w:t>
      </w:r>
    </w:p>
    <w:p w:rsidR="00344B19" w:rsidRDefault="00344B19" w:rsidP="00344B19">
      <w:pPr>
        <w:spacing w:after="0"/>
        <w:rPr>
          <w:smallCaps/>
        </w:rPr>
      </w:pPr>
      <w:r>
        <w:rPr>
          <w:smallCaps/>
        </w:rPr>
        <w:t>3. How does the paper on gender differences in philosophical intuitions fit with Stich’s general view about the use of intuitions?</w:t>
      </w:r>
    </w:p>
    <w:p w:rsidR="00344B19" w:rsidRDefault="00344B19" w:rsidP="00344B19">
      <w:pPr>
        <w:spacing w:after="0"/>
        <w:rPr>
          <w:smallCaps/>
        </w:rPr>
      </w:pPr>
      <w:r>
        <w:rPr>
          <w:smallCaps/>
        </w:rPr>
        <w:t>4. Is the existence of male/female differences in philosophical intuitions sufficient to show that such differences account for part of the gender gap in philosophy as an academic profession/discipline?</w:t>
      </w:r>
    </w:p>
    <w:p w:rsidR="00344B19" w:rsidRDefault="00344B19" w:rsidP="00344B19">
      <w:pPr>
        <w:spacing w:after="0"/>
        <w:rPr>
          <w:smallCaps/>
        </w:rPr>
      </w:pPr>
      <w:r>
        <w:rPr>
          <w:smallCaps/>
        </w:rPr>
        <w:t>5. What are some of the problems with Buckwalter &amp; Stich’s argument?</w:t>
      </w:r>
    </w:p>
    <w:p w:rsidR="00344B19" w:rsidRPr="007E05B6" w:rsidRDefault="00344B19" w:rsidP="00344B19">
      <w:pPr>
        <w:spacing w:after="0"/>
        <w:rPr>
          <w:smallCaps/>
        </w:rPr>
      </w:pPr>
      <w:r>
        <w:rPr>
          <w:smallCaps/>
        </w:rPr>
        <w:t>6. Why does Cordelia Fine think we ought to be very careful about publicizing supposed sex/gender differences?</w:t>
      </w:r>
      <w:r>
        <w:rPr>
          <w:smallCaps/>
        </w:rPr>
        <w:br/>
      </w:r>
    </w:p>
    <w:p w:rsidR="002F7074" w:rsidRDefault="002F7074">
      <w:bookmarkStart w:id="0" w:name="_GoBack"/>
      <w:bookmarkEnd w:id="0"/>
    </w:p>
    <w:sectPr w:rsidR="002F707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B19"/>
    <w:rsid w:val="002F7074"/>
    <w:rsid w:val="00344B1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B19"/>
    <w:pPr>
      <w:spacing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4B19"/>
    <w:pPr>
      <w:spacing w:line="240" w:lineRule="auto"/>
    </w:pPr>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4034</Words>
  <Characters>22995</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ElainaBusch</dc:creator>
  <cp:lastModifiedBy>ElainaBusch</cp:lastModifiedBy>
  <cp:revision>1</cp:revision>
  <dcterms:created xsi:type="dcterms:W3CDTF">2011-11-07T16:55:00Z</dcterms:created>
  <dcterms:modified xsi:type="dcterms:W3CDTF">2011-11-07T16:56:00Z</dcterms:modified>
</cp:coreProperties>
</file>