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b/>
        </w:rPr>
        <w:t xml:space="preserve">LAWS 2502 – Lecture 9 </w:t>
      </w:r>
    </w:p>
    <w:p>
      <w:pPr>
        <w:pStyle w:val="style0"/>
      </w:pPr>
      <w:r>
        <w:rPr>
          <w:b/>
        </w:rPr>
        <w:t xml:space="preserve">Equalities, Remedies, s. 7 and Group Rights </w:t>
      </w:r>
    </w:p>
    <w:p>
      <w:pPr>
        <w:pStyle w:val="style0"/>
      </w:pPr>
      <w:r>
        <w:rPr>
          <w:b/>
        </w:rPr>
        <w:t>Examples for Systemic Discrimination:</w:t>
        <w:br/>
        <w:t xml:space="preserve">- Eldridge v BC </w:t>
      </w:r>
      <w:r>
        <w:rPr/>
        <w:t xml:space="preserve">(1997) – see SB II, ch 10 (d): failure to provide sign-language interpretation denied to deaf people a benefit provided to others </w:t>
      </w:r>
      <w:r>
        <w:rPr>
          <w:b/>
        </w:rPr>
        <w:br/>
        <w:t xml:space="preserve">- </w:t>
      </w:r>
      <w:r>
        <w:rPr>
          <w:b w:val="false"/>
          <w:bCs w:val="false"/>
        </w:rPr>
        <w:t>Eldridge comes down and says there is discrimination under Charter by not providing sign language services</w:t>
      </w:r>
    </w:p>
    <w:p>
      <w:pPr>
        <w:pStyle w:val="style0"/>
      </w:pPr>
      <w:r>
        <w:rPr>
          <w:b/>
        </w:rPr>
        <w:t xml:space="preserve">- Vriend v Alberta </w:t>
      </w:r>
      <w:r>
        <w:rPr/>
        <w:t xml:space="preserve">(1998) – SB II, ch 10(e) – provincial </w:t>
      </w:r>
      <w:r>
        <w:rPr>
          <w:b/>
        </w:rPr>
        <w:t xml:space="preserve">human rights statute </w:t>
      </w:r>
      <w:r>
        <w:rPr/>
        <w:t xml:space="preserve">prohibited discrimination in employment on the basis of race, sex, religion, national origin, etc but did not clearly include </w:t>
      </w:r>
      <w:r>
        <w:rPr>
          <w:b/>
        </w:rPr>
        <w:t xml:space="preserve">sexual orientation </w:t>
      </w:r>
      <w:r>
        <w:rPr/>
        <w:t>as a prohibited ground</w:t>
      </w:r>
    </w:p>
    <w:p>
      <w:pPr>
        <w:pStyle w:val="style0"/>
      </w:pPr>
      <w:r>
        <w:rPr>
          <w:b/>
          <w:bCs/>
        </w:rPr>
        <w:t xml:space="preserve">Egan (1995), the SCC: </w:t>
        <w:br/>
      </w:r>
      <w:r>
        <w:rPr>
          <w:b w:val="false"/>
          <w:bCs w:val="false"/>
        </w:rPr>
        <w:t xml:space="preserve">- sexual orientation </w:t>
        <w:br/>
        <w:t xml:space="preserve">- the SCC held in </w:t>
      </w:r>
      <w:r>
        <w:rPr>
          <w:b/>
          <w:bCs/>
        </w:rPr>
        <w:t xml:space="preserve">definitional balancing </w:t>
      </w:r>
      <w:r>
        <w:rPr>
          <w:b w:val="false"/>
          <w:bCs w:val="false"/>
        </w:rPr>
        <w:t xml:space="preserve">that </w:t>
      </w:r>
      <w:r>
        <w:rPr>
          <w:b/>
          <w:bCs/>
        </w:rPr>
        <w:t xml:space="preserve">sexual orientation </w:t>
      </w:r>
      <w:r>
        <w:rPr>
          <w:b w:val="false"/>
          <w:bCs w:val="false"/>
        </w:rPr>
        <w:t xml:space="preserve">is an </w:t>
      </w:r>
      <w:r>
        <w:rPr>
          <w:b/>
          <w:bCs/>
        </w:rPr>
        <w:t xml:space="preserve">analogous </w:t>
      </w:r>
      <w:r>
        <w:rPr>
          <w:b w:val="false"/>
          <w:bCs w:val="false"/>
        </w:rPr>
        <w:t xml:space="preserve">ground (to those listed in s. 15), but </w:t>
      </w:r>
      <w:r>
        <w:rPr>
          <w:b/>
          <w:bCs/>
        </w:rPr>
        <w:t xml:space="preserve">in ad hoc balancing under s. 1: </w:t>
      </w:r>
      <w:r>
        <w:rPr>
          <w:b w:val="false"/>
          <w:bCs w:val="false"/>
        </w:rPr>
        <w:t xml:space="preserve">that the </w:t>
      </w:r>
      <w:r>
        <w:rPr>
          <w:b/>
          <w:bCs/>
        </w:rPr>
        <w:t xml:space="preserve">impugned statute </w:t>
      </w:r>
      <w:r>
        <w:rPr>
          <w:b w:val="false"/>
          <w:bCs w:val="false"/>
        </w:rPr>
        <w:t xml:space="preserve">was justified (the </w:t>
      </w:r>
      <w:r>
        <w:rPr>
          <w:b/>
          <w:bCs/>
        </w:rPr>
        <w:t>Old Age Security Act</w:t>
      </w:r>
      <w:r>
        <w:rPr>
          <w:b w:val="false"/>
          <w:bCs w:val="false"/>
        </w:rPr>
        <w:t xml:space="preserve"> made spousal allowance available to a spouse “of the opposite sex” but not to a same-sex partner) </w:t>
        <w:br/>
        <w:t xml:space="preserve">- only by majority of 5:4 judges </w:t>
      </w:r>
    </w:p>
    <w:p>
      <w:pPr>
        <w:pStyle w:val="style0"/>
      </w:pPr>
      <w:r>
        <w:rPr/>
      </w:r>
    </w:p>
    <w:p>
      <w:pPr>
        <w:pStyle w:val="style0"/>
        <w:spacing w:after="200" w:before="0"/>
        <w:contextualSpacing w:val="false"/>
      </w:pPr>
      <w:r>
        <w:rPr>
          <w:b w:val="false"/>
          <w:bCs w:val="false"/>
        </w:rPr>
        <w:t xml:space="preserve">* </w:t>
      </w:r>
      <w:r>
        <w:rPr>
          <w:b w:val="false"/>
          <w:bCs w:val="false"/>
        </w:rPr>
        <w:t xml:space="preserve">lecture 9 – watch </w:t>
      </w:r>
    </w:p>
    <w:sectPr>
      <w:type w:val="nextPage"/>
      <w:pgSz w:h="15840" w:w="12240"/>
      <w:pgMar w:bottom="1440" w:footer="0" w:gutter="0" w:header="0" w:left="1440" w:right="1440" w:top="1440"/>
      <w:pgNumType w:fmt="decimal"/>
      <w:formProt w:val="false"/>
      <w:textDirection w:val="lrTb"/>
      <w:docGrid w:charSpace="8192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</w:fonts>
</file>

<file path=word/settings.xml><?xml version="1.0" encoding="utf-8"?>
<w:settings xmlns:w="http://schemas.openxmlformats.org/wordprocessingml/2006/main">
  <w:zoom w:percent="55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tabs/>
      <w:suppressAutoHyphens w:val="true"/>
      <w:spacing w:after="200" w:before="0" w:line="276" w:lineRule="auto"/>
      <w:contextualSpacing w:val="false"/>
    </w:pPr>
    <w:rPr>
      <w:rFonts w:ascii="Calibri" w:cs="Calibri" w:eastAsia="Arial Unicode MS" w:hAnsi="Calibri"/>
      <w:color w:val="00000A"/>
      <w:sz w:val="22"/>
      <w:szCs w:val="22"/>
      <w:lang w:bidi="ar-SA" w:eastAsia="en-US" w:val="en-CA"/>
    </w:rPr>
  </w:style>
  <w:style w:styleId="style15" w:type="character">
    <w:name w:val="Default Paragraph Font"/>
    <w:next w:val="style15"/>
    <w:rPr/>
  </w:style>
  <w:style w:styleId="style16" w:type="paragraph">
    <w:name w:val="Heading"/>
    <w:basedOn w:val="style0"/>
    <w:next w:val="style17"/>
    <w:pPr>
      <w:keepNext/>
      <w:spacing w:after="120" w:before="240"/>
      <w:contextualSpacing w:val="false"/>
    </w:pPr>
    <w:rPr>
      <w:rFonts w:ascii="Arial" w:cs="Arial Unicode MS" w:eastAsia="Arial Unicode MS" w:hAnsi="Arial"/>
      <w:sz w:val="28"/>
      <w:szCs w:val="28"/>
    </w:rPr>
  </w:style>
  <w:style w:styleId="style17" w:type="paragraph">
    <w:name w:val="Text body"/>
    <w:basedOn w:val="style0"/>
    <w:next w:val="style17"/>
    <w:pPr>
      <w:spacing w:after="120" w:before="0"/>
      <w:contextualSpacing w:val="false"/>
    </w:pPr>
    <w:rPr/>
  </w:style>
  <w:style w:styleId="style18" w:type="paragraph">
    <w:name w:val="List"/>
    <w:basedOn w:val="style17"/>
    <w:next w:val="style18"/>
    <w:pPr/>
    <w:rPr/>
  </w:style>
  <w:style w:styleId="style19" w:type="paragraph">
    <w:name w:val="Caption"/>
    <w:basedOn w:val="style0"/>
    <w:next w:val="style19"/>
    <w:pPr>
      <w:suppressLineNumbers/>
      <w:spacing w:after="120" w:before="120"/>
      <w:contextualSpacing w:val="false"/>
    </w:pPr>
    <w:rPr>
      <w:i/>
      <w:iCs/>
      <w:sz w:val="24"/>
      <w:szCs w:val="24"/>
    </w:rPr>
  </w:style>
  <w:style w:styleId="style20" w:type="paragraph">
    <w:name w:val="Index"/>
    <w:basedOn w:val="style0"/>
    <w:next w:val="style20"/>
    <w:pPr>
      <w:suppressLineNumbers/>
    </w:pPr>
    <w:rPr/>
  </w:style>
  <w:style w:styleId="style21" w:type="paragraph">
    <w:name w:val="List Paragraph"/>
    <w:basedOn w:val="style0"/>
    <w:next w:val="style21"/>
    <w:pPr>
      <w:spacing w:after="200" w:before="0"/>
      <w:ind w:hanging="0" w:left="720" w:right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LibreOffice/3.6$MacOSX_x86 LibreOffice_project/58f22d5-270d05a-e2abed1-ea17a85-9b5702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2014-07-28T22:04:00.00Z</dcterms:created>
  <dc:creator>d</dc:creator>
  <cp:lastModifiedBy>d</cp:lastModifiedBy>
  <dcterms:modified xsi:type="dcterms:W3CDTF">2014-07-28T22:17:00.00Z</dcterms:modified>
  <cp:revision>4</cp:revision>
</cp:coreProperties>
</file>