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b/>
          <w:bCs/>
        </w:rPr>
        <w:t>LAWS3307T, Lecture 6</w:t>
      </w:r>
    </w:p>
    <w:p>
      <w:pPr>
        <w:pStyle w:val="style0"/>
        <w:jc w:val="center"/>
      </w:pPr>
      <w:r>
        <w:rPr>
          <w:b/>
          <w:bCs/>
        </w:rPr>
        <w:t xml:space="preserve">Extrajudicial Measures </w:t>
      </w:r>
    </w:p>
    <w:p>
      <w:pPr>
        <w:pStyle w:val="style0"/>
        <w:jc w:val="center"/>
      </w:pPr>
      <w:r>
        <w:rPr/>
      </w:r>
    </w:p>
    <w:p>
      <w:pPr>
        <w:pStyle w:val="style0"/>
        <w:jc w:val="left"/>
      </w:pPr>
      <w:r>
        <w:rPr>
          <w:b/>
          <w:bCs/>
        </w:rPr>
        <w:t>EJMs – Extrajudicial Measures</w:t>
      </w:r>
    </w:p>
    <w:p>
      <w:pPr>
        <w:pStyle w:val="style0"/>
        <w:jc w:val="left"/>
      </w:pPr>
      <w:r>
        <w:rPr>
          <w:b w:val="false"/>
          <w:bCs w:val="false"/>
        </w:rPr>
        <w:tab/>
      </w:r>
    </w:p>
    <w:p>
      <w:pPr>
        <w:pStyle w:val="style0"/>
        <w:jc w:val="left"/>
      </w:pPr>
      <w:r>
        <w:rPr>
          <w:b w:val="false"/>
          <w:bCs w:val="false"/>
        </w:rPr>
        <w:t>- have to have enough reasonable and probable grounds that an offence has been committed</w:t>
      </w:r>
    </w:p>
    <w:p>
      <w:pPr>
        <w:pStyle w:val="style0"/>
        <w:jc w:val="left"/>
      </w:pPr>
      <w:r>
        <w:rPr/>
      </w:r>
    </w:p>
    <w:p>
      <w:pPr>
        <w:pStyle w:val="style0"/>
        <w:jc w:val="left"/>
      </w:pPr>
      <w:r>
        <w:rPr>
          <w:b/>
          <w:bCs/>
        </w:rPr>
        <w:t xml:space="preserve">Statistics (Ottawa): </w:t>
      </w:r>
    </w:p>
    <w:p>
      <w:pPr>
        <w:pStyle w:val="style0"/>
        <w:jc w:val="left"/>
      </w:pPr>
      <w:r>
        <w:rPr>
          <w:b w:val="false"/>
          <w:bCs w:val="false"/>
        </w:rPr>
        <w:t>- there are about 70,000 young people (12-17 in Ottawa)</w:t>
        <w:br/>
        <w:t>- of those, 300 are on probation</w:t>
      </w:r>
    </w:p>
    <w:p>
      <w:pPr>
        <w:pStyle w:val="style0"/>
        <w:jc w:val="left"/>
      </w:pPr>
      <w:r>
        <w:rPr>
          <w:b w:val="false"/>
          <w:bCs w:val="false"/>
        </w:rPr>
        <w:t>- about 40% of the youth are charged; 60% are warned</w:t>
        <w:br/>
        <w:t xml:space="preserve">- about 350 annual extrajudicial measures </w:t>
        <w:br/>
        <w:br/>
      </w:r>
      <w:r>
        <w:rPr>
          <w:b/>
          <w:bCs/>
        </w:rPr>
        <w:t>Principles of the YCJA (section 3)</w:t>
      </w:r>
    </w:p>
    <w:p>
      <w:pPr>
        <w:pStyle w:val="style0"/>
        <w:jc w:val="left"/>
      </w:pPr>
      <w:r>
        <w:rPr>
          <w:b w:val="false"/>
          <w:bCs w:val="false"/>
        </w:rPr>
        <w:t>Why extrajudicial measures?</w:t>
      </w:r>
    </w:p>
    <w:p>
      <w:pPr>
        <w:pStyle w:val="style0"/>
        <w:jc w:val="left"/>
      </w:pPr>
      <w:r>
        <w:rPr>
          <w:b w:val="false"/>
          <w:bCs w:val="false"/>
        </w:rPr>
        <w:t>- prevent crime</w:t>
        <w:br/>
        <w:t>- rehabilitate &amp; reintegrate young people back into society</w:t>
        <w:br/>
        <w:t xml:space="preserve">- getting them quicker into the court process, having them punished at the court level </w:t>
        <w:br/>
        <w:t xml:space="preserve">- by using EJMs, addressing underlying causes of the punishment; has to be meaningful consequences </w:t>
        <w:br/>
        <w:t>- has to be timely; OPS (Ottawa Police Service) tries to get interview set up w/in a month; otherwise, the longer it takes, the longer the consequence is attached to the behaviour</w:t>
        <w:br/>
        <w:t>- looking at the protection of society</w:t>
        <w:br/>
        <w:br/>
      </w:r>
      <w:r>
        <w:rPr>
          <w:b/>
          <w:bCs/>
        </w:rPr>
        <w:t>Extrajudicial Measures:</w:t>
        <w:br/>
      </w:r>
      <w:r>
        <w:rPr>
          <w:b w:val="false"/>
          <w:bCs w:val="false"/>
        </w:rPr>
        <w:t>- often the most appropriate and effective way of addressing youth crime</w:t>
        <w:br/>
        <w:t>- allow for effective and timely interventions focused on correcting offending behaviour</w:t>
      </w:r>
    </w:p>
    <w:p>
      <w:pPr>
        <w:pStyle w:val="style0"/>
        <w:jc w:val="left"/>
      </w:pPr>
      <w:r>
        <w:rPr/>
      </w:r>
    </w:p>
    <w:p>
      <w:pPr>
        <w:pStyle w:val="style0"/>
        <w:jc w:val="left"/>
      </w:pPr>
      <w:r>
        <w:rPr>
          <w:b/>
          <w:bCs/>
        </w:rPr>
        <w:t>The Presumption:</w:t>
      </w:r>
    </w:p>
    <w:p>
      <w:pPr>
        <w:pStyle w:val="style0"/>
        <w:jc w:val="left"/>
      </w:pPr>
      <w:r>
        <w:rPr>
          <w:b w:val="false"/>
          <w:bCs w:val="false"/>
        </w:rPr>
        <w:t>- extrajudicial measures are</w:t>
      </w:r>
      <w:bookmarkStart w:id="0" w:name="__DdeLink__19334_1661322353"/>
      <w:bookmarkEnd w:id="0"/>
      <w:r>
        <w:rPr>
          <w:b w:val="false"/>
          <w:bCs w:val="false"/>
        </w:rPr>
        <w:t xml:space="preserve"> presumed to be adequate to hold a young person accountable if the young person has committed a non-violent offence and has not previously been guilty of an offence</w:t>
      </w:r>
    </w:p>
    <w:p>
      <w:pPr>
        <w:pStyle w:val="style0"/>
        <w:jc w:val="left"/>
      </w:pPr>
      <w:r>
        <w:rPr/>
      </w:r>
    </w:p>
    <w:p>
      <w:pPr>
        <w:pStyle w:val="style0"/>
        <w:jc w:val="left"/>
      </w:pPr>
      <w:r>
        <w:rPr>
          <w:b/>
          <w:bCs/>
        </w:rPr>
        <w:t>Principles:</w:t>
        <w:br/>
      </w:r>
      <w:r>
        <w:rPr>
          <w:b w:val="false"/>
          <w:bCs w:val="false"/>
        </w:rPr>
        <w:t xml:space="preserve">- you can look at extrajudicial measures, even if youth has gone through a program </w:t>
        <w:br/>
        <w:t>- also, if they have been guilty of another offence and have been sentenced and received some sort of punishment that way, can go to EJMS (e.g. Mischief, minor assault, fraud) – so long as it holds the person accountable</w:t>
        <w:br/>
        <w:br/>
      </w:r>
      <w:r>
        <w:rPr>
          <w:b/>
          <w:bCs/>
        </w:rPr>
        <w:t xml:space="preserve">EJMs Must: </w:t>
      </w:r>
    </w:p>
    <w:p>
      <w:pPr>
        <w:pStyle w:val="style0"/>
        <w:jc w:val="left"/>
      </w:pPr>
      <w:r>
        <w:rPr>
          <w:b w:val="false"/>
          <w:bCs w:val="false"/>
        </w:rPr>
        <w:t>- be effective and timely</w:t>
      </w:r>
    </w:p>
    <w:p>
      <w:pPr>
        <w:pStyle w:val="style0"/>
        <w:jc w:val="left"/>
      </w:pPr>
      <w:r>
        <w:rPr>
          <w:b w:val="false"/>
          <w:bCs w:val="false"/>
        </w:rPr>
        <w:t>- encourage the young person to acknowledge what they have done; put them in a position where they can help repair the damage that has been done</w:t>
        <w:br/>
        <w:t>- encourage the involvement of family, community in design and implementation of the measures</w:t>
        <w:br/>
        <w:t>- victim participation in the decisions for measures</w:t>
        <w:br/>
        <w:t>- respect the rights of young persons</w:t>
        <w:br/>
        <w:t>- proportionality to the offence</w:t>
        <w:br/>
        <w:t xml:space="preserve">- the Ottawa Police Service gets consent from the parents in order to be able to involve them </w:t>
        <w:br/>
        <w:t>- a police officer, according to the YCJA, has to consider, before starting any judicial proceedings or taking any other measures under this Act, whether it would be sufficient having regard to the principles set out in section 4:</w:t>
      </w:r>
    </w:p>
    <w:p>
      <w:pPr>
        <w:pStyle w:val="style0"/>
        <w:jc w:val="left"/>
      </w:pPr>
      <w:r>
        <w:rPr>
          <w:b w:val="false"/>
          <w:bCs w:val="false"/>
        </w:rPr>
        <w:t>- taking no further action</w:t>
        <w:br/>
        <w:t>- warnings (can be informal or formal)</w:t>
        <w:br/>
        <w:t>- cautions (based upon police service policy)</w:t>
        <w:br/>
        <w:t>- referrals to community programs</w:t>
        <w:br/>
        <w:t>- sanctions (crown referral) – ex: lay mischief charge, Crown looks at the offence and decides whether to go through with sanctions or not</w:t>
      </w:r>
    </w:p>
    <w:p>
      <w:pPr>
        <w:pStyle w:val="style0"/>
        <w:jc w:val="left"/>
      </w:pPr>
      <w:r>
        <w:rPr/>
      </w:r>
    </w:p>
    <w:p>
      <w:pPr>
        <w:pStyle w:val="style0"/>
        <w:jc w:val="left"/>
      </w:pPr>
      <w:r>
        <w:rPr>
          <w:b/>
          <w:bCs/>
        </w:rPr>
        <w:t>Section 6(2)</w:t>
      </w:r>
    </w:p>
    <w:p>
      <w:pPr>
        <w:pStyle w:val="style0"/>
        <w:jc w:val="left"/>
      </w:pPr>
      <w:r>
        <w:rPr>
          <w:b w:val="false"/>
          <w:bCs w:val="false"/>
        </w:rPr>
        <w:t>- the failure of police to consider the options set out in section 6(1) does not invalidate any subsequent charges against the young person for the offence</w:t>
        <w:br/>
        <w:t>- the expectation is that officers will consider one of the options set out in 6(1) but, should an officer not make those considerations, the charge is a valid charge</w:t>
      </w:r>
    </w:p>
    <w:p>
      <w:pPr>
        <w:pStyle w:val="style0"/>
        <w:jc w:val="left"/>
      </w:pPr>
      <w:r>
        <w:rPr>
          <w:b w:val="false"/>
          <w:bCs w:val="false"/>
        </w:rPr>
        <w:t xml:space="preserve">- </w:t>
      </w:r>
      <w:r>
        <w:rPr>
          <w:b w:val="false"/>
          <w:bCs w:val="false"/>
          <w:i/>
          <w:iCs/>
        </w:rPr>
        <w:t>Sometimes, when this does happen, is when the Crown might go by way of a sanction instead – an example of a safety net throughout the system</w:t>
      </w:r>
    </w:p>
    <w:p>
      <w:pPr>
        <w:pStyle w:val="style0"/>
        <w:jc w:val="left"/>
      </w:pPr>
      <w:r>
        <w:rPr/>
      </w:r>
    </w:p>
    <w:p>
      <w:pPr>
        <w:pStyle w:val="style0"/>
        <w:jc w:val="left"/>
      </w:pPr>
      <w:r>
        <w:rPr>
          <w:b/>
          <w:bCs/>
          <w:i w:val="false"/>
          <w:iCs w:val="false"/>
        </w:rPr>
        <w:t xml:space="preserve">Extrajudicial Sanctions: </w:t>
      </w:r>
      <w:r>
        <w:rPr>
          <w:b w:val="false"/>
          <w:bCs w:val="false"/>
          <w:i w:val="false"/>
          <w:iCs w:val="false"/>
        </w:rPr>
        <w:t>the most formal type of extrajudicial measures</w:t>
        <w:br/>
        <w:t xml:space="preserve">- formerly called alternative measures under the Young Offenders Act </w:t>
      </w:r>
    </w:p>
    <w:p>
      <w:pPr>
        <w:pStyle w:val="style0"/>
        <w:jc w:val="left"/>
      </w:pPr>
      <w:r>
        <w:rPr>
          <w:b w:val="false"/>
          <w:bCs w:val="false"/>
          <w:i w:val="false"/>
          <w:iCs w:val="false"/>
        </w:rPr>
        <w:t>- extrajudicial sanctions should not be used if a warning, caution or referral would have been adequate to hold the young person accountable</w:t>
      </w:r>
    </w:p>
    <w:p>
      <w:pPr>
        <w:pStyle w:val="style0"/>
        <w:jc w:val="left"/>
      </w:pPr>
      <w:r>
        <w:rPr/>
      </w:r>
    </w:p>
    <w:p>
      <w:pPr>
        <w:pStyle w:val="style0"/>
        <w:jc w:val="left"/>
      </w:pPr>
      <w:r>
        <w:rPr>
          <w:b/>
          <w:bCs/>
        </w:rPr>
        <w:t xml:space="preserve">Possible Considerations for Police to Charge: </w:t>
      </w:r>
    </w:p>
    <w:p>
      <w:pPr>
        <w:pStyle w:val="style0"/>
        <w:tabs>
          <w:tab w:leader="none" w:pos="6053" w:val="left"/>
        </w:tabs>
        <w:jc w:val="left"/>
      </w:pPr>
      <w:r>
        <w:rPr>
          <w:b w:val="false"/>
          <w:bCs w:val="false"/>
        </w:rPr>
        <w:t>- type of offence / severity of offence</w:t>
        <w:br/>
        <w:t>- victim input</w:t>
        <w:br/>
        <w:t>- parental input</w:t>
        <w:br/>
        <w:t>- demeanour of young persoN</w:t>
        <w:br/>
        <w:t>- past history</w:t>
        <w:br/>
        <w:t>- acknowledgement/accountability</w:t>
        <w:br/>
        <w:t>- willingness to repair harm</w:t>
      </w:r>
    </w:p>
    <w:p>
      <w:pPr>
        <w:pStyle w:val="style0"/>
        <w:tabs>
          <w:tab w:leader="none" w:pos="6053" w:val="left"/>
        </w:tabs>
        <w:jc w:val="left"/>
      </w:pPr>
      <w:r>
        <w:rPr/>
      </w:r>
    </w:p>
    <w:p>
      <w:pPr>
        <w:pStyle w:val="style0"/>
        <w:tabs>
          <w:tab w:leader="none" w:pos="6053" w:val="left"/>
        </w:tabs>
        <w:jc w:val="left"/>
      </w:pPr>
      <w:r>
        <w:rPr>
          <w:b/>
          <w:bCs/>
        </w:rPr>
        <w:t>Articulation</w:t>
      </w:r>
    </w:p>
    <w:p>
      <w:pPr>
        <w:pStyle w:val="style0"/>
        <w:tabs>
          <w:tab w:leader="none" w:pos="6053" w:val="left"/>
        </w:tabs>
        <w:jc w:val="left"/>
      </w:pPr>
      <w:r>
        <w:rPr>
          <w:b w:val="false"/>
          <w:bCs w:val="false"/>
        </w:rPr>
        <w:t>- extrajudicial measures cannot be used as evidence of prior offending behaviour</w:t>
      </w:r>
    </w:p>
    <w:p>
      <w:pPr>
        <w:pStyle w:val="style0"/>
        <w:tabs/>
        <w:jc w:val="left"/>
      </w:pPr>
      <w:r>
        <w:rPr>
          <w:b w:val="false"/>
          <w:bCs w:val="false"/>
        </w:rPr>
        <w:t>- extrajudicial sanction can be used as evidence of prior offending behaviour</w:t>
        <w:br/>
        <w:br/>
        <w:tab/>
        <w:t xml:space="preserve"> In order for the Crown to be completely informed as to why section 6(1) extrajudicial measures are not sufficient to hold young person accountable, the officer must provide the details of the incident and other mitigating and aggravating factors.</w:t>
      </w:r>
    </w:p>
    <w:p>
      <w:pPr>
        <w:pStyle w:val="style0"/>
        <w:tabs/>
        <w:jc w:val="left"/>
      </w:pPr>
      <w:r>
        <w:rPr>
          <w:b/>
          <w:bCs/>
        </w:rPr>
        <w:t xml:space="preserve">- </w:t>
      </w:r>
      <w:r>
        <w:rPr>
          <w:b w:val="false"/>
          <w:bCs w:val="false"/>
        </w:rPr>
        <w:t>becomes very relevant when it comes to sexual assault, armed robbery, etc that diversion is not going to be the right option</w:t>
      </w:r>
    </w:p>
    <w:p>
      <w:pPr>
        <w:pStyle w:val="style0"/>
        <w:tabs/>
        <w:jc w:val="left"/>
      </w:pPr>
      <w:r>
        <w:rPr/>
      </w:r>
    </w:p>
    <w:p>
      <w:pPr>
        <w:pStyle w:val="style0"/>
        <w:tabs/>
        <w:jc w:val="left"/>
      </w:pPr>
      <w:r>
        <w:rPr>
          <w:b/>
          <w:bCs/>
        </w:rPr>
        <w:t xml:space="preserve">Victim: </w:t>
        <w:br/>
      </w:r>
      <w:r>
        <w:rPr>
          <w:b w:val="false"/>
          <w:bCs w:val="false"/>
        </w:rPr>
        <w:t>- how the victim feels about the young offender going through the diversion program, age of victim, how many victims there were</w:t>
        <w:br/>
      </w:r>
      <w:r>
        <w:rPr>
          <w:b/>
          <w:bCs/>
        </w:rPr>
        <w:t>Community:</w:t>
        <w:br/>
      </w:r>
      <w:r>
        <w:rPr>
          <w:b w:val="false"/>
          <w:bCs w:val="false"/>
        </w:rPr>
        <w:t>- how many people in the community were affected by the young person's behaviour; how it affected the community; would community be safe if young person was entered into diversion program</w:t>
        <w:br/>
      </w:r>
      <w:r>
        <w:rPr>
          <w:b/>
          <w:bCs/>
        </w:rPr>
        <w:t>Young Person:</w:t>
        <w:br/>
      </w:r>
      <w:r>
        <w:rPr>
          <w:b w:val="false"/>
          <w:bCs w:val="false"/>
        </w:rPr>
        <w:t xml:space="preserve">- state of remorse, attitude, ability to complete the EJM, whether the young person can make compensation, who is supporting the young person – solid family foundation?, what the family has done to reduce the risks </w:t>
      </w:r>
    </w:p>
    <w:p>
      <w:pPr>
        <w:pStyle w:val="style0"/>
        <w:tabs/>
        <w:jc w:val="left"/>
      </w:pPr>
      <w:r>
        <w:rPr/>
      </w:r>
    </w:p>
    <w:p>
      <w:pPr>
        <w:pStyle w:val="style0"/>
        <w:tabs/>
        <w:jc w:val="left"/>
      </w:pPr>
      <w:r>
        <w:rPr>
          <w:b w:val="false"/>
          <w:bCs w:val="false"/>
        </w:rPr>
        <w:t>Before taking a statement from an adult:</w:t>
      </w:r>
    </w:p>
    <w:p>
      <w:pPr>
        <w:pStyle w:val="style0"/>
        <w:tabs/>
        <w:jc w:val="left"/>
      </w:pPr>
      <w:r>
        <w:rPr>
          <w:b w:val="false"/>
          <w:bCs w:val="false"/>
        </w:rPr>
        <w:t>- given rights to counsel; allowed to speak to a lawyer</w:t>
      </w:r>
    </w:p>
    <w:p>
      <w:pPr>
        <w:pStyle w:val="style0"/>
        <w:tabs/>
        <w:jc w:val="left"/>
      </w:pPr>
      <w:r>
        <w:rPr/>
      </w:r>
    </w:p>
    <w:p>
      <w:pPr>
        <w:pStyle w:val="style0"/>
        <w:tabs/>
        <w:jc w:val="left"/>
      </w:pPr>
      <w:r>
        <w:rPr>
          <w:b/>
          <w:bCs/>
        </w:rPr>
        <w:t xml:space="preserve">Diversion Program </w:t>
      </w:r>
    </w:p>
    <w:p>
      <w:pPr>
        <w:pStyle w:val="style0"/>
        <w:tabs/>
        <w:jc w:val="left"/>
      </w:pPr>
      <w:r>
        <w:rPr>
          <w:b/>
          <w:bCs/>
        </w:rPr>
        <w:t xml:space="preserve">- </w:t>
      </w:r>
      <w:r>
        <w:rPr>
          <w:b w:val="false"/>
          <w:bCs w:val="false"/>
        </w:rPr>
        <w:t>started in April, 2006</w:t>
      </w:r>
    </w:p>
    <w:p>
      <w:pPr>
        <w:pStyle w:val="style0"/>
        <w:tabs/>
        <w:jc w:val="left"/>
      </w:pPr>
      <w:r>
        <w:rPr>
          <w:b w:val="false"/>
          <w:bCs w:val="false"/>
        </w:rPr>
        <w:t>- clinical in nature; looking at diversion psychologically</w:t>
      </w:r>
    </w:p>
    <w:p>
      <w:pPr>
        <w:pStyle w:val="style0"/>
        <w:tabs/>
        <w:jc w:val="left"/>
      </w:pPr>
      <w:r>
        <w:rPr>
          <w:b w:val="false"/>
          <w:bCs w:val="false"/>
        </w:rPr>
        <w:t>- much more around how to reduce the root causes of crime; violence prevention programs, etc</w:t>
      </w:r>
    </w:p>
    <w:p>
      <w:pPr>
        <w:pStyle w:val="style0"/>
        <w:tabs/>
        <w:jc w:val="left"/>
      </w:pPr>
      <w:r>
        <w:rPr>
          <w:b w:val="false"/>
          <w:bCs w:val="false"/>
        </w:rPr>
        <w:t>- once police &amp; family have decided to go ahead with diversion: will receive a letter from the OCYPD (Boys and Girls Club Ottawa)</w:t>
      </w:r>
    </w:p>
    <w:p>
      <w:pPr>
        <w:pStyle w:val="style0"/>
        <w:tabs/>
        <w:jc w:val="left"/>
      </w:pPr>
      <w:r>
        <w:rPr>
          <w:b w:val="false"/>
          <w:bCs w:val="false"/>
        </w:rPr>
        <w:t>- letter is sent by the police</w:t>
      </w:r>
    </w:p>
    <w:p>
      <w:pPr>
        <w:pStyle w:val="style0"/>
        <w:tabs/>
        <w:jc w:val="left"/>
      </w:pPr>
      <w:r>
        <w:rPr>
          <w:b w:val="false"/>
          <w:bCs w:val="false"/>
        </w:rPr>
        <w:t>- agreement to participate: referral form; family meets with the Ottawa Community Youth Diversion Program</w:t>
      </w:r>
    </w:p>
    <w:p>
      <w:pPr>
        <w:pStyle w:val="style0"/>
        <w:tabs/>
        <w:jc w:val="left"/>
      </w:pPr>
      <w:r>
        <w:rPr>
          <w:b w:val="false"/>
          <w:bCs w:val="false"/>
        </w:rPr>
        <w:t>- has to be enough evidence to charge the people</w:t>
      </w:r>
    </w:p>
    <w:p>
      <w:pPr>
        <w:pStyle w:val="style0"/>
        <w:tabs/>
        <w:jc w:val="left"/>
      </w:pPr>
      <w:r>
        <w:rPr>
          <w:b w:val="false"/>
          <w:bCs w:val="false"/>
        </w:rPr>
        <w:t>- work under a philosophy called the risk-needs-responsivity principle—why they did it in the first place, looking at how we can help, intervene at an early stage; how they will respond to being asked to do something; make sure intervening at the right level</w:t>
      </w:r>
    </w:p>
    <w:p>
      <w:pPr>
        <w:pStyle w:val="style0"/>
        <w:tabs/>
        <w:jc w:val="left"/>
      </w:pPr>
      <w:r>
        <w:rPr>
          <w:b w:val="false"/>
          <w:bCs w:val="false"/>
        </w:rPr>
        <w:t>- want to know exactly where the youth is on the youth-crime continuum; studies show that if you incarcerate at an intense level, will increase their likelihood of committing crime in the future. Also don't want to intervene too lightly when the risk level is known to be very high.</w:t>
      </w:r>
    </w:p>
    <w:p>
      <w:pPr>
        <w:pStyle w:val="style0"/>
        <w:tabs/>
        <w:jc w:val="left"/>
      </w:pPr>
      <w:r>
        <w:rPr/>
      </w:r>
    </w:p>
    <w:p>
      <w:pPr>
        <w:pStyle w:val="style0"/>
        <w:tabs/>
        <w:jc w:val="left"/>
      </w:pPr>
      <w:r>
        <w:rPr>
          <w:b/>
          <w:bCs/>
        </w:rPr>
        <w:t xml:space="preserve">Risk Level: </w:t>
      </w:r>
    </w:p>
    <w:p>
      <w:pPr>
        <w:pStyle w:val="style0"/>
        <w:tabs/>
        <w:jc w:val="left"/>
      </w:pPr>
      <w:r>
        <w:rPr>
          <w:b w:val="false"/>
          <w:bCs w:val="false"/>
        </w:rPr>
        <w:t>- can't have a one-sized-fits-all approach</w:t>
      </w:r>
    </w:p>
    <w:p>
      <w:pPr>
        <w:pStyle w:val="style0"/>
        <w:tabs/>
        <w:jc w:val="left"/>
      </w:pPr>
      <w:r>
        <w:rPr>
          <w:b w:val="false"/>
          <w:bCs w:val="false"/>
        </w:rPr>
        <w:t xml:space="preserve">- we use the </w:t>
      </w:r>
      <w:r>
        <w:rPr>
          <w:b/>
          <w:bCs/>
          <w:u w:val="single"/>
        </w:rPr>
        <w:t>YLS/CMI:</w:t>
      </w:r>
      <w:r>
        <w:rPr>
          <w:b w:val="false"/>
          <w:bCs w:val="false"/>
        </w:rPr>
        <w:t xml:space="preserve"> called the Youth-Level Service / Case-Management Inventory</w:t>
      </w:r>
    </w:p>
    <w:p>
      <w:pPr>
        <w:pStyle w:val="style0"/>
        <w:tabs/>
        <w:jc w:val="left"/>
      </w:pPr>
      <w:r>
        <w:rPr>
          <w:b w:val="false"/>
          <w:bCs w:val="false"/>
        </w:rPr>
        <w:t>- designed specifically for youth</w:t>
      </w:r>
    </w:p>
    <w:p>
      <w:pPr>
        <w:pStyle w:val="style0"/>
        <w:tabs/>
        <w:jc w:val="left"/>
      </w:pPr>
      <w:r>
        <w:rPr>
          <w:b/>
          <w:bCs/>
        </w:rPr>
        <w:t xml:space="preserve">- YLS/CMI looks at 8 domains in a young person's life </w:t>
      </w:r>
      <w:r>
        <w:rPr>
          <w:b w:val="false"/>
          <w:bCs w:val="false"/>
        </w:rPr>
        <w:br/>
        <w:t xml:space="preserve">- written by </w:t>
      </w:r>
      <w:r>
        <w:rPr>
          <w:b/>
          <w:bCs/>
        </w:rPr>
        <w:t>Hoge, Andrews and Lescheid;</w:t>
      </w:r>
      <w:r>
        <w:rPr>
          <w:b w:val="false"/>
          <w:bCs w:val="false"/>
        </w:rPr>
        <w:t xml:space="preserve"> created this assessment tool which is designed to assess the risk level of youth</w:t>
      </w:r>
    </w:p>
    <w:p>
      <w:pPr>
        <w:pStyle w:val="style0"/>
        <w:tabs/>
        <w:jc w:val="left"/>
      </w:pPr>
      <w:r>
        <w:rPr>
          <w:b w:val="false"/>
          <w:bCs w:val="false"/>
        </w:rPr>
        <w:t>- if there have been convictions before, if on probation, if have been in custody – huge predictors of future crime</w:t>
      </w:r>
    </w:p>
    <w:p>
      <w:pPr>
        <w:pStyle w:val="style0"/>
        <w:tabs/>
        <w:jc w:val="left"/>
      </w:pPr>
      <w:r>
        <w:rPr>
          <w:b w:val="false"/>
          <w:bCs w:val="false"/>
        </w:rPr>
        <w:t>- diversion program exists to push people away from custody</w:t>
      </w:r>
    </w:p>
    <w:p>
      <w:pPr>
        <w:pStyle w:val="style0"/>
        <w:tabs/>
        <w:jc w:val="left"/>
      </w:pPr>
      <w:r>
        <w:rPr>
          <w:b w:val="false"/>
          <w:bCs w:val="false"/>
        </w:rPr>
        <w:t>- inconsistent or inappropriate discipline – e.g. When the child does not know when he or she is going to get punished – this is worse than a child who always expects punishment (anxiety).</w:t>
      </w:r>
    </w:p>
    <w:p>
      <w:pPr>
        <w:pStyle w:val="style0"/>
        <w:tabs/>
        <w:jc w:val="left"/>
      </w:pPr>
      <w:r>
        <w:rPr>
          <w:b w:val="false"/>
          <w:bCs w:val="false"/>
        </w:rPr>
        <w:t>- delinquent friends / acquaintances: research shows that even one caring / consistent parent means a very positive influence on a child; if not, child is very risky</w:t>
      </w:r>
    </w:p>
    <w:p>
      <w:pPr>
        <w:pStyle w:val="style0"/>
        <w:tabs/>
        <w:jc w:val="left"/>
      </w:pPr>
      <w:r>
        <w:rPr>
          <w:b w:val="false"/>
          <w:bCs w:val="false"/>
        </w:rPr>
        <w:t>- drugs: occasional drug use, chronic drug use / occasional alcohol use, chronic alcohol use</w:t>
      </w:r>
    </w:p>
    <w:p>
      <w:pPr>
        <w:pStyle w:val="style0"/>
        <w:tabs/>
        <w:jc w:val="left"/>
      </w:pPr>
      <w:r>
        <w:rPr>
          <w:b w:val="false"/>
          <w:bCs w:val="false"/>
        </w:rPr>
        <w:t>- if a child is smoking occasionally and is doing well in school, s/he is not a risk factor; only if the child is</w:t>
      </w:r>
      <w:r>
        <w:rPr>
          <w:b/>
          <w:bCs/>
        </w:rPr>
        <w:t xml:space="preserve"> using the drug every day and especially if it affects relationships</w:t>
      </w:r>
    </w:p>
    <w:p>
      <w:pPr>
        <w:pStyle w:val="style0"/>
        <w:tabs/>
        <w:jc w:val="left"/>
      </w:pPr>
      <w:r>
        <w:rPr>
          <w:b/>
          <w:bCs/>
        </w:rPr>
        <w:t>- drugs, family and relationship risk issues all rise and fall with one another.</w:t>
      </w:r>
    </w:p>
    <w:p>
      <w:pPr>
        <w:pStyle w:val="style0"/>
        <w:tabs/>
        <w:jc w:val="left"/>
      </w:pPr>
      <w:r>
        <w:rPr>
          <w:b w:val="false"/>
          <w:bCs w:val="false"/>
        </w:rPr>
        <w:t>- drug-using parents might justify or minimize their children's involvement in drugs by saying that it is better for the children to do drugs at home than on the street; might even be proud</w:t>
      </w:r>
    </w:p>
    <w:p>
      <w:pPr>
        <w:pStyle w:val="style0"/>
        <w:tabs/>
        <w:jc w:val="left"/>
      </w:pPr>
      <w:r>
        <w:rPr>
          <w:b w:val="false"/>
          <w:bCs w:val="false"/>
        </w:rPr>
        <w:t>- young offenders (12 or so) will exaggerate their drug use, whereas older teenagers will claim they're “cutting down”</w:t>
      </w:r>
    </w:p>
    <w:p>
      <w:pPr>
        <w:pStyle w:val="style0"/>
        <w:tabs/>
        <w:jc w:val="left"/>
      </w:pPr>
      <w:r>
        <w:rPr>
          <w:b w:val="false"/>
          <w:bCs w:val="false"/>
        </w:rPr>
        <w:t>- most people will stop doing drugs; kids who smoke a lot</w:t>
      </w:r>
    </w:p>
    <w:p>
      <w:pPr>
        <w:pStyle w:val="style0"/>
        <w:tabs/>
        <w:jc w:val="left"/>
      </w:pPr>
      <w:r>
        <w:rPr>
          <w:b w:val="false"/>
          <w:bCs w:val="false"/>
        </w:rPr>
        <w:t>- ADD – if a child has it, is at a higher risk right off the bat for crime. The people who do not have the ability to control their impulses will get in trouble; especially severely attention-deficit kids, conduct disordered kids, etc</w:t>
      </w:r>
    </w:p>
    <w:p>
      <w:pPr>
        <w:pStyle w:val="style0"/>
        <w:tabs/>
        <w:jc w:val="left"/>
      </w:pPr>
      <w:r>
        <w:rPr>
          <w:b w:val="false"/>
          <w:bCs w:val="false"/>
        </w:rPr>
        <w:t>- in the middle of an assessment, diversion program may ask random question (ex: “How many holes are in the wall at home?”. If the child &amp; parents count the holes in the wall, know there is violence in the home; if children and parents are confused, likely no violence at home)</w:t>
      </w:r>
    </w:p>
    <w:p>
      <w:pPr>
        <w:pStyle w:val="style0"/>
        <w:tabs/>
        <w:jc w:val="left"/>
      </w:pPr>
      <w:r>
        <w:rPr/>
      </w:r>
    </w:p>
    <w:p>
      <w:pPr>
        <w:pStyle w:val="style0"/>
        <w:tabs/>
        <w:jc w:val="left"/>
      </w:pPr>
      <w:r>
        <w:rPr>
          <w:b/>
          <w:bCs/>
        </w:rPr>
        <w:t xml:space="preserve">Diversion </w:t>
      </w:r>
    </w:p>
    <w:p>
      <w:pPr>
        <w:pStyle w:val="style0"/>
        <w:tabs/>
        <w:jc w:val="left"/>
      </w:pPr>
      <w:r>
        <w:rPr>
          <w:b w:val="false"/>
          <w:bCs w:val="false"/>
        </w:rPr>
        <w:t>- wants to get in and out as quickly as possible; so, how, in the space of a couple hours, can social workers foster a good relationship?</w:t>
      </w:r>
    </w:p>
    <w:p>
      <w:pPr>
        <w:pStyle w:val="style0"/>
        <w:tabs/>
        <w:jc w:val="left"/>
      </w:pPr>
      <w:r>
        <w:rPr>
          <w:b w:val="false"/>
          <w:bCs w:val="false"/>
        </w:rPr>
        <w:t xml:space="preserve">- this assessment does not try to get to the truth / investigate. </w:t>
      </w:r>
      <w:r>
        <w:rPr>
          <w:b/>
          <w:bCs/>
        </w:rPr>
        <w:t>Trying to find out WHEN they will intervene &amp; what they need to do</w:t>
        <w:br/>
      </w:r>
      <w:r>
        <w:rPr>
          <w:b w:val="false"/>
          <w:bCs w:val="false"/>
        </w:rPr>
        <w:t>- so even if youth is lying about drug use, etc, then will always get a sense of what is going on (unless parent and youth are in cahoots)</w:t>
      </w:r>
    </w:p>
    <w:p>
      <w:pPr>
        <w:pStyle w:val="style0"/>
        <w:tabs/>
        <w:jc w:val="left"/>
      </w:pPr>
      <w:r>
        <w:rPr>
          <w:b w:val="false"/>
          <w:bCs w:val="false"/>
        </w:rPr>
        <w:t>- some people know they have an issue but aren't ready to deal with them yet – a risk factor</w:t>
      </w:r>
    </w:p>
    <w:p>
      <w:pPr>
        <w:pStyle w:val="style0"/>
        <w:tabs/>
        <w:jc w:val="left"/>
      </w:pPr>
      <w:r>
        <w:rPr>
          <w:b w:val="false"/>
          <w:bCs w:val="false"/>
        </w:rPr>
        <w:t>- when working with a youth that doesn't get that what they did hurt someone – a risk factor; especially if they don't see that there was a victim (steal from a store; someone has to seal from it, but youth does not understand and so does not feel guilty) – BUT, might have feelings for something (ex: dog, family, etc.) Still concerning when a person does not take responsibility for their actions.</w:t>
      </w:r>
    </w:p>
    <w:p>
      <w:pPr>
        <w:pStyle w:val="style0"/>
        <w:tabs/>
        <w:jc w:val="left"/>
      </w:pPr>
      <w:r>
        <w:rPr>
          <w:b w:val="false"/>
          <w:bCs w:val="false"/>
        </w:rPr>
        <w:t xml:space="preserve">- </w:t>
      </w:r>
      <w:r>
        <w:rPr>
          <w:b/>
          <w:bCs/>
        </w:rPr>
        <w:t>case worker is allowed to bump somebody up a risk level</w:t>
      </w:r>
    </w:p>
    <w:p>
      <w:pPr>
        <w:pStyle w:val="style0"/>
        <w:tabs/>
        <w:jc w:val="left"/>
      </w:pPr>
      <w:r>
        <w:rPr>
          <w:b/>
          <w:bCs/>
        </w:rPr>
        <w:t xml:space="preserve">- </w:t>
      </w:r>
      <w:r>
        <w:rPr>
          <w:b w:val="false"/>
          <w:bCs w:val="false"/>
        </w:rPr>
        <w:t>YLS/CMI – if there are drug issues, won't deal w/family issues until drug issues have been addressed</w:t>
      </w:r>
    </w:p>
    <w:p>
      <w:pPr>
        <w:pStyle w:val="style0"/>
        <w:tabs/>
        <w:jc w:val="left"/>
      </w:pPr>
      <w:r>
        <w:rPr>
          <w:b w:val="false"/>
          <w:bCs w:val="false"/>
        </w:rPr>
        <w:t>- the parents often like the diversion program; youth (guys) especially like the diversion program; first resistant to counselling but once in counselling they often open up</w:t>
      </w:r>
    </w:p>
    <w:p>
      <w:pPr>
        <w:pStyle w:val="style0"/>
        <w:tabs/>
        <w:jc w:val="left"/>
      </w:pPr>
      <w:r>
        <w:rPr>
          <w:b w:val="false"/>
          <w:bCs w:val="false"/>
        </w:rPr>
        <w:t>- ultimately, most people know that convicting the youth doesn't really help all that much</w:t>
      </w:r>
    </w:p>
    <w:p>
      <w:pPr>
        <w:pStyle w:val="style0"/>
        <w:tabs/>
        <w:jc w:val="left"/>
      </w:pPr>
      <w:r>
        <w:rPr>
          <w:b w:val="false"/>
          <w:bCs w:val="false"/>
        </w:rPr>
        <w:t>- parents often minimize their children's behaviour; 20% of angry parents and 10% that try to sabotage the diversion programs, don't support their kids</w:t>
      </w:r>
    </w:p>
    <w:p>
      <w:pPr>
        <w:pStyle w:val="style0"/>
        <w:tabs/>
        <w:jc w:val="left"/>
      </w:pPr>
      <w:r>
        <w:rPr>
          <w:b w:val="false"/>
          <w:bCs w:val="false"/>
        </w:rPr>
        <w:t xml:space="preserve">- </w:t>
      </w:r>
      <w:r>
        <w:rPr>
          <w:b/>
          <w:bCs/>
        </w:rPr>
        <w:t>in general, the diversion programs has 3:1 (males to females); but the girls who tend to be involved tend to be in for more serious offences—</w:t>
      </w:r>
      <w:r>
        <w:rPr>
          <w:b w:val="false"/>
          <w:bCs w:val="false"/>
        </w:rPr>
        <w:t>for women, lots of uttering threats, assaults, shoplifting</w:t>
      </w:r>
    </w:p>
    <w:p>
      <w:pPr>
        <w:pStyle w:val="style0"/>
        <w:tabs/>
        <w:jc w:val="left"/>
      </w:pPr>
      <w:r>
        <w:rPr/>
      </w:r>
    </w:p>
    <w:p>
      <w:pPr>
        <w:pStyle w:val="style0"/>
        <w:tabs/>
        <w:jc w:val="left"/>
      </w:pPr>
      <w:r>
        <w:rPr>
          <w:b/>
          <w:bCs/>
        </w:rPr>
        <w:t>Gladieu Considerations:</w:t>
        <w:br/>
      </w:r>
      <w:r>
        <w:rPr>
          <w:b w:val="false"/>
          <w:bCs w:val="false"/>
        </w:rPr>
        <w:t xml:space="preserve">- must take into account Aboriginal background when deciding on sentencing </w:t>
      </w:r>
    </w:p>
    <w:p>
      <w:pPr>
        <w:pStyle w:val="style0"/>
        <w:tabs/>
        <w:jc w:val="left"/>
      </w:pPr>
      <w:r>
        <w:rPr>
          <w:b w:val="false"/>
          <w:bCs w:val="false"/>
        </w:rPr>
        <w:t>- route them over to Wabano first (for Aboriginal and Inuit people)</w:t>
      </w:r>
    </w:p>
    <w:p>
      <w:pPr>
        <w:pStyle w:val="style0"/>
        <w:tabs/>
        <w:jc w:val="left"/>
      </w:pPr>
      <w:r>
        <w:rPr>
          <w:b w:val="false"/>
          <w:bCs w:val="false"/>
        </w:rPr>
        <w:t xml:space="preserve">- in its initial phases </w:t>
      </w:r>
    </w:p>
    <w:sectPr>
      <w:type w:val="nextPage"/>
      <w:pgSz w:h="15840" w:w="12240"/>
      <w:pgMar w:bottom="1134" w:footer="0" w:gutter="0" w:header="0" w:left="1134" w:right="1134" w:top="1134"/>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s>
</file>

<file path=word/settings.xml><?xml version="1.0" encoding="utf-8"?>
<w:settings xmlns:w="http://schemas.openxmlformats.org/wordprocessingml/2006/main">
  <w:zoom w:percent="65"/>
</w:settings>
</file>

<file path=word/styles.xml><?xml version="1.0" encoding="utf-8"?>
<w:styles xmlns:w="http://schemas.openxmlformats.org/wordprocessingml/2006/main">
  <w:style w:styleId="style0" w:type="paragraph">
    <w:name w:val="Normal"/>
    <w:next w:val="style0"/>
    <w:pPr>
      <w:widowControl w:val="false"/>
      <w:tabs/>
      <w:suppressAutoHyphens w:val="true"/>
    </w:pPr>
    <w:rPr>
      <w:rFonts w:ascii="Times New Roman" w:cs="Arial Unicode MS" w:eastAsia="Arial Unicode MS" w:hAnsi="Times New Roman"/>
      <w:color w:val="00000A"/>
      <w:sz w:val="24"/>
      <w:szCs w:val="24"/>
      <w:lang w:bidi="hi-IN" w:eastAsia="zh-CN" w:val="en-CA"/>
    </w:rPr>
  </w:style>
  <w:style w:styleId="style15" w:type="paragraph">
    <w:name w:val="Heading"/>
    <w:basedOn w:val="style0"/>
    <w:next w:val="style16"/>
    <w:pPr>
      <w:keepNext/>
      <w:spacing w:after="120" w:before="240"/>
      <w:contextualSpacing w:val="false"/>
    </w:pPr>
    <w:rPr>
      <w:rFonts w:ascii="Arial" w:cs="Arial Unicode MS" w:eastAsia="Arial Unicode MS" w:hAnsi="Arial"/>
      <w:sz w:val="28"/>
      <w:szCs w:val="28"/>
    </w:rPr>
  </w:style>
  <w:style w:styleId="style16" w:type="paragraph">
    <w:name w:val="Text body"/>
    <w:basedOn w:val="style0"/>
    <w:next w:val="style16"/>
    <w:pPr>
      <w:spacing w:after="120" w:before="0"/>
      <w:contextualSpacing w:val="false"/>
    </w:pPr>
    <w:rPr/>
  </w:style>
  <w:style w:styleId="style17" w:type="paragraph">
    <w:name w:val="List"/>
    <w:basedOn w:val="style16"/>
    <w:next w:val="style17"/>
    <w:pPr/>
    <w:rPr/>
  </w:style>
  <w:style w:styleId="style18" w:type="paragraph">
    <w:name w:val="Caption"/>
    <w:basedOn w:val="style0"/>
    <w:next w:val="style18"/>
    <w:pPr>
      <w:suppressLineNumbers/>
      <w:spacing w:after="120" w:before="120"/>
      <w:contextualSpacing w:val="false"/>
    </w:pPr>
    <w:rPr>
      <w:i/>
      <w:iCs/>
      <w:sz w:val="24"/>
      <w:szCs w:val="24"/>
    </w:rPr>
  </w:style>
  <w:style w:styleId="style19" w:type="paragraph">
    <w:name w:val="Index"/>
    <w:basedOn w:val="style0"/>
    <w:next w:val="style19"/>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LibreOffice/3.6$MacOSX_x86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2014-05-28T17:33:47.00Z</dcterms:created>
  <cp:revision>0</cp:revision>
</cp:coreProperties>
</file>