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118" w:rsidRDefault="000D1C3D">
      <w:r>
        <w:t>Introduction to Urban Public Finance Model</w:t>
      </w:r>
    </w:p>
    <w:p w:rsidR="000D1C3D" w:rsidRDefault="000D1C3D">
      <w:r>
        <w:t>Textbook p.412-417</w:t>
      </w:r>
    </w:p>
    <w:p w:rsidR="000D1C3D" w:rsidRDefault="000D1C3D" w:rsidP="000D1C3D">
      <w:r>
        <w:t>Rental Property Owners and Homeowners</w:t>
      </w:r>
    </w:p>
    <w:p w:rsidR="000D1C3D" w:rsidRDefault="000D1C3D" w:rsidP="000D1C3D">
      <w:pPr>
        <w:pStyle w:val="ListParagraph"/>
        <w:numPr>
          <w:ilvl w:val="0"/>
          <w:numId w:val="2"/>
        </w:numPr>
      </w:pPr>
      <w:r>
        <w:t>Model has 4 economic actors: consumers, owners of housing firms, landowners, and capital owners</w:t>
      </w:r>
    </w:p>
    <w:p w:rsidR="000D1C3D" w:rsidRDefault="000D1C3D" w:rsidP="000D1C3D">
      <w:pPr>
        <w:pStyle w:val="ListParagraph"/>
        <w:numPr>
          <w:ilvl w:val="0"/>
          <w:numId w:val="2"/>
        </w:numPr>
      </w:pPr>
      <w:r>
        <w:t xml:space="preserve">Real rental housing market: Housing firms own property (land and structures), and consumers rent housing from the firm. </w:t>
      </w:r>
    </w:p>
    <w:p w:rsidR="000D1C3D" w:rsidRDefault="000D1C3D" w:rsidP="000D1C3D">
      <w:pPr>
        <w:pStyle w:val="ListParagraph"/>
        <w:numPr>
          <w:ilvl w:val="0"/>
          <w:numId w:val="2"/>
        </w:numPr>
      </w:pPr>
      <w:r>
        <w:t xml:space="preserve">Property owners in a taxing city lose as owners of land and capital. They lose as landowners because (1) the land portion </w:t>
      </w:r>
      <w:r w:rsidR="00BD0FCD">
        <w:t xml:space="preserve">of the tax decreases land rent and (2) part of the structure portion is shifted onto land. </w:t>
      </w:r>
      <w:r w:rsidR="00BD0FCD">
        <w:sym w:font="Wingdings" w:char="F0E0"/>
      </w:r>
      <w:r w:rsidR="00BD0FCD">
        <w:t xml:space="preserve"> return to capital decreases </w:t>
      </w:r>
      <w:r w:rsidR="00BD0FCD">
        <w:sym w:font="Wingdings" w:char="F0E0"/>
      </w:r>
      <w:r w:rsidR="00BD0FCD">
        <w:t xml:space="preserve"> in general, property tax decreases the market value of property</w:t>
      </w:r>
    </w:p>
    <w:p w:rsidR="00BD0FCD" w:rsidRDefault="00BD0FCD" w:rsidP="000D1C3D">
      <w:pPr>
        <w:pStyle w:val="ListParagraph"/>
        <w:numPr>
          <w:ilvl w:val="0"/>
          <w:numId w:val="2"/>
        </w:numPr>
      </w:pPr>
      <w:r>
        <w:t xml:space="preserve">Property owners in other city gain as landowners because land rent in their city rises to equalize housing rents. Like other capital owners, they lose as the region-wide return on capital decreases. So the net effect on their income and the market value of their properties is ambiguous. </w:t>
      </w:r>
    </w:p>
    <w:p w:rsidR="008D386F" w:rsidRDefault="008D386F" w:rsidP="008D386F">
      <w:r>
        <w:t>A Practical Guide for Policy Makers</w:t>
      </w:r>
    </w:p>
    <w:p w:rsidR="008D386F" w:rsidRDefault="008D386F" w:rsidP="008D386F">
      <w:pPr>
        <w:rPr>
          <w:i/>
        </w:rPr>
      </w:pPr>
      <w:r>
        <w:rPr>
          <w:i/>
        </w:rPr>
        <w:t>Who Pays the Structure Portion of the Property Tax?</w:t>
      </w:r>
    </w:p>
    <w:p w:rsidR="008D386F" w:rsidRDefault="008D386F" w:rsidP="008D386F">
      <w:r>
        <w:t>Tax Imposed by a Single City</w:t>
      </w:r>
    </w:p>
    <w:p w:rsidR="008D386F" w:rsidRDefault="008D386F" w:rsidP="008D386F">
      <w:r>
        <w:t>Effects in the taxing city:</w:t>
      </w:r>
    </w:p>
    <w:p w:rsidR="008D386F" w:rsidRDefault="008D386F" w:rsidP="008D386F">
      <w:pPr>
        <w:pStyle w:val="ListParagraph"/>
        <w:numPr>
          <w:ilvl w:val="0"/>
          <w:numId w:val="3"/>
        </w:numPr>
      </w:pPr>
      <w:r>
        <w:t>Mobile households: Landowners receive lower land rent</w:t>
      </w:r>
    </w:p>
    <w:p w:rsidR="008D386F" w:rsidRDefault="008D386F" w:rsidP="008D386F">
      <w:pPr>
        <w:pStyle w:val="ListParagraph"/>
        <w:numPr>
          <w:ilvl w:val="0"/>
          <w:numId w:val="3"/>
        </w:numPr>
      </w:pPr>
      <w:r>
        <w:t>Immobile households: Consumers pay higher housing rent</w:t>
      </w:r>
    </w:p>
    <w:p w:rsidR="008D386F" w:rsidRDefault="008D386F" w:rsidP="008D386F">
      <w:r>
        <w:t>Effects in an untaxed city:</w:t>
      </w:r>
    </w:p>
    <w:p w:rsidR="008D386F" w:rsidRDefault="008D386F" w:rsidP="008D386F">
      <w:pPr>
        <w:pStyle w:val="ListParagraph"/>
        <w:numPr>
          <w:ilvl w:val="0"/>
          <w:numId w:val="4"/>
        </w:numPr>
      </w:pPr>
      <w:r>
        <w:t>Mobile households: Landowners receive higher land rent</w:t>
      </w:r>
    </w:p>
    <w:p w:rsidR="008D386F" w:rsidRDefault="008D386F" w:rsidP="008D386F">
      <w:pPr>
        <w:pStyle w:val="ListParagraph"/>
        <w:numPr>
          <w:ilvl w:val="0"/>
          <w:numId w:val="4"/>
        </w:numPr>
      </w:pPr>
      <w:r>
        <w:t>Immobile households: Consumers pay lower housing rent</w:t>
      </w:r>
    </w:p>
    <w:p w:rsidR="008D386F" w:rsidRDefault="008D386F" w:rsidP="008D386F">
      <w:r>
        <w:t>Regional effects:</w:t>
      </w:r>
    </w:p>
    <w:p w:rsidR="008D386F" w:rsidRDefault="00B4404A" w:rsidP="00B4404A">
      <w:pPr>
        <w:pStyle w:val="ListParagraph"/>
        <w:numPr>
          <w:ilvl w:val="0"/>
          <w:numId w:val="5"/>
        </w:numPr>
      </w:pPr>
      <w:r>
        <w:t>Capital owners receive lower return on capital</w:t>
      </w:r>
    </w:p>
    <w:p w:rsidR="00B4404A" w:rsidRDefault="00B4404A" w:rsidP="00B4404A">
      <w:pPr>
        <w:pStyle w:val="ListParagraph"/>
        <w:numPr>
          <w:ilvl w:val="0"/>
          <w:numId w:val="5"/>
        </w:numPr>
      </w:pPr>
      <w:r>
        <w:t>Mobile households and fixed capital: zero-sum changes in land rent</w:t>
      </w:r>
    </w:p>
    <w:p w:rsidR="00B4404A" w:rsidRDefault="00B4404A" w:rsidP="00B4404A">
      <w:pPr>
        <w:pStyle w:val="ListParagraph"/>
        <w:numPr>
          <w:ilvl w:val="0"/>
          <w:numId w:val="5"/>
        </w:numPr>
      </w:pPr>
      <w:r>
        <w:t>Immobile households and fixed capital: zero-sum changes in housing rent</w:t>
      </w:r>
    </w:p>
    <w:p w:rsidR="00B4404A" w:rsidRDefault="00B4404A" w:rsidP="00B4404A">
      <w:pPr>
        <w:pStyle w:val="ListParagraph"/>
        <w:numPr>
          <w:ilvl w:val="0"/>
          <w:numId w:val="5"/>
        </w:numPr>
      </w:pPr>
      <w:r>
        <w:t>Mobile households and variable supply of capital: Consumers pay higher housing rent; the reduction in the return on capital is smaller</w:t>
      </w:r>
    </w:p>
    <w:p w:rsidR="00B4404A" w:rsidRDefault="00B4404A" w:rsidP="00B4404A">
      <w:r>
        <w:t>Tax Imposed by All Cities (a National Property Tax)</w:t>
      </w:r>
    </w:p>
    <w:p w:rsidR="00B4404A" w:rsidRDefault="00B4404A" w:rsidP="00B4404A">
      <w:pPr>
        <w:pStyle w:val="ListParagraph"/>
        <w:numPr>
          <w:ilvl w:val="0"/>
          <w:numId w:val="6"/>
        </w:numPr>
      </w:pPr>
      <w:r>
        <w:t>Fixed supply of capital: Entire tax borne by capital owners</w:t>
      </w:r>
    </w:p>
    <w:p w:rsidR="00B4404A" w:rsidRDefault="00B4404A" w:rsidP="00B4404A">
      <w:pPr>
        <w:pStyle w:val="ListParagraph"/>
        <w:numPr>
          <w:ilvl w:val="0"/>
          <w:numId w:val="6"/>
        </w:numPr>
      </w:pPr>
      <w:r>
        <w:t>Variable supply of capital: Part of tax shifted to housing consumers</w:t>
      </w:r>
    </w:p>
    <w:p w:rsidR="00B4404A" w:rsidRDefault="00B4404A" w:rsidP="004273A5">
      <w:pPr>
        <w:pStyle w:val="ListParagraph"/>
      </w:pPr>
    </w:p>
    <w:p w:rsidR="004273A5" w:rsidRDefault="004273A5" w:rsidP="004273A5">
      <w:pPr>
        <w:pStyle w:val="ListParagraph"/>
        <w:numPr>
          <w:ilvl w:val="0"/>
          <w:numId w:val="2"/>
        </w:numPr>
      </w:pPr>
      <w:r>
        <w:t xml:space="preserve">If the national supply of capital is fixed, the entire tax will be borne by the owner of the capital. Capital owners cannot shift the tax to anyone else because they don’t respond to the tax: They don’t move their capital between cities, and they don’t decrease the total amount of capital in </w:t>
      </w:r>
      <w:r>
        <w:lastRenderedPageBreak/>
        <w:t>the nation. Of course, if the supply of capital is variable rather than fixed, capital owners can shift the tax to households in the form of higher housing rent throughout the region</w:t>
      </w:r>
    </w:p>
    <w:p w:rsidR="004273A5" w:rsidRDefault="004273A5" w:rsidP="004273A5">
      <w:r>
        <w:t>What about the Business Property Tax?</w:t>
      </w:r>
    </w:p>
    <w:p w:rsidR="004273A5" w:rsidRDefault="00BA671A" w:rsidP="004273A5">
      <w:pPr>
        <w:pStyle w:val="ListParagraph"/>
        <w:numPr>
          <w:ilvl w:val="0"/>
          <w:numId w:val="2"/>
        </w:numPr>
      </w:pPr>
      <w:r>
        <w:t xml:space="preserve">When a single city imposes a business property tax, the general-equilibrium approach shows that the structure portion of the tax will be borne by the owners of capital throughout the region as capital flees the taxing city. </w:t>
      </w:r>
    </w:p>
    <w:p w:rsidR="00BA671A" w:rsidRDefault="00BA671A" w:rsidP="004273A5">
      <w:pPr>
        <w:pStyle w:val="ListParagraph"/>
        <w:numPr>
          <w:ilvl w:val="0"/>
          <w:numId w:val="2"/>
        </w:numPr>
      </w:pPr>
      <w:r>
        <w:t>Tax exporting is getting people outside the municipality to pay taxes</w:t>
      </w:r>
    </w:p>
    <w:p w:rsidR="00BA671A" w:rsidRDefault="00BA671A" w:rsidP="004273A5">
      <w:pPr>
        <w:pStyle w:val="ListParagraph"/>
        <w:numPr>
          <w:ilvl w:val="0"/>
          <w:numId w:val="2"/>
        </w:numPr>
      </w:pPr>
      <w:r>
        <w:t xml:space="preserve">As the price of a city’s export goods increases, the quantity demanded decreases, decreasing the tax base </w:t>
      </w:r>
    </w:p>
    <w:p w:rsidR="00BA671A" w:rsidRDefault="00BA671A" w:rsidP="004273A5">
      <w:pPr>
        <w:pStyle w:val="ListParagraph"/>
        <w:numPr>
          <w:ilvl w:val="0"/>
          <w:numId w:val="2"/>
        </w:numPr>
      </w:pPr>
      <w:r>
        <w:t>Firm have incentive to move to lower property tax cities</w:t>
      </w:r>
    </w:p>
    <w:p w:rsidR="00BA671A" w:rsidRDefault="00BA671A" w:rsidP="004273A5">
      <w:pPr>
        <w:pStyle w:val="ListParagraph"/>
        <w:numPr>
          <w:ilvl w:val="0"/>
          <w:numId w:val="2"/>
        </w:numPr>
      </w:pPr>
      <w:r>
        <w:t>Tax exporting is more lucrative when a city has a unique production advantage that makes it a superior location for export firms</w:t>
      </w:r>
    </w:p>
    <w:p w:rsidR="00BA671A" w:rsidRDefault="00BA671A" w:rsidP="00BA671A">
      <w:r>
        <w:t xml:space="preserve">The </w:t>
      </w:r>
      <w:proofErr w:type="spellStart"/>
      <w:r>
        <w:t>Tiebout</w:t>
      </w:r>
      <w:proofErr w:type="spellEnd"/>
      <w:r>
        <w:t xml:space="preserve"> Model and the Property Tax</w:t>
      </w:r>
    </w:p>
    <w:p w:rsidR="00BA671A" w:rsidRDefault="00BA671A" w:rsidP="00BA671A">
      <w:pPr>
        <w:pStyle w:val="ListParagraph"/>
        <w:numPr>
          <w:ilvl w:val="0"/>
          <w:numId w:val="2"/>
        </w:numPr>
      </w:pPr>
      <w:r>
        <w:t>If local public goods are financed with a property tax, households will also sort themselves with respect to housing consumption</w:t>
      </w:r>
    </w:p>
    <w:p w:rsidR="00BA671A" w:rsidRDefault="00BA671A" w:rsidP="00BA671A">
      <w:pPr>
        <w:pStyle w:val="ListParagraph"/>
        <w:numPr>
          <w:ilvl w:val="0"/>
          <w:numId w:val="2"/>
        </w:numPr>
      </w:pPr>
      <w:r>
        <w:t>Because households sort themselves into homogeneous communities, the property tax is a user fee, not a conventional tax</w:t>
      </w:r>
    </w:p>
    <w:p w:rsidR="00BA671A" w:rsidRDefault="00BA671A" w:rsidP="00BA671A">
      <w:pPr>
        <w:pStyle w:val="ListParagraph"/>
        <w:numPr>
          <w:ilvl w:val="0"/>
          <w:numId w:val="2"/>
        </w:numPr>
      </w:pPr>
      <w:r>
        <w:t>A household’s property tax liability is determined by its consumption of the local public good, not by its property value</w:t>
      </w:r>
    </w:p>
    <w:p w:rsidR="00BA671A" w:rsidRDefault="00BA671A" w:rsidP="00BA671A">
      <w:pPr>
        <w:pStyle w:val="ListParagraph"/>
        <w:numPr>
          <w:ilvl w:val="0"/>
          <w:numId w:val="2"/>
        </w:numPr>
      </w:pPr>
      <w:r>
        <w:t xml:space="preserve">In a </w:t>
      </w:r>
      <w:proofErr w:type="spellStart"/>
      <w:r>
        <w:t>tiebout</w:t>
      </w:r>
      <w:proofErr w:type="spellEnd"/>
      <w:r>
        <w:t xml:space="preserve"> world, households get what they paid for</w:t>
      </w:r>
    </w:p>
    <w:p w:rsidR="00BA671A" w:rsidRDefault="00BA671A" w:rsidP="00BA671A">
      <w:pPr>
        <w:pStyle w:val="ListParagraph"/>
        <w:numPr>
          <w:ilvl w:val="0"/>
          <w:numId w:val="2"/>
        </w:numPr>
      </w:pPr>
      <w:r>
        <w:t xml:space="preserve">The </w:t>
      </w:r>
      <w:proofErr w:type="spellStart"/>
      <w:r>
        <w:t>tiebout</w:t>
      </w:r>
      <w:proofErr w:type="spellEnd"/>
      <w:r>
        <w:t xml:space="preserve"> model is inapplicable to central cities, where a single municipality serves a large and diverse population. In large central cities, the property tax is not a user fee, bot a conventional tax</w:t>
      </w:r>
    </w:p>
    <w:p w:rsidR="00BA671A" w:rsidRDefault="00533034" w:rsidP="00BA671A">
      <w:r>
        <w:t>Limits on Property Taxes</w:t>
      </w:r>
    </w:p>
    <w:p w:rsidR="00533034" w:rsidRDefault="009F5389" w:rsidP="00533034">
      <w:pPr>
        <w:pStyle w:val="ListParagraph"/>
        <w:numPr>
          <w:ilvl w:val="0"/>
          <w:numId w:val="2"/>
        </w:numPr>
      </w:pPr>
      <w:r>
        <w:t>There is evidence that modern tax limits reduce property taxes</w:t>
      </w:r>
    </w:p>
    <w:p w:rsidR="009F5389" w:rsidRPr="008D386F" w:rsidRDefault="009F5389" w:rsidP="00533034">
      <w:pPr>
        <w:pStyle w:val="ListParagraph"/>
        <w:numPr>
          <w:ilvl w:val="0"/>
          <w:numId w:val="2"/>
        </w:numPr>
      </w:pPr>
      <w:r>
        <w:t xml:space="preserve">There is also some evidence </w:t>
      </w:r>
      <w:r w:rsidR="00AC6663">
        <w:t xml:space="preserve">of revenue substitution, with revenue from other sources at least partly offsetting the loss of property taxes. One response is to increase </w:t>
      </w:r>
      <w:proofErr w:type="spellStart"/>
      <w:r w:rsidR="00AC6663">
        <w:t>intergovernment</w:t>
      </w:r>
      <w:proofErr w:type="spellEnd"/>
      <w:r w:rsidR="00AC6663">
        <w:t xml:space="preserve"> grants from state government. A second response is to increase nontax revenue from fees and charges.</w:t>
      </w:r>
      <w:bookmarkStart w:id="0" w:name="_GoBack"/>
      <w:bookmarkEnd w:id="0"/>
    </w:p>
    <w:sectPr w:rsidR="009F5389" w:rsidRPr="008D38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17FEA"/>
    <w:multiLevelType w:val="hybridMultilevel"/>
    <w:tmpl w:val="90325246"/>
    <w:lvl w:ilvl="0" w:tplc="B770D7F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F12116"/>
    <w:multiLevelType w:val="hybridMultilevel"/>
    <w:tmpl w:val="D71A95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7779AA"/>
    <w:multiLevelType w:val="hybridMultilevel"/>
    <w:tmpl w:val="BCD25E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8894416"/>
    <w:multiLevelType w:val="hybridMultilevel"/>
    <w:tmpl w:val="8AFC56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A9E34C8"/>
    <w:multiLevelType w:val="hybridMultilevel"/>
    <w:tmpl w:val="EE667AE8"/>
    <w:lvl w:ilvl="0" w:tplc="16EE0924">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ADB4273"/>
    <w:multiLevelType w:val="hybridMultilevel"/>
    <w:tmpl w:val="17E4E1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C3D"/>
    <w:rsid w:val="000D1C3D"/>
    <w:rsid w:val="004273A5"/>
    <w:rsid w:val="00533034"/>
    <w:rsid w:val="007A4C5D"/>
    <w:rsid w:val="00815E95"/>
    <w:rsid w:val="008D386F"/>
    <w:rsid w:val="009F5389"/>
    <w:rsid w:val="00AC6663"/>
    <w:rsid w:val="00B4404A"/>
    <w:rsid w:val="00BA671A"/>
    <w:rsid w:val="00BD0FCD"/>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9A726-B15C-4A59-962D-44972DE13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C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592</Words>
  <Characters>3378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Wu</dc:creator>
  <cp:keywords/>
  <dc:description/>
  <cp:lastModifiedBy>Sandy Wu</cp:lastModifiedBy>
  <cp:revision>6</cp:revision>
  <dcterms:created xsi:type="dcterms:W3CDTF">2014-06-13T03:26:00Z</dcterms:created>
  <dcterms:modified xsi:type="dcterms:W3CDTF">2014-06-13T04:04:00Z</dcterms:modified>
</cp:coreProperties>
</file>