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B3C67" w14:textId="1B9D40CD" w:rsidR="009F6862" w:rsidRDefault="00CD0B8B">
      <w:pPr>
        <w:pStyle w:val="NoteLevel1"/>
        <w:rPr>
          <w:rFonts w:ascii="Times" w:hAnsi="Times"/>
        </w:rPr>
      </w:pPr>
      <w:r>
        <w:rPr>
          <w:rFonts w:ascii="Times" w:hAnsi="Times"/>
        </w:rPr>
        <w:t xml:space="preserve">- Introduction &amp; overview of course materials </w:t>
      </w:r>
    </w:p>
    <w:p w14:paraId="127B3497" w14:textId="77777777" w:rsidR="00CD0B8B" w:rsidRDefault="00CD0B8B">
      <w:pPr>
        <w:pStyle w:val="NoteLevel1"/>
        <w:rPr>
          <w:rFonts w:ascii="Times" w:hAnsi="Times"/>
        </w:rPr>
      </w:pPr>
    </w:p>
    <w:p w14:paraId="09EAF304" w14:textId="77777777" w:rsidR="009F6862" w:rsidRDefault="009F6862">
      <w:pPr>
        <w:pStyle w:val="NoteLevel1"/>
        <w:rPr>
          <w:rFonts w:ascii="Times" w:hAnsi="Times"/>
        </w:rPr>
      </w:pPr>
    </w:p>
    <w:p w14:paraId="4CD99B2F" w14:textId="77777777" w:rsidR="00973EE1" w:rsidRPr="008C6992" w:rsidRDefault="00973EE1">
      <w:pPr>
        <w:pStyle w:val="NoteLevel1"/>
        <w:rPr>
          <w:rFonts w:ascii="Times" w:hAnsi="Times"/>
        </w:rPr>
      </w:pPr>
    </w:p>
    <w:p w14:paraId="5C066D84" w14:textId="77777777" w:rsidR="00180B4B" w:rsidRDefault="00180B4B">
      <w:pPr>
        <w:pStyle w:val="NoteLevel1"/>
        <w:sectPr w:rsidR="00180B4B" w:rsidSect="00180B4B">
          <w:headerReference w:type="first" r:id="rId8"/>
          <w:pgSz w:w="12240" w:h="15840"/>
          <w:pgMar w:top="1440" w:right="1440" w:bottom="1440" w:left="1440" w:header="708" w:footer="708" w:gutter="0"/>
          <w:cols w:space="708"/>
          <w:titlePg/>
          <w:docGrid w:type="lines" w:linePitch="360"/>
        </w:sectPr>
      </w:pPr>
    </w:p>
    <w:p w14:paraId="1B9244EE" w14:textId="36E40EDC" w:rsidR="0052060E" w:rsidRDefault="0052060E" w:rsidP="00CD0B8B">
      <w:pPr>
        <w:pStyle w:val="NoteLevel1"/>
        <w:rPr>
          <w:rFonts w:ascii="Times" w:hAnsi="Times"/>
        </w:rPr>
      </w:pPr>
      <w:r>
        <w:rPr>
          <w:rFonts w:ascii="Times" w:hAnsi="Times"/>
        </w:rPr>
        <w:t>Vriend</w:t>
      </w:r>
      <w:r w:rsidR="0087436B">
        <w:rPr>
          <w:rFonts w:ascii="Times" w:hAnsi="Times"/>
        </w:rPr>
        <w:t>: see Sept. 23</w:t>
      </w:r>
      <w:r w:rsidR="0087436B" w:rsidRPr="0087436B">
        <w:rPr>
          <w:rFonts w:ascii="Times" w:hAnsi="Times"/>
          <w:vertAlign w:val="superscript"/>
        </w:rPr>
        <w:t>rd</w:t>
      </w:r>
      <w:r w:rsidR="0087436B">
        <w:rPr>
          <w:rFonts w:ascii="Times" w:hAnsi="Times"/>
        </w:rPr>
        <w:t xml:space="preserve"> reading notes </w:t>
      </w:r>
    </w:p>
    <w:p w14:paraId="45394470" w14:textId="556B2531" w:rsidR="00001A59" w:rsidRPr="00214DF3" w:rsidRDefault="00001A59" w:rsidP="0052060E">
      <w:pPr>
        <w:pStyle w:val="NoteLevel1"/>
        <w:numPr>
          <w:ilvl w:val="0"/>
          <w:numId w:val="0"/>
        </w:numPr>
        <w:rPr>
          <w:rFonts w:ascii="Times" w:hAnsi="Times"/>
        </w:rPr>
      </w:pPr>
      <w:r>
        <w:rPr>
          <w:rFonts w:ascii="Times" w:hAnsi="Times"/>
        </w:rPr>
        <w:t xml:space="preserve"> </w:t>
      </w:r>
    </w:p>
    <w:p w14:paraId="2327F020" w14:textId="77777777" w:rsidR="00180B4B" w:rsidRDefault="00180B4B">
      <w:pPr>
        <w:pStyle w:val="NoteLevel1"/>
        <w:sectPr w:rsidR="00180B4B" w:rsidSect="00180B4B">
          <w:headerReference w:type="first" r:id="rId9"/>
          <w:pgSz w:w="12240" w:h="15840"/>
          <w:pgMar w:top="1440" w:right="1440" w:bottom="1440" w:left="1440" w:header="708" w:footer="708" w:gutter="0"/>
          <w:cols w:space="708"/>
          <w:titlePg/>
          <w:docGrid w:type="lines" w:linePitch="360"/>
        </w:sectPr>
      </w:pPr>
    </w:p>
    <w:p w14:paraId="71316D49" w14:textId="103A6DDA" w:rsidR="00F50FAF" w:rsidRPr="00F50FAF" w:rsidRDefault="00BE0910" w:rsidP="00F50FAF">
      <w:pPr>
        <w:pStyle w:val="NoteLevel1"/>
        <w:rPr>
          <w:rFonts w:ascii="Times" w:hAnsi="Times"/>
        </w:rPr>
      </w:pPr>
      <w:hyperlink r:id="rId10" w:history="1">
        <w:r w:rsidR="00F50FAF" w:rsidRPr="00F50FAF">
          <w:rPr>
            <w:rStyle w:val="Hyperlink"/>
            <w:rFonts w:ascii="Times" w:hAnsi="Times"/>
          </w:rPr>
          <w:t>http://scc.lexum.org/en/1998/1998rcs1-493/1998rcs1-493.html</w:t>
        </w:r>
      </w:hyperlink>
    </w:p>
    <w:p w14:paraId="6E32E5EF" w14:textId="037CD336" w:rsidR="00F50FAF" w:rsidRDefault="00F50FAF" w:rsidP="00F50FAF">
      <w:pPr>
        <w:pStyle w:val="NoteLevel1"/>
        <w:rPr>
          <w:rFonts w:ascii="Times" w:hAnsi="Times"/>
        </w:rPr>
      </w:pPr>
      <w:r w:rsidRPr="00F50FAF">
        <w:rPr>
          <w:rFonts w:ascii="Times" w:hAnsi="Times"/>
          <w:b/>
          <w:i/>
          <w:iCs/>
          <w:sz w:val="28"/>
          <w:szCs w:val="28"/>
        </w:rPr>
        <w:t xml:space="preserve">Vriend v. Alberta, </w:t>
      </w:r>
      <w:r w:rsidRPr="00F50FAF">
        <w:rPr>
          <w:rFonts w:ascii="Times" w:hAnsi="Times"/>
          <w:b/>
          <w:sz w:val="28"/>
          <w:szCs w:val="28"/>
        </w:rPr>
        <w:t>[1998] 1 S.C.R. 493 (paras. 108-202)</w:t>
      </w:r>
      <w:r>
        <w:rPr>
          <w:rFonts w:ascii="Times" w:hAnsi="Times"/>
        </w:rPr>
        <w:br/>
      </w:r>
      <w:r w:rsidR="005B44C7">
        <w:rPr>
          <w:rFonts w:ascii="Times" w:hAnsi="Times"/>
        </w:rPr>
        <w:t xml:space="preserve">IACOBUCCI, J: </w:t>
      </w:r>
    </w:p>
    <w:p w14:paraId="3ABB88BF" w14:textId="3A131146" w:rsidR="00F50FAF" w:rsidRPr="00D0482D" w:rsidRDefault="00F50FAF" w:rsidP="00F50FAF">
      <w:pPr>
        <w:pStyle w:val="NoteLevel1"/>
        <w:rPr>
          <w:rFonts w:ascii="Times" w:hAnsi="Times"/>
          <w:u w:val="single"/>
        </w:rPr>
      </w:pPr>
      <w:r w:rsidRPr="00D0482D">
        <w:rPr>
          <w:rFonts w:ascii="Times" w:hAnsi="Times"/>
          <w:u w:val="single"/>
        </w:rPr>
        <w:t xml:space="preserve">I. Analysis </w:t>
      </w:r>
    </w:p>
    <w:p w14:paraId="088A73DD" w14:textId="4C29D038" w:rsidR="00F50FAF" w:rsidRDefault="00F50FAF" w:rsidP="00F50FAF">
      <w:pPr>
        <w:pStyle w:val="NoteLevel1"/>
        <w:rPr>
          <w:rFonts w:ascii="Times" w:hAnsi="Times"/>
        </w:rPr>
      </w:pPr>
      <w:r>
        <w:rPr>
          <w:rFonts w:ascii="Times" w:hAnsi="Times"/>
        </w:rPr>
        <w:t xml:space="preserve">- Section 1 of the </w:t>
      </w:r>
      <w:r>
        <w:rPr>
          <w:rFonts w:ascii="Times" w:hAnsi="Times"/>
          <w:i/>
        </w:rPr>
        <w:t>Charter</w:t>
      </w:r>
      <w:r>
        <w:rPr>
          <w:rFonts w:ascii="Times" w:hAnsi="Times"/>
        </w:rPr>
        <w:t xml:space="preserve"> </w:t>
      </w:r>
    </w:p>
    <w:p w14:paraId="26CE1C8B" w14:textId="612DC7F1" w:rsidR="00F50FAF" w:rsidRDefault="00F50FAF" w:rsidP="00F50FAF">
      <w:pPr>
        <w:pStyle w:val="NoteLevel2"/>
        <w:rPr>
          <w:rFonts w:ascii="Times" w:hAnsi="Times"/>
        </w:rPr>
      </w:pPr>
      <w:r>
        <w:rPr>
          <w:rFonts w:ascii="Times" w:hAnsi="Times"/>
        </w:rPr>
        <w:t xml:space="preserve">S. 1 guarantees the rights &amp; freedoms set out therein, but allows for </w:t>
      </w:r>
      <w:r>
        <w:rPr>
          <w:rFonts w:ascii="Times" w:hAnsi="Times"/>
          <w:i/>
        </w:rPr>
        <w:t>Charter</w:t>
      </w:r>
      <w:r>
        <w:rPr>
          <w:rFonts w:ascii="Times" w:hAnsi="Times"/>
        </w:rPr>
        <w:t xml:space="preserve"> infringements provided the state can establish they are reasonably justifiable in a free and democratic society </w:t>
      </w:r>
    </w:p>
    <w:p w14:paraId="3A374D36" w14:textId="184C6D07" w:rsidR="0036430B" w:rsidRDefault="00990A8D" w:rsidP="00F50FAF">
      <w:pPr>
        <w:pStyle w:val="NoteLevel2"/>
        <w:rPr>
          <w:rFonts w:ascii="Times" w:hAnsi="Times"/>
        </w:rPr>
      </w:pPr>
      <w:r>
        <w:rPr>
          <w:rFonts w:ascii="Times" w:hAnsi="Times"/>
        </w:rPr>
        <w:t xml:space="preserve">The framework for determining whether a statutory provision is a reasonable limit on a </w:t>
      </w:r>
      <w:r>
        <w:rPr>
          <w:rFonts w:ascii="Times" w:hAnsi="Times"/>
          <w:i/>
        </w:rPr>
        <w:t>Charter</w:t>
      </w:r>
      <w:r>
        <w:rPr>
          <w:rFonts w:ascii="Times" w:hAnsi="Times"/>
        </w:rPr>
        <w:t xml:space="preserve"> right or freedom has been set out many times since it was first established in </w:t>
      </w:r>
      <w:r w:rsidRPr="00990A8D">
        <w:rPr>
          <w:rFonts w:ascii="Times" w:hAnsi="Times"/>
          <w:i/>
        </w:rPr>
        <w:t>R. v. Oakes</w:t>
      </w:r>
      <w:r>
        <w:rPr>
          <w:rFonts w:ascii="Times" w:hAnsi="Times"/>
        </w:rPr>
        <w:t>, [1986] 1 S.C.R. 103.</w:t>
      </w:r>
    </w:p>
    <w:p w14:paraId="5E5C5C43" w14:textId="2F695956" w:rsidR="00990A8D" w:rsidRDefault="00990A8D" w:rsidP="00F50FAF">
      <w:pPr>
        <w:pStyle w:val="NoteLevel2"/>
        <w:rPr>
          <w:rFonts w:ascii="Times" w:hAnsi="Times"/>
        </w:rPr>
      </w:pPr>
      <w:r>
        <w:rPr>
          <w:rFonts w:ascii="Times" w:hAnsi="Times"/>
        </w:rPr>
        <w:t xml:space="preserve">The  </w:t>
      </w:r>
      <w:r>
        <w:rPr>
          <w:rFonts w:ascii="Times" w:hAnsi="Times"/>
          <w:i/>
        </w:rPr>
        <w:t>Oakes</w:t>
      </w:r>
      <w:r>
        <w:rPr>
          <w:rFonts w:ascii="Times" w:hAnsi="Times"/>
        </w:rPr>
        <w:t xml:space="preserve"> Test was recently restate in Egan at para 182, and was quote with approval in Eldridge, at para 84:</w:t>
      </w:r>
    </w:p>
    <w:p w14:paraId="395BD2B9" w14:textId="0EE90E52" w:rsidR="00990A8D" w:rsidRDefault="00990A8D" w:rsidP="00990A8D">
      <w:pPr>
        <w:pStyle w:val="NoteLevel3"/>
        <w:rPr>
          <w:rFonts w:ascii="Times" w:hAnsi="Times"/>
        </w:rPr>
      </w:pPr>
      <w:r>
        <w:rPr>
          <w:rFonts w:ascii="Times" w:hAnsi="Times"/>
        </w:rPr>
        <w:t xml:space="preserve">A limit to a constitutional guarantee will be sustained once two conditions are met: 1) the objective of the legislation must be pressing &amp; substantial; 2) the means chosen to attain this legislative end must be reasonable and demonstrably justifiable in a free and democratic society. </w:t>
      </w:r>
    </w:p>
    <w:p w14:paraId="3C8402B9" w14:textId="7FF607E4" w:rsidR="00990A8D" w:rsidRDefault="00990A8D" w:rsidP="00990A8D">
      <w:pPr>
        <w:pStyle w:val="NoteLevel3"/>
        <w:rPr>
          <w:rFonts w:ascii="Times" w:hAnsi="Times"/>
        </w:rPr>
      </w:pPr>
      <w:r>
        <w:rPr>
          <w:rFonts w:ascii="Times" w:hAnsi="Times"/>
        </w:rPr>
        <w:t xml:space="preserve">In order to satisfy the second requirement, three criteria must be satisfied: 1) the rights violation must be rationally connected to the aim of the legislation; 2) the impugned provision must minimally impair the </w:t>
      </w:r>
      <w:r>
        <w:rPr>
          <w:rFonts w:ascii="Times" w:hAnsi="Times"/>
          <w:i/>
        </w:rPr>
        <w:t>Charter</w:t>
      </w:r>
      <w:r>
        <w:rPr>
          <w:rFonts w:ascii="Times" w:hAnsi="Times"/>
        </w:rPr>
        <w:t xml:space="preserve"> guarantee; and 3) there must be a proportionality btwn the effect of the measure and its objective so that the attainment of the legislative goal isn’t outweighed by the abridgement of the rights </w:t>
      </w:r>
    </w:p>
    <w:p w14:paraId="3CA332FB" w14:textId="7F09F435" w:rsidR="00990A8D" w:rsidRDefault="00990A8D" w:rsidP="00990A8D">
      <w:pPr>
        <w:pStyle w:val="NoteLevel3"/>
        <w:rPr>
          <w:rFonts w:ascii="Times" w:hAnsi="Times"/>
        </w:rPr>
      </w:pPr>
      <w:r>
        <w:rPr>
          <w:rFonts w:ascii="Times" w:hAnsi="Times"/>
        </w:rPr>
        <w:t>In all section 1 cases, the burden of proof is w/ the gov’t to show on a balance of probabilities that the violation is justifiable</w:t>
      </w:r>
    </w:p>
    <w:p w14:paraId="3BEA9EBF" w14:textId="46C4710D" w:rsidR="00990A8D" w:rsidRDefault="00990A8D" w:rsidP="00990A8D">
      <w:pPr>
        <w:pStyle w:val="NoteLevel2"/>
        <w:rPr>
          <w:rFonts w:ascii="Times" w:hAnsi="Times"/>
        </w:rPr>
      </w:pPr>
      <w:r>
        <w:rPr>
          <w:rFonts w:ascii="Times" w:hAnsi="Times"/>
        </w:rPr>
        <w:t xml:space="preserve">Pressing &amp; Substantial Objective </w:t>
      </w:r>
    </w:p>
    <w:p w14:paraId="32D8EB37" w14:textId="1C8E8B7D" w:rsidR="00990A8D" w:rsidRDefault="00990A8D" w:rsidP="00990A8D">
      <w:pPr>
        <w:pStyle w:val="NoteLevel3"/>
        <w:rPr>
          <w:rFonts w:ascii="Times" w:hAnsi="Times"/>
        </w:rPr>
      </w:pPr>
      <w:r>
        <w:rPr>
          <w:rFonts w:ascii="Times" w:hAnsi="Times"/>
        </w:rPr>
        <w:t xml:space="preserve">Where a law has been found to violate the </w:t>
      </w:r>
      <w:r>
        <w:rPr>
          <w:rFonts w:ascii="Times" w:hAnsi="Times"/>
          <w:i/>
        </w:rPr>
        <w:t>Charter</w:t>
      </w:r>
      <w:r>
        <w:rPr>
          <w:rFonts w:ascii="Times" w:hAnsi="Times"/>
        </w:rPr>
        <w:t xml:space="preserve"> owing to underinclusion, the legislation as a whole, the impugned provisions, and the omission itself are all properly considered </w:t>
      </w:r>
    </w:p>
    <w:p w14:paraId="436F369A" w14:textId="1C9E4979" w:rsidR="00990A8D" w:rsidRDefault="00990A8D" w:rsidP="00990A8D">
      <w:pPr>
        <w:pStyle w:val="NoteLevel3"/>
        <w:rPr>
          <w:rFonts w:ascii="Times" w:hAnsi="Times"/>
        </w:rPr>
      </w:pPr>
      <w:r>
        <w:rPr>
          <w:rFonts w:ascii="Times" w:hAnsi="Times"/>
        </w:rPr>
        <w:t xml:space="preserve">S. 1 of the </w:t>
      </w:r>
      <w:r>
        <w:rPr>
          <w:rFonts w:ascii="Times" w:hAnsi="Times"/>
          <w:i/>
        </w:rPr>
        <w:t>Charter</w:t>
      </w:r>
      <w:r>
        <w:rPr>
          <w:rFonts w:ascii="Times" w:hAnsi="Times"/>
        </w:rPr>
        <w:t xml:space="preserve"> states that it is the limits on </w:t>
      </w:r>
      <w:r>
        <w:rPr>
          <w:rFonts w:ascii="Times" w:hAnsi="Times"/>
          <w:i/>
        </w:rPr>
        <w:t>Charter</w:t>
      </w:r>
      <w:r>
        <w:rPr>
          <w:rFonts w:ascii="Times" w:hAnsi="Times"/>
        </w:rPr>
        <w:t xml:space="preserve"> rights and freedoms that must be demonstrably justified in a free &amp; democratic society. Under the first part of the </w:t>
      </w:r>
      <w:r>
        <w:rPr>
          <w:rFonts w:ascii="Times" w:hAnsi="Times"/>
          <w:i/>
        </w:rPr>
        <w:t>Oakes</w:t>
      </w:r>
      <w:r>
        <w:rPr>
          <w:rFonts w:ascii="Times" w:hAnsi="Times"/>
        </w:rPr>
        <w:t xml:space="preserve"> test, the analysis must focus upon the objective of the impugned limitation, or in this case (Vriend) the omission. </w:t>
      </w:r>
    </w:p>
    <w:p w14:paraId="5BBB5AAE" w14:textId="290406B8" w:rsidR="007454F7" w:rsidRDefault="007454F7" w:rsidP="00990A8D">
      <w:pPr>
        <w:pStyle w:val="NoteLevel3"/>
        <w:rPr>
          <w:rFonts w:ascii="Times" w:hAnsi="Times"/>
        </w:rPr>
      </w:pPr>
      <w:r>
        <w:rPr>
          <w:rFonts w:ascii="Times" w:hAnsi="Times"/>
        </w:rPr>
        <w:t xml:space="preserve">In </w:t>
      </w:r>
      <w:r>
        <w:rPr>
          <w:rFonts w:ascii="Times" w:hAnsi="Times"/>
          <w:i/>
        </w:rPr>
        <w:t>Oakes</w:t>
      </w:r>
      <w:r>
        <w:rPr>
          <w:rFonts w:ascii="Times" w:hAnsi="Times"/>
        </w:rPr>
        <w:t xml:space="preserve">, Dickson C.J. noted that it was the objective “which the measures responsible for a limit on a </w:t>
      </w:r>
      <w:r>
        <w:rPr>
          <w:rFonts w:ascii="Times" w:hAnsi="Times"/>
          <w:i/>
        </w:rPr>
        <w:t>Charter</w:t>
      </w:r>
      <w:r>
        <w:rPr>
          <w:rFonts w:ascii="Times" w:hAnsi="Times"/>
        </w:rPr>
        <w:t xml:space="preserve"> right or freedom are designed to serve” that must be pressing  &amp; substantial </w:t>
      </w:r>
    </w:p>
    <w:p w14:paraId="3ECF1276" w14:textId="10E3B93D" w:rsidR="007454F7" w:rsidRDefault="005B44C7" w:rsidP="00990A8D">
      <w:pPr>
        <w:pStyle w:val="NoteLevel3"/>
        <w:rPr>
          <w:rFonts w:ascii="Times" w:hAnsi="Times"/>
        </w:rPr>
      </w:pPr>
      <w:r>
        <w:rPr>
          <w:rFonts w:ascii="Times" w:hAnsi="Times"/>
        </w:rPr>
        <w:t>“In my opinion, the objective of the omission cannot be fully understood in isolation. […] Some consideration must also be given to both the purposes of the Act as a whole (IRPA) and the specific impugned provisions so as to give the objective of the omission the context that is necessary for a more complete understanding of its operation in the br</w:t>
      </w:r>
      <w:r w:rsidR="00C51AB3">
        <w:rPr>
          <w:rFonts w:ascii="Times" w:hAnsi="Times"/>
        </w:rPr>
        <w:t xml:space="preserve">oader scheme of the legislation.” </w:t>
      </w:r>
      <w:r w:rsidR="0058504A">
        <w:rPr>
          <w:rFonts w:ascii="Times" w:hAnsi="Times"/>
        </w:rPr>
        <w:t xml:space="preserve"> (**makes sense)</w:t>
      </w:r>
    </w:p>
    <w:p w14:paraId="798C27E7" w14:textId="2FD2ECCC" w:rsidR="0058504A" w:rsidRPr="00D341B2" w:rsidRDefault="0058504A" w:rsidP="00990A8D">
      <w:pPr>
        <w:pStyle w:val="NoteLevel3"/>
        <w:rPr>
          <w:rFonts w:ascii="Times" w:hAnsi="Times"/>
          <w:color w:val="FF0000"/>
        </w:rPr>
      </w:pPr>
      <w:r>
        <w:rPr>
          <w:rFonts w:ascii="Times" w:hAnsi="Times"/>
        </w:rPr>
        <w:t xml:space="preserve">Applying these principles to the case at bar, </w:t>
      </w:r>
      <w:r w:rsidRPr="00D341B2">
        <w:rPr>
          <w:rFonts w:ascii="Times" w:hAnsi="Times"/>
          <w:color w:val="FF0000"/>
        </w:rPr>
        <w:t>the preamble of the IRPA suggests that the object of the Act in its entirety is the recognition and protection of the inherent dignity and inalienable rights of Albertans through the eliminat</w:t>
      </w:r>
      <w:r w:rsidR="00FD0B61" w:rsidRPr="00D341B2">
        <w:rPr>
          <w:rFonts w:ascii="Times" w:hAnsi="Times"/>
          <w:color w:val="FF0000"/>
        </w:rPr>
        <w:t xml:space="preserve">ion of discriminatory practices. The protection of HR in our society is a laudable </w:t>
      </w:r>
      <w:r w:rsidR="00FD0B61" w:rsidRPr="00D341B2">
        <w:rPr>
          <w:rFonts w:ascii="Times" w:hAnsi="Times"/>
          <w:color w:val="FF0000"/>
          <w:sz w:val="22"/>
          <w:szCs w:val="22"/>
        </w:rPr>
        <w:t xml:space="preserve">[deserving praise; commendable] </w:t>
      </w:r>
      <w:r w:rsidR="00951D95" w:rsidRPr="00D341B2">
        <w:rPr>
          <w:rFonts w:ascii="Times" w:hAnsi="Times"/>
          <w:color w:val="FF0000"/>
        </w:rPr>
        <w:t xml:space="preserve">and is aptly </w:t>
      </w:r>
      <w:r w:rsidR="00951D95" w:rsidRPr="00D341B2">
        <w:rPr>
          <w:rFonts w:ascii="Times" w:hAnsi="Times"/>
          <w:color w:val="FF0000"/>
          <w:sz w:val="22"/>
          <w:szCs w:val="22"/>
        </w:rPr>
        <w:t>[likely; prone to]</w:t>
      </w:r>
      <w:r w:rsidR="00951D95" w:rsidRPr="00D341B2">
        <w:rPr>
          <w:rFonts w:ascii="Times" w:hAnsi="Times"/>
          <w:color w:val="FF0000"/>
        </w:rPr>
        <w:t xml:space="preserve"> described as pressing and substantial. As to the impugned provisions, their objective can generally be described as the protection against discrimination for Albertans belonging to specific groups in various settings, for ex: </w:t>
      </w:r>
      <w:r w:rsidR="00EF3251" w:rsidRPr="00D341B2">
        <w:rPr>
          <w:rFonts w:ascii="Times" w:hAnsi="Times"/>
          <w:color w:val="FF0000"/>
        </w:rPr>
        <w:t xml:space="preserve">employment and accommodation. This too is properly regarded as a pressing and substantial objective. </w:t>
      </w:r>
    </w:p>
    <w:p w14:paraId="4F40A0A2" w14:textId="1EC20B61" w:rsidR="00A96AE3" w:rsidRDefault="004C172E" w:rsidP="00990A8D">
      <w:pPr>
        <w:pStyle w:val="NoteLevel3"/>
        <w:rPr>
          <w:rFonts w:ascii="Times" w:hAnsi="Times"/>
        </w:rPr>
      </w:pPr>
      <w:r>
        <w:rPr>
          <w:rFonts w:ascii="Times" w:hAnsi="Times"/>
        </w:rPr>
        <w:t xml:space="preserve">The respondents submit that only the overall goal of the Act need be examined and offer no direct submissions to answer the question of the objective of omission. In the Court of Appeal,  absent any evidence on this point, Hunt J.A. relied on the factum of the respondents from which she gleaned several possible reasons why, when the matter was debated by the Alberta Legislature in 1985 and other times, a decision was mad to not add sexual orientation to the IRPA. </w:t>
      </w:r>
    </w:p>
    <w:p w14:paraId="153B45AF" w14:textId="035B0893" w:rsidR="004C172E" w:rsidRDefault="004C172E" w:rsidP="00990A8D">
      <w:pPr>
        <w:pStyle w:val="NoteLevel3"/>
        <w:rPr>
          <w:rFonts w:ascii="Times" w:hAnsi="Times"/>
        </w:rPr>
      </w:pPr>
      <w:r w:rsidRPr="00D341B2">
        <w:rPr>
          <w:rFonts w:ascii="Times" w:hAnsi="Times"/>
          <w:color w:val="FF0000"/>
        </w:rPr>
        <w:t xml:space="preserve">At the first stage of the </w:t>
      </w:r>
      <w:r w:rsidRPr="00D341B2">
        <w:rPr>
          <w:rFonts w:ascii="Times" w:hAnsi="Times"/>
          <w:i/>
          <w:color w:val="FF0000"/>
        </w:rPr>
        <w:t>Oakes</w:t>
      </w:r>
      <w:r w:rsidRPr="00D341B2">
        <w:rPr>
          <w:rFonts w:ascii="Times" w:hAnsi="Times"/>
          <w:color w:val="FF0000"/>
        </w:rPr>
        <w:t xml:space="preserve"> test, the gov’t is asked to demonstrate that the “objective” of the omission is pressing and substantial. An “objective”, being a goal or purpose to be achieved, is very different concept from an “explanation” which makes plain that which is not immediately obvious.</w:t>
      </w:r>
      <w:r>
        <w:rPr>
          <w:rFonts w:ascii="Times" w:hAnsi="Times"/>
        </w:rPr>
        <w:t xml:space="preserve"> (Hence, the reasons given as to why it wasn’t added are of little help—para 114)</w:t>
      </w:r>
    </w:p>
    <w:p w14:paraId="7682649E" w14:textId="06B52FB3" w:rsidR="004C172E" w:rsidRPr="00D341B2" w:rsidRDefault="00DB53F3" w:rsidP="00DB53F3">
      <w:pPr>
        <w:pStyle w:val="NoteLevel3"/>
        <w:rPr>
          <w:rFonts w:ascii="Times" w:hAnsi="Times"/>
          <w:color w:val="FF0000"/>
        </w:rPr>
      </w:pPr>
      <w:r>
        <w:rPr>
          <w:rFonts w:ascii="Times" w:hAnsi="Times"/>
        </w:rPr>
        <w:t xml:space="preserve">In his reasons for judgment, McClung J.A. alludes to “moral” considerations that likely informed the Legislature’s choice. Even if these considerations could be said to amount to a pressing and substantial objective (which Iacobucci finds difficult in this case), it’s well established that the onus of justifying a </w:t>
      </w:r>
      <w:r>
        <w:rPr>
          <w:rFonts w:ascii="Times" w:hAnsi="Times"/>
          <w:i/>
        </w:rPr>
        <w:t>Charter</w:t>
      </w:r>
      <w:r>
        <w:rPr>
          <w:rFonts w:ascii="Times" w:hAnsi="Times"/>
        </w:rPr>
        <w:t xml:space="preserve"> infringement rests on the gov’t (Andrews v. Law Society of BC). </w:t>
      </w:r>
      <w:r w:rsidRPr="00D341B2">
        <w:rPr>
          <w:rFonts w:ascii="Times" w:hAnsi="Times"/>
          <w:color w:val="FF0000"/>
        </w:rPr>
        <w:t xml:space="preserve">In the absence of any submissions regarding the pressing and substantial nature of the objective of the omission, the respondents have failed to discharge their evidentiary burden, and thus, [Iacobucci] concludes that their case must fail at this first stage of the s.1 analysis </w:t>
      </w:r>
    </w:p>
    <w:p w14:paraId="6FF39647" w14:textId="371DE053" w:rsidR="00DB53F3" w:rsidRDefault="005F62DB" w:rsidP="00DB53F3">
      <w:pPr>
        <w:pStyle w:val="NoteLevel3"/>
        <w:rPr>
          <w:rFonts w:ascii="Times" w:hAnsi="Times"/>
        </w:rPr>
      </w:pPr>
      <w:r>
        <w:rPr>
          <w:rFonts w:ascii="Times" w:hAnsi="Times"/>
        </w:rPr>
        <w:t xml:space="preserve">Often, the objective of an omission is discernible from the Act as a whole. Where it’s not, one can look to the effects of the omission. Even if [Iacobucci] were to put the evidentiary burden aside in an attempt to discover an objective for the omission from the provisions of the IRPA, in his view, the result would be the same. The overall goal of the IRPA is the protection of the dignity and rights of all persons living in Alberta. The exclusion of sexual orientation from the Act effectively denies gay men and lesbians such protection. In his view, where, as here, </w:t>
      </w:r>
      <w:r w:rsidRPr="00A637E6">
        <w:rPr>
          <w:rFonts w:ascii="Times" w:hAnsi="Times"/>
          <w:color w:val="FF0000"/>
        </w:rPr>
        <w:t xml:space="preserve">a legislative omission is on its face the very antithesis of the principles embodied in the legislation as a whole, the Act itself cannot be said to indicate any discernible objective for the omission that might be described as pressing and substantial so as to justify overriding constitutionally protected rights. Thus, on either analysis, the respondents’ case fails at the initial step of the </w:t>
      </w:r>
      <w:r w:rsidRPr="00A637E6">
        <w:rPr>
          <w:rFonts w:ascii="Times" w:hAnsi="Times"/>
          <w:i/>
          <w:color w:val="FF0000"/>
        </w:rPr>
        <w:t>Oakes</w:t>
      </w:r>
      <w:r w:rsidRPr="00A637E6">
        <w:rPr>
          <w:rFonts w:ascii="Times" w:hAnsi="Times"/>
          <w:color w:val="FF0000"/>
        </w:rPr>
        <w:t xml:space="preserve"> test. </w:t>
      </w:r>
    </w:p>
    <w:p w14:paraId="3F076100" w14:textId="31CF7FAD" w:rsidR="000B105C" w:rsidRDefault="00E05518" w:rsidP="00A637E6">
      <w:pPr>
        <w:pStyle w:val="NoteLevel2"/>
        <w:rPr>
          <w:rFonts w:ascii="Times" w:hAnsi="Times"/>
        </w:rPr>
      </w:pPr>
      <w:r>
        <w:rPr>
          <w:rFonts w:ascii="Times" w:hAnsi="Times"/>
        </w:rPr>
        <w:t xml:space="preserve">Proportionality Analysis </w:t>
      </w:r>
    </w:p>
    <w:p w14:paraId="0061DC81" w14:textId="5CD5B934" w:rsidR="00E05518" w:rsidRDefault="00E05518" w:rsidP="00E05518">
      <w:pPr>
        <w:pStyle w:val="NoteLevel2"/>
        <w:numPr>
          <w:ilvl w:val="0"/>
          <w:numId w:val="6"/>
        </w:numPr>
        <w:rPr>
          <w:rFonts w:ascii="Times" w:hAnsi="Times"/>
        </w:rPr>
      </w:pPr>
      <w:r>
        <w:rPr>
          <w:rFonts w:ascii="Times" w:hAnsi="Times"/>
        </w:rPr>
        <w:t>Rational Connection</w:t>
      </w:r>
    </w:p>
    <w:p w14:paraId="382BDB4A" w14:textId="38E440B6" w:rsidR="00E05518" w:rsidRPr="00C305A4" w:rsidRDefault="00E05518" w:rsidP="00E05518">
      <w:pPr>
        <w:pStyle w:val="NoteLevel3"/>
        <w:rPr>
          <w:rFonts w:ascii="Times" w:hAnsi="Times"/>
        </w:rPr>
      </w:pPr>
      <w:r>
        <w:rPr>
          <w:rFonts w:ascii="Times" w:hAnsi="Times"/>
        </w:rPr>
        <w:t>On the basis of his conclusion above, it’s not necessary to analyse the 2</w:t>
      </w:r>
      <w:r w:rsidRPr="00E05518">
        <w:rPr>
          <w:rFonts w:ascii="Times" w:hAnsi="Times"/>
          <w:vertAlign w:val="superscript"/>
        </w:rPr>
        <w:t>nd</w:t>
      </w:r>
      <w:r>
        <w:rPr>
          <w:rFonts w:ascii="Times" w:hAnsi="Times"/>
        </w:rPr>
        <w:t xml:space="preserve"> part of the </w:t>
      </w:r>
      <w:r w:rsidRPr="002A2E53">
        <w:rPr>
          <w:rFonts w:ascii="Times" w:hAnsi="Times"/>
          <w:i/>
        </w:rPr>
        <w:t>Oakes</w:t>
      </w:r>
      <w:r>
        <w:rPr>
          <w:rFonts w:ascii="Times" w:hAnsi="Times"/>
        </w:rPr>
        <w:t xml:space="preserve"> test to dispose of this appeal. </w:t>
      </w:r>
      <w:r w:rsidR="002A2E53">
        <w:rPr>
          <w:rFonts w:ascii="Times" w:hAnsi="Times"/>
        </w:rPr>
        <w:t>However, to deal w/ this matter more fully, [Iacobucci] will go on to consider the remain</w:t>
      </w:r>
      <w:r w:rsidR="00207228">
        <w:rPr>
          <w:rFonts w:ascii="Times" w:hAnsi="Times"/>
        </w:rPr>
        <w:t>der of the test. He will assume</w:t>
      </w:r>
      <w:r w:rsidR="002A2E53">
        <w:rPr>
          <w:rFonts w:ascii="Times" w:hAnsi="Times"/>
        </w:rPr>
        <w:t xml:space="preserve">, solely for the sake of analysis, that the respondents correctly argued that where the objective of the whole of the legislation is pressing &amp; substantial, this is sufficient to satisfy the first stage of the inquiry under s. 1 of the </w:t>
      </w:r>
      <w:r w:rsidR="002A2E53">
        <w:rPr>
          <w:rFonts w:ascii="Times" w:hAnsi="Times"/>
          <w:i/>
        </w:rPr>
        <w:t>Charter</w:t>
      </w:r>
      <w:r w:rsidR="00207228">
        <w:rPr>
          <w:rFonts w:ascii="Times" w:hAnsi="Times"/>
          <w:i/>
          <w:iCs/>
        </w:rPr>
        <w:t xml:space="preserve">. </w:t>
      </w:r>
    </w:p>
    <w:p w14:paraId="0B89DA42" w14:textId="0C4290C7" w:rsidR="00C305A4" w:rsidRDefault="007C4C12" w:rsidP="00E05518">
      <w:pPr>
        <w:pStyle w:val="NoteLevel3"/>
        <w:rPr>
          <w:rFonts w:ascii="Times" w:hAnsi="Times"/>
        </w:rPr>
      </w:pPr>
      <w:r w:rsidRPr="007C4C12">
        <w:rPr>
          <w:rFonts w:ascii="Times" w:hAnsi="Times"/>
          <w:color w:val="FF0000"/>
        </w:rPr>
        <w:t>At the 2</w:t>
      </w:r>
      <w:r w:rsidRPr="007C4C12">
        <w:rPr>
          <w:rFonts w:ascii="Times" w:hAnsi="Times"/>
          <w:color w:val="FF0000"/>
          <w:vertAlign w:val="superscript"/>
        </w:rPr>
        <w:t>nd</w:t>
      </w:r>
      <w:r w:rsidRPr="007C4C12">
        <w:rPr>
          <w:rFonts w:ascii="Times" w:hAnsi="Times"/>
          <w:color w:val="FF0000"/>
        </w:rPr>
        <w:t xml:space="preserve"> stage of the </w:t>
      </w:r>
      <w:r w:rsidRPr="007C4C12">
        <w:rPr>
          <w:rFonts w:ascii="Times" w:hAnsi="Times"/>
          <w:i/>
          <w:color w:val="FF0000"/>
        </w:rPr>
        <w:t>Oakes</w:t>
      </w:r>
      <w:r w:rsidRPr="007C4C12">
        <w:rPr>
          <w:rFonts w:ascii="Times" w:hAnsi="Times"/>
          <w:color w:val="FF0000"/>
        </w:rPr>
        <w:t xml:space="preserve"> test, the preliminary inquiry is a consideration of the rationality of the impugned provisions. The party invoking s.1 must demonstrate that a rational connection exists btwn the objective of the provisions under attack and the measures that have been adopted</w:t>
      </w:r>
      <w:r>
        <w:rPr>
          <w:rFonts w:ascii="Times" w:hAnsi="Times"/>
        </w:rPr>
        <w:t xml:space="preserve">. In this case, it falls to the Legislature to show that there is a rational connection btwn the goal of protection against discrimination for Albertans belonging to specific groups in various settings, and the exclusion of gay men and lesbians from the impugned provisions of the IRPA. </w:t>
      </w:r>
    </w:p>
    <w:p w14:paraId="70B8E6A0" w14:textId="2F477853" w:rsidR="007C4C12" w:rsidRDefault="007C4C12" w:rsidP="00E05518">
      <w:pPr>
        <w:pStyle w:val="NoteLevel3"/>
        <w:rPr>
          <w:rFonts w:ascii="Times" w:hAnsi="Times"/>
        </w:rPr>
      </w:pPr>
      <w:r w:rsidRPr="0011597C">
        <w:rPr>
          <w:rFonts w:ascii="Times" w:hAnsi="Times"/>
          <w:color w:val="FF0000"/>
        </w:rPr>
        <w:t xml:space="preserve">Far from being rationally connected to the objective of the impugned provisions, the exclusion of sexual orientation from the Act is antithetical to that goal. </w:t>
      </w:r>
      <w:r w:rsidR="002312F9" w:rsidRPr="0011597C">
        <w:rPr>
          <w:rFonts w:ascii="Times" w:hAnsi="Times"/>
          <w:color w:val="FF0000"/>
        </w:rPr>
        <w:t>It would be nonsensical to say that the goal of protecting persons from discrimination is rationally connected to, or advanced by, denying such protecting to a group which this Court has recognized as historically disadvantaged</w:t>
      </w:r>
      <w:r w:rsidR="002312F9">
        <w:rPr>
          <w:rFonts w:ascii="Times" w:hAnsi="Times"/>
        </w:rPr>
        <w:t xml:space="preserve"> (</w:t>
      </w:r>
      <w:r w:rsidR="002312F9" w:rsidRPr="002312F9">
        <w:rPr>
          <w:rFonts w:ascii="Times" w:hAnsi="Times"/>
          <w:i/>
        </w:rPr>
        <w:t>Egan</w:t>
      </w:r>
      <w:r w:rsidR="002312F9">
        <w:rPr>
          <w:rFonts w:ascii="Times" w:hAnsi="Times"/>
        </w:rPr>
        <w:t xml:space="preserve">) </w:t>
      </w:r>
    </w:p>
    <w:p w14:paraId="63DFCA63" w14:textId="5A7A14CA" w:rsidR="002312F9" w:rsidRDefault="002312F9" w:rsidP="00E05518">
      <w:pPr>
        <w:pStyle w:val="NoteLevel3"/>
        <w:rPr>
          <w:rFonts w:ascii="Times" w:hAnsi="Times"/>
        </w:rPr>
      </w:pPr>
      <w:r>
        <w:rPr>
          <w:rFonts w:ascii="Times" w:hAnsi="Times"/>
        </w:rPr>
        <w:t xml:space="preserve">Relying on the reasons of Sopinka J. in </w:t>
      </w:r>
      <w:r>
        <w:rPr>
          <w:rFonts w:ascii="Times" w:hAnsi="Times"/>
          <w:i/>
        </w:rPr>
        <w:t>Egan</w:t>
      </w:r>
      <w:r>
        <w:rPr>
          <w:rFonts w:ascii="Times" w:hAnsi="Times"/>
        </w:rPr>
        <w:t>, the respondents submit a that a rational connection to the purpose of a statue can be achieved through the use of incremental means which, over time, expand the scope of the legislation to all those whom the legislature determines to be in need of statutory protection. The respondents suggest that the legislative history of the IRPA demonstrates</w:t>
      </w:r>
      <w:r w:rsidR="00BB2994">
        <w:rPr>
          <w:rFonts w:ascii="Times" w:hAnsi="Times"/>
        </w:rPr>
        <w:t xml:space="preserve"> a pattern of progressive increm</w:t>
      </w:r>
      <w:r>
        <w:rPr>
          <w:rFonts w:ascii="Times" w:hAnsi="Times"/>
        </w:rPr>
        <w:t xml:space="preserve">entalism sufficient to meet the gov’ts onus under the rational connection stage of the </w:t>
      </w:r>
      <w:r>
        <w:rPr>
          <w:rFonts w:ascii="Times" w:hAnsi="Times"/>
          <w:i/>
        </w:rPr>
        <w:t>Oakes</w:t>
      </w:r>
      <w:r>
        <w:rPr>
          <w:rFonts w:ascii="Times" w:hAnsi="Times"/>
        </w:rPr>
        <w:t xml:space="preserve"> test. In Iacobucci’s </w:t>
      </w:r>
      <w:r w:rsidR="00BB2994">
        <w:rPr>
          <w:rFonts w:ascii="Times" w:hAnsi="Times"/>
        </w:rPr>
        <w:t>view, this cannot be sustained [para 121</w:t>
      </w:r>
      <w:r w:rsidR="00BB2994" w:rsidRPr="00BB2994">
        <w:rPr>
          <w:rFonts w:ascii="Times" w:hAnsi="Times"/>
        </w:rPr>
        <w:sym w:font="Wingdings" w:char="F0E0"/>
      </w:r>
      <w:r w:rsidR="00BB2994">
        <w:rPr>
          <w:rFonts w:ascii="Times" w:hAnsi="Times"/>
        </w:rPr>
        <w:t xml:space="preserve"> incrementalism in </w:t>
      </w:r>
      <w:r w:rsidR="00BB2994">
        <w:rPr>
          <w:rFonts w:ascii="Times" w:hAnsi="Times"/>
          <w:i/>
        </w:rPr>
        <w:t>Egan</w:t>
      </w:r>
      <w:r w:rsidR="00BB2994">
        <w:rPr>
          <w:rFonts w:ascii="Times" w:hAnsi="Times"/>
        </w:rPr>
        <w:t xml:space="preserve">] </w:t>
      </w:r>
    </w:p>
    <w:p w14:paraId="73F60DBF" w14:textId="387808E0" w:rsidR="0068245A" w:rsidRDefault="009215C1" w:rsidP="0068245A">
      <w:pPr>
        <w:pStyle w:val="NoteLevel3"/>
        <w:rPr>
          <w:rFonts w:ascii="Times" w:hAnsi="Times"/>
        </w:rPr>
      </w:pPr>
      <w:r>
        <w:rPr>
          <w:rFonts w:ascii="Times" w:hAnsi="Times"/>
        </w:rPr>
        <w:t xml:space="preserve">In Egan, Iacobucci and Cory J. took the position that the need for gov’tmental incrementalism was an inappropriate justification for </w:t>
      </w:r>
      <w:r>
        <w:rPr>
          <w:rFonts w:ascii="Times" w:hAnsi="Times"/>
          <w:i/>
        </w:rPr>
        <w:t>Charter</w:t>
      </w:r>
      <w:r w:rsidR="0068245A">
        <w:rPr>
          <w:rFonts w:ascii="Times" w:hAnsi="Times"/>
        </w:rPr>
        <w:t xml:space="preserve"> violations, especially where, as in this case, the statue in issue is a comprehensive code of human rights provisions. Groups that have historically been the target of discrimination cannot be expected to wait patiently for the protection of their human dignity and equal rights while gov’ts move toward reform one step at a time. If the infringement of the rights &amp; freedoms of these groups is permitted to persist while gov’ts fail to pursue equality diligently, then the guarantees of the </w:t>
      </w:r>
      <w:r w:rsidR="0068245A">
        <w:rPr>
          <w:rFonts w:ascii="Times" w:hAnsi="Times"/>
          <w:i/>
        </w:rPr>
        <w:t>Charter</w:t>
      </w:r>
      <w:r w:rsidR="0068245A">
        <w:rPr>
          <w:rFonts w:ascii="Times" w:hAnsi="Times"/>
        </w:rPr>
        <w:t xml:space="preserve"> will be reduced to little more than empty words </w:t>
      </w:r>
    </w:p>
    <w:p w14:paraId="6FF95D67" w14:textId="39F42EFE" w:rsidR="0068245A" w:rsidRDefault="0068245A" w:rsidP="0068245A">
      <w:pPr>
        <w:pStyle w:val="NoteLevel2"/>
        <w:numPr>
          <w:ilvl w:val="0"/>
          <w:numId w:val="6"/>
        </w:numPr>
        <w:rPr>
          <w:rFonts w:ascii="Times" w:hAnsi="Times"/>
        </w:rPr>
      </w:pPr>
      <w:r>
        <w:rPr>
          <w:rFonts w:ascii="Times" w:hAnsi="Times"/>
        </w:rPr>
        <w:t xml:space="preserve">Minimal Impairment </w:t>
      </w:r>
    </w:p>
    <w:p w14:paraId="4C812510" w14:textId="7EEB9847" w:rsidR="0068245A" w:rsidRDefault="000B6F74" w:rsidP="0068245A">
      <w:pPr>
        <w:pStyle w:val="NoteLevel3"/>
        <w:rPr>
          <w:rFonts w:ascii="Times" w:hAnsi="Times"/>
        </w:rPr>
      </w:pPr>
      <w:r>
        <w:rPr>
          <w:rFonts w:ascii="Times" w:hAnsi="Times"/>
          <w:color w:val="FF0000"/>
        </w:rPr>
        <w:t xml:space="preserve">The respondents contend </w:t>
      </w:r>
      <w:r w:rsidR="00BA2398" w:rsidRPr="0011597C">
        <w:rPr>
          <w:rFonts w:ascii="Times" w:hAnsi="Times"/>
          <w:color w:val="FF0000"/>
        </w:rPr>
        <w:t>that an IRPA which is silent as to sexual orientation minimally impairs the appellants’ s. 15 rights</w:t>
      </w:r>
      <w:r w:rsidR="00BA2398">
        <w:rPr>
          <w:rFonts w:ascii="Times" w:hAnsi="Times"/>
        </w:rPr>
        <w:t xml:space="preserve">. The IRPA is alleged to be the type of social policy legislation that requires the Alberta Legislature to mediate btwn competing groups. It’s suggested that the competing interests in the present case are religious freedom and homosexuality. Relying upon Sopinka J.’s reasons in </w:t>
      </w:r>
      <w:r w:rsidR="00BA2398">
        <w:rPr>
          <w:rFonts w:ascii="Times" w:hAnsi="Times"/>
          <w:i/>
        </w:rPr>
        <w:t>Egan,</w:t>
      </w:r>
      <w:r w:rsidR="00BA2398">
        <w:rPr>
          <w:rFonts w:ascii="Times" w:hAnsi="Times"/>
        </w:rPr>
        <w:t xml:space="preserve"> the respondents advocate judicial deference in these circumstances. Iacobucci rejects these submissions for several reasons: </w:t>
      </w:r>
    </w:p>
    <w:p w14:paraId="6F7365BD" w14:textId="6A706900" w:rsidR="00BA2398" w:rsidRDefault="00BA2398" w:rsidP="00BA2398">
      <w:pPr>
        <w:pStyle w:val="NoteLevel4"/>
        <w:rPr>
          <w:rFonts w:ascii="Times" w:hAnsi="Times"/>
        </w:rPr>
      </w:pPr>
      <w:r>
        <w:rPr>
          <w:rFonts w:ascii="Times" w:hAnsi="Times"/>
        </w:rPr>
        <w:t xml:space="preserve">To the extent that there may be a conflict btwn </w:t>
      </w:r>
      <w:r w:rsidR="00E2229B">
        <w:rPr>
          <w:rFonts w:ascii="Times" w:hAnsi="Times"/>
        </w:rPr>
        <w:t xml:space="preserve">religious freedom  &amp; the protection of gay men and lesbians, the IRPA contains internal mechanisms for balancing these rival concerns: s. 11.1 of the IRPA provides a defence where the discrimination was “reasonable and justifiable” in the circumstances. In addition, ss. 7(3) and 8(2) excuse discrimination which can be linked to a </w:t>
      </w:r>
      <w:r w:rsidR="00E2229B">
        <w:rPr>
          <w:rFonts w:ascii="Times" w:hAnsi="Times"/>
          <w:i/>
        </w:rPr>
        <w:t>bona fide</w:t>
      </w:r>
      <w:r w:rsidR="00E2229B">
        <w:rPr>
          <w:rFonts w:ascii="Times" w:hAnsi="Times"/>
        </w:rPr>
        <w:t xml:space="preserve"> occupation requirement. The balancing provisions ensure that no conferral of rights is absolute. Rather, rights are recognized in tandem, with no one right being automatically paramount to another. </w:t>
      </w:r>
    </w:p>
    <w:p w14:paraId="75791863" w14:textId="4F36578D" w:rsidR="00B95AA0" w:rsidRDefault="00B95AA0" w:rsidP="00BA2398">
      <w:pPr>
        <w:pStyle w:val="NoteLevel4"/>
        <w:rPr>
          <w:rFonts w:ascii="Times" w:hAnsi="Times"/>
        </w:rPr>
      </w:pPr>
      <w:r>
        <w:rPr>
          <w:rFonts w:ascii="Times" w:hAnsi="Times"/>
        </w:rPr>
        <w:t>Given the presence of the internal balancing mechanisms, the argument that the government’s choices regarding the conferral of rights are constrained by its role as mediator btwn competing concerns can’t be sustained. The Alberta legislature is not being asked to abandon the role of mediator. Rather, by virtue of the provisions of the IRPA, this task which is carried out as the Act is applied on a case-by-case basis, in specific factual contexts. Thus, in the present case it is no answer to say that rights cannot be conferred</w:t>
      </w:r>
      <w:r w:rsidR="009337C2">
        <w:rPr>
          <w:rFonts w:ascii="Times" w:hAnsi="Times"/>
        </w:rPr>
        <w:t xml:space="preserve"> </w:t>
      </w:r>
      <w:r w:rsidR="009337C2" w:rsidRPr="009337C2">
        <w:rPr>
          <w:rFonts w:ascii="Times" w:hAnsi="Times"/>
          <w:sz w:val="22"/>
          <w:szCs w:val="22"/>
        </w:rPr>
        <w:t>[bestowed]</w:t>
      </w:r>
      <w:r w:rsidRPr="009337C2">
        <w:rPr>
          <w:rFonts w:ascii="Times" w:hAnsi="Times"/>
          <w:sz w:val="22"/>
          <w:szCs w:val="22"/>
        </w:rPr>
        <w:t xml:space="preserve"> </w:t>
      </w:r>
      <w:r>
        <w:rPr>
          <w:rFonts w:ascii="Times" w:hAnsi="Times"/>
        </w:rPr>
        <w:t xml:space="preserve">upon one group because of a conflict w/ the rights of others. A complete solution to any such conflict already exists w/n the legislation. </w:t>
      </w:r>
    </w:p>
    <w:p w14:paraId="2507DB7D" w14:textId="77777777" w:rsidR="008D48AB" w:rsidRDefault="00E250F0" w:rsidP="008D48AB">
      <w:pPr>
        <w:pStyle w:val="NoteLevel4"/>
        <w:rPr>
          <w:rFonts w:ascii="Times" w:hAnsi="Times"/>
        </w:rPr>
      </w:pPr>
      <w:r w:rsidRPr="008D48AB">
        <w:rPr>
          <w:rFonts w:ascii="Times" w:hAnsi="Times"/>
        </w:rPr>
        <w:t xml:space="preserve">In </w:t>
      </w:r>
      <w:r w:rsidRPr="008D48AB">
        <w:rPr>
          <w:rFonts w:ascii="Times" w:hAnsi="Times"/>
          <w:i/>
        </w:rPr>
        <w:t>Eldridge</w:t>
      </w:r>
      <w:r w:rsidR="008D48AB" w:rsidRPr="008D48AB">
        <w:rPr>
          <w:rFonts w:ascii="Times" w:hAnsi="Times"/>
        </w:rPr>
        <w:t>, La Forest J. quoted w/ approv</w:t>
      </w:r>
      <w:r w:rsidRPr="008D48AB">
        <w:rPr>
          <w:rFonts w:ascii="Times" w:hAnsi="Times"/>
        </w:rPr>
        <w:t xml:space="preserve">al his reasons in </w:t>
      </w:r>
      <w:r w:rsidRPr="008D48AB">
        <w:rPr>
          <w:rFonts w:ascii="Times" w:hAnsi="Times"/>
          <w:i/>
        </w:rPr>
        <w:t>Tetreault-Gadoury v. Canada</w:t>
      </w:r>
      <w:r w:rsidRPr="008D48AB">
        <w:rPr>
          <w:rFonts w:ascii="Times" w:hAnsi="Times"/>
        </w:rPr>
        <w:t xml:space="preserve"> where he stated that “the deference that will be accorded to the gov’t when legislating in these matters does not give them an unrestricted licence to disregard to an individual’s </w:t>
      </w:r>
      <w:r w:rsidRPr="008D48AB">
        <w:rPr>
          <w:rFonts w:ascii="Times" w:hAnsi="Times"/>
          <w:i/>
        </w:rPr>
        <w:t xml:space="preserve">Charter </w:t>
      </w:r>
      <w:r w:rsidRPr="008D48AB">
        <w:rPr>
          <w:rFonts w:ascii="Times" w:hAnsi="Times"/>
        </w:rPr>
        <w:t>rights.”</w:t>
      </w:r>
    </w:p>
    <w:p w14:paraId="605E118C" w14:textId="6BF5C92C" w:rsidR="00E250F0" w:rsidRDefault="008D48AB" w:rsidP="008D48AB">
      <w:pPr>
        <w:pStyle w:val="NoteLevel4"/>
        <w:rPr>
          <w:rFonts w:ascii="Times" w:hAnsi="Times"/>
        </w:rPr>
      </w:pPr>
      <w:r w:rsidRPr="008D48AB">
        <w:rPr>
          <w:rFonts w:ascii="Times" w:hAnsi="Times"/>
        </w:rPr>
        <w:t xml:space="preserve">This was echoed by McLachlin J. in </w:t>
      </w:r>
      <w:r w:rsidRPr="008D48AB">
        <w:rPr>
          <w:rFonts w:ascii="Times" w:hAnsi="Times"/>
          <w:i/>
        </w:rPr>
        <w:t>RJR-MacDonald</w:t>
      </w:r>
      <w:r w:rsidRPr="008D48AB">
        <w:rPr>
          <w:rFonts w:ascii="Times" w:hAnsi="Times"/>
        </w:rPr>
        <w:t xml:space="preserve"> at para 136:</w:t>
      </w:r>
      <w:r>
        <w:rPr>
          <w:rFonts w:ascii="Times" w:hAnsi="Times"/>
        </w:rPr>
        <w:t xml:space="preserve"> </w:t>
      </w:r>
      <w:r w:rsidRPr="008D48AB">
        <w:rPr>
          <w:rFonts w:ascii="Times" w:hAnsi="Times"/>
        </w:rPr>
        <w:t xml:space="preserve"> “</w:t>
      </w:r>
      <w:r>
        <w:rPr>
          <w:rFonts w:ascii="Times" w:hAnsi="Times"/>
        </w:rPr>
        <w:t>…c</w:t>
      </w:r>
      <w:r w:rsidRPr="008D48AB">
        <w:rPr>
          <w:rFonts w:ascii="Times" w:hAnsi="Times"/>
        </w:rPr>
        <w:t xml:space="preserve">are must be taken not to extend the notion of deference too far.  </w:t>
      </w:r>
      <w:r w:rsidRPr="009A3168">
        <w:rPr>
          <w:rFonts w:ascii="Times" w:hAnsi="Times"/>
          <w:color w:val="FF0000"/>
        </w:rPr>
        <w:t>Deference must not be carried to the point of relieving the government of the burden which the </w:t>
      </w:r>
      <w:r w:rsidRPr="009A3168">
        <w:rPr>
          <w:rFonts w:ascii="Times" w:hAnsi="Times"/>
          <w:i/>
          <w:iCs/>
          <w:color w:val="FF0000"/>
        </w:rPr>
        <w:t>Charter</w:t>
      </w:r>
      <w:r w:rsidRPr="009A3168">
        <w:rPr>
          <w:rFonts w:ascii="Times" w:hAnsi="Times"/>
          <w:color w:val="FF0000"/>
        </w:rPr>
        <w:t> places upon it of demonstrating that the limits it has imposed on guaranteed rights are reasonable and justifiable</w:t>
      </w:r>
      <w:r w:rsidRPr="008D48AB">
        <w:rPr>
          <w:rFonts w:ascii="Times" w:hAnsi="Times"/>
        </w:rPr>
        <w:t xml:space="preserve">.  Parliament has its role:  to choose the appropriate response to social problems within the limiting framework of the Constitution.  But the courts also have a role:  to determine, objectively and impartially, whether Parliament’s choice falls within the limiting framework of the Constitution.  The courts are no more permitted to abdicate their responsibility than is Parliament.  </w:t>
      </w:r>
      <w:r w:rsidRPr="009A3168">
        <w:rPr>
          <w:rFonts w:ascii="Times" w:hAnsi="Times"/>
          <w:color w:val="FF0000"/>
        </w:rPr>
        <w:t>To carry judicial deference to the point of accepting Parliament’s view simply on the basis that the problem is serious and the solution is difficult, would be to diminish the role of the courts in the constitutional process and to weaken the structure of rights upon which our constitution and our nation is founded</w:t>
      </w:r>
      <w:r w:rsidRPr="008D48AB">
        <w:rPr>
          <w:rFonts w:ascii="Times" w:hAnsi="Times"/>
        </w:rPr>
        <w:t>.”</w:t>
      </w:r>
    </w:p>
    <w:p w14:paraId="4F337E77" w14:textId="4B564667" w:rsidR="008D48AB" w:rsidRDefault="009A3168" w:rsidP="008D48AB">
      <w:pPr>
        <w:pStyle w:val="NoteLevel4"/>
        <w:rPr>
          <w:rFonts w:ascii="Times" w:hAnsi="Times"/>
        </w:rPr>
      </w:pPr>
      <w:r>
        <w:rPr>
          <w:rFonts w:ascii="Times" w:hAnsi="Times"/>
        </w:rPr>
        <w:t xml:space="preserve">In the present case, the gov’t of </w:t>
      </w:r>
      <w:r w:rsidRPr="009A3168">
        <w:rPr>
          <w:rFonts w:ascii="Times" w:hAnsi="Times"/>
          <w:color w:val="FF0000"/>
        </w:rPr>
        <w:t xml:space="preserve">Alberta has failed to demonstrate that it had a reasonable basis for excluding sexual orientation from the IRPA. Gay men &amp; lesbians don’t have any, much less equal, protection against discrimination on the basis of sexual orientation under the IRPA. The exclusion constitutes total, not minimal impairment of the </w:t>
      </w:r>
      <w:r w:rsidRPr="009A3168">
        <w:rPr>
          <w:rFonts w:ascii="Times" w:hAnsi="Times"/>
          <w:i/>
          <w:color w:val="FF0000"/>
        </w:rPr>
        <w:t>Charter</w:t>
      </w:r>
      <w:r w:rsidRPr="009A3168">
        <w:rPr>
          <w:rFonts w:ascii="Times" w:hAnsi="Times"/>
          <w:color w:val="FF0000"/>
        </w:rPr>
        <w:t xml:space="preserve"> guarantee of equality</w:t>
      </w:r>
      <w:r>
        <w:rPr>
          <w:rFonts w:ascii="Times" w:hAnsi="Times"/>
        </w:rPr>
        <w:t xml:space="preserve">. In these circumstances, the call for judicial deference is inappropriate. </w:t>
      </w:r>
    </w:p>
    <w:p w14:paraId="5EE377EC" w14:textId="2BAB1986" w:rsidR="00CA5BA8" w:rsidRDefault="00CA5BA8" w:rsidP="00CA5BA8">
      <w:pPr>
        <w:pStyle w:val="NoteLevel2"/>
        <w:numPr>
          <w:ilvl w:val="0"/>
          <w:numId w:val="6"/>
        </w:numPr>
        <w:rPr>
          <w:rFonts w:ascii="Times" w:hAnsi="Times"/>
        </w:rPr>
      </w:pPr>
      <w:r>
        <w:rPr>
          <w:rFonts w:ascii="Times" w:hAnsi="Times"/>
        </w:rPr>
        <w:t>Proportionality Between the Effect of the Measure and the Objective of the Legislation</w:t>
      </w:r>
    </w:p>
    <w:p w14:paraId="577C859B" w14:textId="5A6479A2" w:rsidR="00CA5BA8" w:rsidRPr="008D48AB" w:rsidRDefault="00CA5BA8" w:rsidP="00CA5BA8">
      <w:pPr>
        <w:pStyle w:val="NoteLevel3"/>
        <w:rPr>
          <w:rFonts w:ascii="Times" w:hAnsi="Times"/>
        </w:rPr>
      </w:pPr>
      <w:r>
        <w:rPr>
          <w:rFonts w:ascii="Times" w:hAnsi="Times"/>
        </w:rPr>
        <w:t xml:space="preserve">The respondents didn’t address this third element of the proportionality requirement. </w:t>
      </w:r>
      <w:r w:rsidRPr="00F33860">
        <w:rPr>
          <w:rFonts w:ascii="Times" w:hAnsi="Times"/>
          <w:color w:val="FF0000"/>
        </w:rPr>
        <w:t xml:space="preserve">In [Iacobucci’s] view, the deleterious </w:t>
      </w:r>
      <w:r w:rsidRPr="00F33860">
        <w:rPr>
          <w:rFonts w:ascii="Times" w:hAnsi="Times"/>
          <w:color w:val="FF0000"/>
          <w:sz w:val="22"/>
          <w:szCs w:val="22"/>
        </w:rPr>
        <w:t xml:space="preserve">[harmful; injurious] </w:t>
      </w:r>
      <w:r w:rsidRPr="00F33860">
        <w:rPr>
          <w:rFonts w:ascii="Times" w:hAnsi="Times"/>
          <w:color w:val="FF0000"/>
        </w:rPr>
        <w:t xml:space="preserve">effects of the exclusion of sexual orientation from the IRPA, as noted by Cory J., are numerous and clear. As the Alberta gov’t has failed to demonstrate any salutary </w:t>
      </w:r>
      <w:r w:rsidRPr="00F33860">
        <w:rPr>
          <w:rFonts w:ascii="Times" w:hAnsi="Times"/>
          <w:color w:val="FF0000"/>
          <w:sz w:val="22"/>
          <w:szCs w:val="22"/>
        </w:rPr>
        <w:t xml:space="preserve">[favourable; promoting or conducive to some beneficial purpose] </w:t>
      </w:r>
      <w:r w:rsidRPr="00F33860">
        <w:rPr>
          <w:rFonts w:ascii="Times" w:hAnsi="Times"/>
          <w:color w:val="FF0000"/>
        </w:rPr>
        <w:t xml:space="preserve">effect of the exclusion in promoting &amp; protecting human rights, </w:t>
      </w:r>
      <w:r w:rsidR="00F33860">
        <w:rPr>
          <w:rFonts w:ascii="Times" w:hAnsi="Times"/>
          <w:color w:val="FF0000"/>
        </w:rPr>
        <w:t>[</w:t>
      </w:r>
      <w:r w:rsidRPr="00F33860">
        <w:rPr>
          <w:rFonts w:ascii="Times" w:hAnsi="Times"/>
          <w:color w:val="FF0000"/>
        </w:rPr>
        <w:t>Iacobucci</w:t>
      </w:r>
      <w:r w:rsidR="00F33860">
        <w:rPr>
          <w:rFonts w:ascii="Times" w:hAnsi="Times"/>
          <w:color w:val="FF0000"/>
        </w:rPr>
        <w:t>]</w:t>
      </w:r>
      <w:r w:rsidRPr="00F33860">
        <w:rPr>
          <w:rFonts w:ascii="Times" w:hAnsi="Times"/>
          <w:color w:val="FF0000"/>
        </w:rPr>
        <w:t xml:space="preserve"> cannot accept that there is any proportionality btwn the attainment of the legislative goal and the infringement of the appellants’ equality rights. “I conclude that the exclusion of sexual orientation from the IRPA does not meet the requirements of the </w:t>
      </w:r>
      <w:r w:rsidRPr="00F33860">
        <w:rPr>
          <w:rFonts w:ascii="Times" w:hAnsi="Times"/>
          <w:i/>
          <w:color w:val="FF0000"/>
        </w:rPr>
        <w:t>Oakes</w:t>
      </w:r>
      <w:r w:rsidRPr="00F33860">
        <w:rPr>
          <w:rFonts w:ascii="Times" w:hAnsi="Times"/>
          <w:color w:val="FF0000"/>
        </w:rPr>
        <w:t xml:space="preserve"> test and accordingly it cannot be saved under s.1 of the </w:t>
      </w:r>
      <w:r w:rsidRPr="00F33860">
        <w:rPr>
          <w:rFonts w:ascii="Times" w:hAnsi="Times"/>
          <w:i/>
          <w:color w:val="FF0000"/>
        </w:rPr>
        <w:t>Charter</w:t>
      </w:r>
      <w:r w:rsidRPr="00F33860">
        <w:rPr>
          <w:rFonts w:ascii="Times" w:hAnsi="Times"/>
          <w:color w:val="FF0000"/>
        </w:rPr>
        <w:t>.</w:t>
      </w:r>
      <w:r>
        <w:rPr>
          <w:rFonts w:ascii="Times" w:hAnsi="Times"/>
        </w:rPr>
        <w:t xml:space="preserve"> </w:t>
      </w:r>
    </w:p>
    <w:p w14:paraId="4E33AECD" w14:textId="0EF5792F" w:rsidR="00CF0BD4" w:rsidRDefault="00F50FAF">
      <w:pPr>
        <w:pStyle w:val="NoteLevel1"/>
      </w:pPr>
      <w:r>
        <w:t xml:space="preserve"> </w:t>
      </w:r>
    </w:p>
    <w:p w14:paraId="6E7BF6A5" w14:textId="24B20B55" w:rsidR="00862FFB" w:rsidRPr="00D0482D" w:rsidRDefault="00862FFB">
      <w:pPr>
        <w:pStyle w:val="NoteLevel1"/>
        <w:rPr>
          <w:rFonts w:ascii="Times" w:hAnsi="Times"/>
          <w:u w:val="single"/>
        </w:rPr>
      </w:pPr>
      <w:r w:rsidRPr="00D0482D">
        <w:rPr>
          <w:rFonts w:ascii="Times" w:hAnsi="Times"/>
          <w:u w:val="single"/>
        </w:rPr>
        <w:t xml:space="preserve">II. Remedy </w:t>
      </w:r>
    </w:p>
    <w:p w14:paraId="5D698B3A" w14:textId="5F210BCE" w:rsidR="00862FFB" w:rsidRDefault="00862FFB">
      <w:pPr>
        <w:pStyle w:val="NoteLevel1"/>
        <w:rPr>
          <w:rFonts w:ascii="Times" w:hAnsi="Times"/>
        </w:rPr>
      </w:pPr>
      <w:r>
        <w:rPr>
          <w:rFonts w:ascii="Times" w:hAnsi="Times"/>
        </w:rPr>
        <w:t xml:space="preserve">- Intro: The Relationship Btwn The Legislatures &amp; the Courts Under the </w:t>
      </w:r>
      <w:r>
        <w:rPr>
          <w:rFonts w:ascii="Times" w:hAnsi="Times"/>
          <w:i/>
        </w:rPr>
        <w:t>Charter</w:t>
      </w:r>
      <w:r>
        <w:rPr>
          <w:rFonts w:ascii="Times" w:hAnsi="Times"/>
        </w:rPr>
        <w:t xml:space="preserve"> </w:t>
      </w:r>
    </w:p>
    <w:p w14:paraId="1196897E" w14:textId="0DF8BE0B" w:rsidR="001C6D95" w:rsidRDefault="001C6D95" w:rsidP="001C6D95">
      <w:pPr>
        <w:pStyle w:val="NoteLevel2"/>
        <w:rPr>
          <w:rFonts w:ascii="Times" w:hAnsi="Times"/>
        </w:rPr>
      </w:pPr>
      <w:r>
        <w:rPr>
          <w:rFonts w:ascii="Times" w:hAnsi="Times"/>
        </w:rPr>
        <w:t xml:space="preserve">Having found the exclusion of sexual orientation from the IRPA to be an unjustifiable violation of the appellants’ equality rights, [Iacobucci] now turns to the question of remedy under s. 52 of the Constitution Act, 1982. </w:t>
      </w:r>
    </w:p>
    <w:p w14:paraId="7F7DCF6D" w14:textId="0BD26EE4" w:rsidR="00B83A9B" w:rsidRDefault="00B83A9B" w:rsidP="001C6D95">
      <w:pPr>
        <w:pStyle w:val="NoteLevel2"/>
        <w:rPr>
          <w:rFonts w:ascii="Times" w:hAnsi="Times"/>
        </w:rPr>
      </w:pPr>
      <w:r>
        <w:rPr>
          <w:rFonts w:ascii="Times" w:hAnsi="Times"/>
        </w:rPr>
        <w:t xml:space="preserve">Much was made in argument before [the court] about the inadvisability of the Court interfering w/ or otherwise meddling in what is regarded as the proper role of the legislature,  which in this case was to decide whether or not sexual orientation would be added to Alberta’s human rights legislation. </w:t>
      </w:r>
    </w:p>
    <w:p w14:paraId="379AF000" w14:textId="7982483A" w:rsidR="00F42792" w:rsidRDefault="00F42792" w:rsidP="001C6D95">
      <w:pPr>
        <w:pStyle w:val="NoteLevel2"/>
        <w:rPr>
          <w:rFonts w:ascii="Times" w:hAnsi="Times"/>
        </w:rPr>
      </w:pPr>
      <w:r>
        <w:rPr>
          <w:rFonts w:ascii="Times" w:hAnsi="Times"/>
        </w:rPr>
        <w:t xml:space="preserve">“We should recall that it was the deliberate choice of our provincial and federal legislatures in adopting the </w:t>
      </w:r>
      <w:r>
        <w:rPr>
          <w:rFonts w:ascii="Times" w:hAnsi="Times"/>
          <w:i/>
        </w:rPr>
        <w:t>Charter</w:t>
      </w:r>
      <w:r>
        <w:rPr>
          <w:rFonts w:ascii="Times" w:hAnsi="Times"/>
        </w:rPr>
        <w:t xml:space="preserve"> to assign and interpretive role to the courts and to command them under s.52 to declare unconstitutional legislation invalid </w:t>
      </w:r>
    </w:p>
    <w:p w14:paraId="5A61EB07" w14:textId="77777777" w:rsidR="00F42792" w:rsidRDefault="00F42792" w:rsidP="00BF1493">
      <w:pPr>
        <w:pStyle w:val="NoteLevel1"/>
        <w:rPr>
          <w:rFonts w:ascii="Times" w:hAnsi="Times"/>
        </w:rPr>
      </w:pPr>
    </w:p>
    <w:p w14:paraId="2833183C" w14:textId="5F6A022E" w:rsidR="00BF1493" w:rsidRPr="00D0482D" w:rsidRDefault="00BF1493" w:rsidP="00BF1493">
      <w:pPr>
        <w:pStyle w:val="NoteLevel1"/>
        <w:rPr>
          <w:rFonts w:ascii="Times" w:hAnsi="Times"/>
          <w:u w:val="single"/>
        </w:rPr>
      </w:pPr>
      <w:r w:rsidRPr="00D0482D">
        <w:rPr>
          <w:rFonts w:ascii="Times" w:hAnsi="Times"/>
          <w:u w:val="single"/>
        </w:rPr>
        <w:t>III. Conclusion:</w:t>
      </w:r>
    </w:p>
    <w:p w14:paraId="06CD2791" w14:textId="4A154899" w:rsidR="00BF1493" w:rsidRPr="00BF1493" w:rsidRDefault="00BF1493" w:rsidP="00BF1493">
      <w:pPr>
        <w:pStyle w:val="NoteLevel1"/>
        <w:rPr>
          <w:rFonts w:ascii="Times" w:hAnsi="Times"/>
        </w:rPr>
      </w:pPr>
      <w:r>
        <w:rPr>
          <w:rFonts w:ascii="Times" w:hAnsi="Times"/>
        </w:rPr>
        <w:t>- “</w:t>
      </w:r>
      <w:r w:rsidRPr="00BF1493">
        <w:rPr>
          <w:rFonts w:ascii="Times" w:hAnsi="Times"/>
        </w:rPr>
        <w:t>For the reasons outlined by Cory J., I conclude that the exclusion of sexual orientation from the protected grounds of discrimination in the </w:t>
      </w:r>
      <w:r w:rsidRPr="00BF1493">
        <w:rPr>
          <w:rFonts w:ascii="Times" w:hAnsi="Times"/>
          <w:i/>
          <w:iCs/>
        </w:rPr>
        <w:t>IRPA</w:t>
      </w:r>
      <w:r w:rsidRPr="00BF1493">
        <w:rPr>
          <w:rFonts w:ascii="Times" w:hAnsi="Times"/>
        </w:rPr>
        <w:t>  violates s. 15 of the </w:t>
      </w:r>
      <w:r w:rsidRPr="00BF1493">
        <w:rPr>
          <w:rFonts w:ascii="Times" w:hAnsi="Times"/>
          <w:i/>
          <w:iCs/>
        </w:rPr>
        <w:t>Charter</w:t>
      </w:r>
      <w:r w:rsidRPr="00BF1493">
        <w:rPr>
          <w:rFonts w:ascii="Times" w:hAnsi="Times"/>
        </w:rPr>
        <w:t>.  In addition, for the reasons set out above, the impugned legislation cannot be saved under s. 1 of the </w:t>
      </w:r>
      <w:r w:rsidRPr="00BF1493">
        <w:rPr>
          <w:rFonts w:ascii="Times" w:hAnsi="Times"/>
          <w:i/>
          <w:iCs/>
        </w:rPr>
        <w:t>Charter</w:t>
      </w:r>
      <w:r w:rsidRPr="00BF1493">
        <w:rPr>
          <w:rFonts w:ascii="Times" w:hAnsi="Times"/>
        </w:rPr>
        <w:t>.  Accordingly, I would allow the appeal, dismiss the cross</w:t>
      </w:r>
      <w:r w:rsidRPr="00BF1493">
        <w:rPr>
          <w:rFonts w:ascii="Times" w:hAnsi="Times"/>
        </w:rPr>
        <w:noBreakHyphen/>
        <w:t>appeal, and set aside the judgment of the Alberta Court of Appeal with party</w:t>
      </w:r>
      <w:r w:rsidRPr="00BF1493">
        <w:rPr>
          <w:rFonts w:ascii="Times" w:hAnsi="Times"/>
        </w:rPr>
        <w:noBreakHyphen/>
        <w:t>and</w:t>
      </w:r>
      <w:r w:rsidRPr="00BF1493">
        <w:rPr>
          <w:rFonts w:ascii="Times" w:hAnsi="Times"/>
        </w:rPr>
        <w:noBreakHyphen/>
        <w:t>party costs throughout.</w:t>
      </w:r>
      <w:r>
        <w:rPr>
          <w:rFonts w:ascii="Times" w:hAnsi="Times"/>
        </w:rPr>
        <w:t xml:space="preserve"> </w:t>
      </w:r>
      <w:r w:rsidRPr="00BF1493">
        <w:rPr>
          <w:rFonts w:ascii="Times" w:hAnsi="Times"/>
        </w:rPr>
        <w:t>I would answer the constitutional questions as follows:</w:t>
      </w:r>
    </w:p>
    <w:p w14:paraId="5B5D9C1F" w14:textId="56D1ED0B" w:rsidR="00BF1493" w:rsidRPr="00BF1493" w:rsidRDefault="00BF1493" w:rsidP="00BF1493">
      <w:pPr>
        <w:pStyle w:val="NoteLevel2"/>
        <w:rPr>
          <w:rFonts w:ascii="Times" w:hAnsi="Times"/>
        </w:rPr>
      </w:pPr>
      <w:r w:rsidRPr="00BF1493">
        <w:rPr>
          <w:rFonts w:ascii="Times" w:hAnsi="Times"/>
        </w:rPr>
        <w:t> 1.    Do (a) decisions not to include sexual orientation or (b) the non</w:t>
      </w:r>
      <w:r w:rsidRPr="00BF1493">
        <w:rPr>
          <w:rFonts w:ascii="Times" w:hAnsi="Times"/>
        </w:rPr>
        <w:noBreakHyphen/>
        <w:t>inclusion of sexual orientation, as a prohibited ground of discrimination in the preamble and ss. 2(1), 3, 4, 7(1), 8(1), 10 and 16(1) of the </w:t>
      </w:r>
      <w:r w:rsidRPr="00BF1493">
        <w:rPr>
          <w:rFonts w:ascii="Times" w:hAnsi="Times"/>
          <w:i/>
          <w:iCs/>
        </w:rPr>
        <w:t>Individual’s Rights Protection Act</w:t>
      </w:r>
      <w:r w:rsidRPr="00BF1493">
        <w:rPr>
          <w:rFonts w:ascii="Times" w:hAnsi="Times"/>
        </w:rPr>
        <w:t>, R.S.A. 1980, c. I</w:t>
      </w:r>
      <w:r w:rsidRPr="00BF1493">
        <w:rPr>
          <w:rFonts w:ascii="Times" w:hAnsi="Times"/>
        </w:rPr>
        <w:noBreakHyphen/>
        <w:t>2, as am., now called the </w:t>
      </w:r>
      <w:r w:rsidRPr="00BF1493">
        <w:rPr>
          <w:rFonts w:ascii="Times" w:hAnsi="Times"/>
          <w:i/>
          <w:iCs/>
        </w:rPr>
        <w:t>Human Rights, Citizenship and Multiculturalism Act</w:t>
      </w:r>
      <w:r w:rsidRPr="00BF1493">
        <w:rPr>
          <w:rFonts w:ascii="Times" w:hAnsi="Times"/>
        </w:rPr>
        <w:t>, R.S.A. 1980, c. H</w:t>
      </w:r>
      <w:r w:rsidRPr="00BF1493">
        <w:rPr>
          <w:rFonts w:ascii="Times" w:hAnsi="Times"/>
        </w:rPr>
        <w:noBreakHyphen/>
        <w:t>11.7, infringe or deny the rights guaranteed by s. 15(1) of the </w:t>
      </w:r>
      <w:r w:rsidRPr="00BF1493">
        <w:rPr>
          <w:rFonts w:ascii="Times" w:hAnsi="Times"/>
          <w:i/>
          <w:iCs/>
        </w:rPr>
        <w:t>Canadian Charter of Rights and Freedoms</w:t>
      </w:r>
      <w:r w:rsidRPr="00BF1493">
        <w:rPr>
          <w:rFonts w:ascii="Times" w:hAnsi="Times"/>
        </w:rPr>
        <w:t>?</w:t>
      </w:r>
    </w:p>
    <w:p w14:paraId="313B4687" w14:textId="77777777" w:rsidR="00BF1493" w:rsidRPr="00BF1493" w:rsidRDefault="00BF1493" w:rsidP="00BF1493">
      <w:pPr>
        <w:pStyle w:val="NoteLevel1"/>
        <w:rPr>
          <w:rFonts w:ascii="Times" w:hAnsi="Times"/>
        </w:rPr>
      </w:pPr>
      <w:r w:rsidRPr="00BF1493">
        <w:rPr>
          <w:rFonts w:ascii="Times" w:hAnsi="Times"/>
        </w:rPr>
        <w:t> </w:t>
      </w:r>
    </w:p>
    <w:p w14:paraId="4A0D66C9" w14:textId="77777777" w:rsidR="00BF1493" w:rsidRPr="00BF1493" w:rsidRDefault="00BF1493" w:rsidP="00BF1493">
      <w:pPr>
        <w:pStyle w:val="NoteLevel2"/>
        <w:numPr>
          <w:ilvl w:val="0"/>
          <w:numId w:val="0"/>
        </w:numPr>
        <w:ind w:left="1080"/>
        <w:rPr>
          <w:rFonts w:ascii="Times" w:hAnsi="Times"/>
        </w:rPr>
      </w:pPr>
      <w:r w:rsidRPr="00BF1493">
        <w:rPr>
          <w:rFonts w:ascii="Times" w:hAnsi="Times"/>
        </w:rPr>
        <w:t>Answer:      Yes.</w:t>
      </w:r>
    </w:p>
    <w:p w14:paraId="7F2CFA44" w14:textId="77777777" w:rsidR="00BF1493" w:rsidRPr="00BF1493" w:rsidRDefault="00BF1493" w:rsidP="00BF1493">
      <w:pPr>
        <w:pStyle w:val="NoteLevel1"/>
        <w:rPr>
          <w:rFonts w:ascii="Times" w:hAnsi="Times"/>
        </w:rPr>
      </w:pPr>
      <w:r w:rsidRPr="00BF1493">
        <w:rPr>
          <w:rFonts w:ascii="Times" w:hAnsi="Times"/>
        </w:rPr>
        <w:t> </w:t>
      </w:r>
    </w:p>
    <w:p w14:paraId="7B8A0D51" w14:textId="77777777" w:rsidR="00BF1493" w:rsidRPr="00BF1493" w:rsidRDefault="00BF1493" w:rsidP="00BF1493">
      <w:pPr>
        <w:pStyle w:val="NoteLevel2"/>
        <w:rPr>
          <w:rFonts w:ascii="Times" w:hAnsi="Times"/>
        </w:rPr>
      </w:pPr>
      <w:r w:rsidRPr="00BF1493">
        <w:rPr>
          <w:rFonts w:ascii="Times" w:hAnsi="Times"/>
        </w:rPr>
        <w:t>2.    If the answer to Question 1 is “yes”, is the infringement or denial demonstrably justified as a reasonable limit pursuant to s. 1 of the </w:t>
      </w:r>
      <w:r w:rsidRPr="00BF1493">
        <w:rPr>
          <w:rFonts w:ascii="Times" w:hAnsi="Times"/>
          <w:i/>
          <w:iCs/>
        </w:rPr>
        <w:t>Canadian Charter of Rights and Freedoms</w:t>
      </w:r>
      <w:r w:rsidRPr="00BF1493">
        <w:rPr>
          <w:rFonts w:ascii="Times" w:hAnsi="Times"/>
        </w:rPr>
        <w:t>?</w:t>
      </w:r>
    </w:p>
    <w:p w14:paraId="7A2DDE20" w14:textId="77777777" w:rsidR="00BF1493" w:rsidRPr="00BF1493" w:rsidRDefault="00BF1493" w:rsidP="00BF1493">
      <w:pPr>
        <w:pStyle w:val="NoteLevel1"/>
        <w:rPr>
          <w:rFonts w:ascii="Times" w:hAnsi="Times"/>
        </w:rPr>
      </w:pPr>
      <w:r w:rsidRPr="00BF1493">
        <w:rPr>
          <w:rFonts w:ascii="Times" w:hAnsi="Times"/>
        </w:rPr>
        <w:t> </w:t>
      </w:r>
    </w:p>
    <w:p w14:paraId="4CAF5BA6" w14:textId="326FA422" w:rsidR="00BF1493" w:rsidRPr="00BF1493" w:rsidRDefault="00BF1493" w:rsidP="00BF1493">
      <w:pPr>
        <w:pStyle w:val="NoteLevel2"/>
        <w:numPr>
          <w:ilvl w:val="0"/>
          <w:numId w:val="0"/>
        </w:numPr>
        <w:ind w:left="1080"/>
        <w:rPr>
          <w:rFonts w:ascii="Times" w:hAnsi="Times"/>
        </w:rPr>
      </w:pPr>
      <w:r w:rsidRPr="00BF1493">
        <w:rPr>
          <w:rFonts w:ascii="Times" w:hAnsi="Times"/>
        </w:rPr>
        <w:t>Answer:      No.</w:t>
      </w:r>
      <w:r>
        <w:rPr>
          <w:rFonts w:ascii="Times" w:hAnsi="Times"/>
        </w:rPr>
        <w:t>”</w:t>
      </w:r>
    </w:p>
    <w:p w14:paraId="7E5BCA0A" w14:textId="77777777" w:rsidR="00BF1493" w:rsidRPr="00BF1493" w:rsidRDefault="00BF1493" w:rsidP="00BF1493">
      <w:pPr>
        <w:pStyle w:val="NoteLevel1"/>
        <w:rPr>
          <w:rFonts w:ascii="Times" w:hAnsi="Times"/>
        </w:rPr>
      </w:pPr>
      <w:r w:rsidRPr="00BF1493">
        <w:rPr>
          <w:rFonts w:ascii="Times" w:hAnsi="Times"/>
        </w:rPr>
        <w:t> </w:t>
      </w:r>
    </w:p>
    <w:p w14:paraId="4B358632" w14:textId="00E28CA3" w:rsidR="00BF1493" w:rsidRPr="00862FFB" w:rsidRDefault="00BF1493" w:rsidP="00BF1493">
      <w:pPr>
        <w:pStyle w:val="NoteLevel1"/>
        <w:rPr>
          <w:rFonts w:ascii="Times" w:hAnsi="Times"/>
        </w:rPr>
      </w:pPr>
    </w:p>
    <w:p w14:paraId="7495C61A" w14:textId="77777777" w:rsidR="00F50FAF" w:rsidRDefault="00F50FAF">
      <w:pPr>
        <w:pStyle w:val="NoteLevel1"/>
        <w:sectPr w:rsidR="00F50FAF" w:rsidSect="00180B4B">
          <w:headerReference w:type="first" r:id="rId11"/>
          <w:pgSz w:w="12240" w:h="15840"/>
          <w:pgMar w:top="1440" w:right="1440" w:bottom="1440" w:left="1440" w:header="708" w:footer="708" w:gutter="0"/>
          <w:cols w:space="708"/>
          <w:titlePg/>
          <w:docGrid w:type="lines" w:linePitch="360"/>
        </w:sectPr>
      </w:pPr>
    </w:p>
    <w:p w14:paraId="1E8F6533" w14:textId="06C29E5E" w:rsidR="00973291" w:rsidRPr="00973291" w:rsidRDefault="00BE0910" w:rsidP="00F50FAF">
      <w:pPr>
        <w:pStyle w:val="NoteLevel1"/>
        <w:rPr>
          <w:rFonts w:ascii="Times" w:hAnsi="Times"/>
        </w:rPr>
      </w:pPr>
      <w:hyperlink r:id="rId12" w:history="1">
        <w:r w:rsidR="00973291" w:rsidRPr="005D68CD">
          <w:rPr>
            <w:rStyle w:val="Hyperlink"/>
            <w:rFonts w:ascii="Times" w:hAnsi="Times"/>
          </w:rPr>
          <w:t>http://scc.lexum.org/decisia-scc-csc/scc-csc/scc-csc/en/item/407/index.do</w:t>
        </w:r>
      </w:hyperlink>
      <w:r w:rsidR="00973291">
        <w:rPr>
          <w:rFonts w:ascii="Times" w:hAnsi="Times"/>
        </w:rPr>
        <w:t xml:space="preserve"> </w:t>
      </w:r>
    </w:p>
    <w:p w14:paraId="07BEB34C" w14:textId="77777777" w:rsidR="000D7A36" w:rsidRPr="00973291" w:rsidRDefault="000D7A36" w:rsidP="00F50FAF">
      <w:pPr>
        <w:pStyle w:val="NoteLevel1"/>
        <w:rPr>
          <w:b/>
          <w:sz w:val="28"/>
          <w:szCs w:val="28"/>
        </w:rPr>
      </w:pPr>
      <w:r w:rsidRPr="00973291">
        <w:rPr>
          <w:rFonts w:ascii="Times" w:hAnsi="Times"/>
          <w:b/>
          <w:i/>
          <w:sz w:val="28"/>
          <w:szCs w:val="28"/>
        </w:rPr>
        <w:t xml:space="preserve">Andrews v. Law Society of British Columbia, </w:t>
      </w:r>
      <w:r w:rsidRPr="00973291">
        <w:rPr>
          <w:rFonts w:ascii="Times" w:hAnsi="Times"/>
          <w:b/>
          <w:sz w:val="28"/>
          <w:szCs w:val="28"/>
        </w:rPr>
        <w:t xml:space="preserve">[1989] 1 SCR 143 </w:t>
      </w:r>
    </w:p>
    <w:p w14:paraId="13E71F8D" w14:textId="77777777" w:rsidR="00973291" w:rsidRPr="00973291" w:rsidRDefault="00973291" w:rsidP="00F50FAF">
      <w:pPr>
        <w:pStyle w:val="NoteLevel1"/>
      </w:pPr>
      <w:r>
        <w:rPr>
          <w:rFonts w:ascii="Times" w:hAnsi="Times"/>
        </w:rPr>
        <w:t xml:space="preserve">- Andrews, a British citizen permanently resident in Canada met all the requirements for admission to the BC bar except that of Canadian citizenship </w:t>
      </w:r>
    </w:p>
    <w:p w14:paraId="2B4D9CA2" w14:textId="77777777" w:rsidR="00973291" w:rsidRPr="00973291" w:rsidRDefault="00973291" w:rsidP="00973291">
      <w:pPr>
        <w:pStyle w:val="NoteLevel2"/>
      </w:pPr>
      <w:r>
        <w:rPr>
          <w:rFonts w:ascii="Times" w:hAnsi="Times"/>
        </w:rPr>
        <w:t xml:space="preserve">His action for a declaration that the citizenship requirement violated s.15(1) of the </w:t>
      </w:r>
      <w:r>
        <w:rPr>
          <w:rFonts w:ascii="Times" w:hAnsi="Times"/>
          <w:i/>
        </w:rPr>
        <w:t>Charter</w:t>
      </w:r>
      <w:r>
        <w:rPr>
          <w:rFonts w:ascii="Times" w:hAnsi="Times"/>
        </w:rPr>
        <w:t xml:space="preserve"> was dismissed at trial but allowed on appeal</w:t>
      </w:r>
    </w:p>
    <w:p w14:paraId="01054DAB" w14:textId="77777777" w:rsidR="00973291" w:rsidRPr="00973291" w:rsidRDefault="00973291" w:rsidP="00973291">
      <w:pPr>
        <w:pStyle w:val="NoteLevel1"/>
      </w:pPr>
      <w:r>
        <w:rPr>
          <w:rFonts w:ascii="Times" w:hAnsi="Times"/>
        </w:rPr>
        <w:t>- The Constitutional questions before the SCC deal with:</w:t>
      </w:r>
    </w:p>
    <w:p w14:paraId="4000CF33" w14:textId="4381573D" w:rsidR="00973291" w:rsidRPr="00973291" w:rsidRDefault="00973291" w:rsidP="00973291">
      <w:pPr>
        <w:pStyle w:val="NoteLevel2"/>
        <w:numPr>
          <w:ilvl w:val="0"/>
          <w:numId w:val="0"/>
        </w:numPr>
        <w:ind w:left="1080"/>
      </w:pPr>
      <w:r w:rsidRPr="00973291">
        <w:rPr>
          <w:rFonts w:ascii="Times" w:hAnsi="Times"/>
        </w:rPr>
        <w:t xml:space="preserve">1) Whether the Canadian citizenship requirement for admission to the BC bar infringed or denied the equality rights guaranteed by s.15(1) of the </w:t>
      </w:r>
      <w:r w:rsidRPr="00973291">
        <w:rPr>
          <w:rFonts w:ascii="Times" w:hAnsi="Times"/>
          <w:i/>
        </w:rPr>
        <w:t>Charter</w:t>
      </w:r>
    </w:p>
    <w:p w14:paraId="1A1C6DF2" w14:textId="77777777" w:rsidR="00973291" w:rsidRDefault="00973291" w:rsidP="00973291">
      <w:pPr>
        <w:pStyle w:val="NoteLevel2"/>
        <w:numPr>
          <w:ilvl w:val="0"/>
          <w:numId w:val="0"/>
        </w:numPr>
        <w:ind w:left="1080"/>
        <w:rPr>
          <w:rFonts w:ascii="Times" w:hAnsi="Times"/>
        </w:rPr>
      </w:pPr>
      <w:r>
        <w:rPr>
          <w:rFonts w:ascii="Times" w:hAnsi="Times"/>
        </w:rPr>
        <w:t xml:space="preserve">2) If so, whether that infringement was justified under s.1 </w:t>
      </w:r>
    </w:p>
    <w:p w14:paraId="0FA22648" w14:textId="77777777" w:rsidR="00973291" w:rsidRPr="00973291" w:rsidRDefault="00973291" w:rsidP="00973291">
      <w:pPr>
        <w:pStyle w:val="NoteLevel1"/>
      </w:pPr>
    </w:p>
    <w:p w14:paraId="7F7E94B8" w14:textId="77777777" w:rsidR="00973291" w:rsidRPr="00973291" w:rsidRDefault="00973291" w:rsidP="00973291">
      <w:pPr>
        <w:pStyle w:val="NoteLevel1"/>
      </w:pPr>
      <w:r>
        <w:rPr>
          <w:rFonts w:ascii="Times" w:hAnsi="Times"/>
        </w:rPr>
        <w:t xml:space="preserve">- Section 15(1) of the </w:t>
      </w:r>
      <w:r>
        <w:rPr>
          <w:rFonts w:ascii="Times" w:hAnsi="Times"/>
          <w:i/>
        </w:rPr>
        <w:t>Charter</w:t>
      </w:r>
    </w:p>
    <w:p w14:paraId="7101774C" w14:textId="77777777" w:rsidR="00973291" w:rsidRPr="00973291" w:rsidRDefault="00973291" w:rsidP="00973291">
      <w:pPr>
        <w:pStyle w:val="NoteLevel2"/>
      </w:pPr>
      <w:r>
        <w:rPr>
          <w:rFonts w:ascii="Times" w:hAnsi="Times"/>
        </w:rPr>
        <w:t xml:space="preserve">Provides for every individual a guarantee of equality before and under the law, as well as the equal protection and equal benefit of the law w/o discrimination </w:t>
      </w:r>
    </w:p>
    <w:p w14:paraId="27CA19C2" w14:textId="77777777" w:rsidR="00973291" w:rsidRPr="00973291" w:rsidRDefault="00973291" w:rsidP="00973291">
      <w:pPr>
        <w:pStyle w:val="NoteLevel3"/>
      </w:pPr>
      <w:r>
        <w:rPr>
          <w:rFonts w:ascii="Times" w:hAnsi="Times"/>
        </w:rPr>
        <w:t xml:space="preserve">This is not a general guarantee of equality; its focus is on the application of the law </w:t>
      </w:r>
    </w:p>
    <w:p w14:paraId="6C3689D1" w14:textId="77777777" w:rsidR="00973291" w:rsidRPr="00973291" w:rsidRDefault="00973291" w:rsidP="00973291">
      <w:pPr>
        <w:pStyle w:val="NoteLevel3"/>
      </w:pPr>
      <w:r>
        <w:rPr>
          <w:rFonts w:ascii="Times" w:hAnsi="Times"/>
        </w:rPr>
        <w:t>No problem regarding the scope of the word “law” arose in this case b/c legislation was under attack</w:t>
      </w:r>
    </w:p>
    <w:p w14:paraId="32B8C22C" w14:textId="77777777" w:rsidR="00973291" w:rsidRPr="00973291" w:rsidRDefault="00973291" w:rsidP="00973291">
      <w:pPr>
        <w:pStyle w:val="NoteLevel2"/>
      </w:pPr>
      <w:r>
        <w:rPr>
          <w:rFonts w:ascii="Times" w:hAnsi="Times"/>
        </w:rPr>
        <w:t>The “similarly situated should be similarly treated” approach will not necessarily result in equality nor will every distinction/differential treatment necessarily result in inequality</w:t>
      </w:r>
    </w:p>
    <w:p w14:paraId="23569AF8" w14:textId="77777777" w:rsidR="00973291" w:rsidRPr="00752413" w:rsidRDefault="00973291" w:rsidP="00973291">
      <w:pPr>
        <w:pStyle w:val="NoteLevel2"/>
        <w:rPr>
          <w:color w:val="8064A2" w:themeColor="accent4"/>
        </w:rPr>
      </w:pPr>
      <w:r w:rsidRPr="00752413">
        <w:rPr>
          <w:rFonts w:ascii="Times" w:hAnsi="Times"/>
          <w:color w:val="8064A2" w:themeColor="accent4"/>
        </w:rPr>
        <w:t>The words “without discrimination” in s.15(1) are crucial</w:t>
      </w:r>
    </w:p>
    <w:p w14:paraId="0157B50D" w14:textId="77777777" w:rsidR="00973291" w:rsidRPr="00752413" w:rsidRDefault="00973291" w:rsidP="00973291">
      <w:pPr>
        <w:pStyle w:val="NoteLevel3"/>
        <w:rPr>
          <w:color w:val="8064A2" w:themeColor="accent4"/>
        </w:rPr>
      </w:pPr>
      <w:r w:rsidRPr="00752413">
        <w:rPr>
          <w:rFonts w:ascii="Times" w:hAnsi="Times"/>
          <w:color w:val="8064A2" w:themeColor="accent4"/>
        </w:rPr>
        <w:t xml:space="preserve">Discrimination is a distinction which, whether intentional or not but based on grounds relating to personal characteristics of the individual or group, has an effect which imposes disadvantages not imposed upon others or which withholds or limits access to advantages available to other members of society </w:t>
      </w:r>
    </w:p>
    <w:p w14:paraId="6B6B7960" w14:textId="77777777" w:rsidR="00973291" w:rsidRPr="00752413" w:rsidRDefault="00973291" w:rsidP="00973291">
      <w:pPr>
        <w:pStyle w:val="NoteLevel3"/>
        <w:rPr>
          <w:color w:val="8064A2" w:themeColor="accent4"/>
        </w:rPr>
      </w:pPr>
      <w:r w:rsidRPr="00752413">
        <w:rPr>
          <w:rFonts w:ascii="Times" w:hAnsi="Times"/>
          <w:color w:val="8064A2" w:themeColor="accent4"/>
        </w:rPr>
        <w:t xml:space="preserve">Distinctions based on personal characteristics attributed to an individual solely on the basis of association w/ a group will rarely escape the charge of discrimination, while those based on an individual’s merits and capacities will rarely be so </w:t>
      </w:r>
      <w:r w:rsidRPr="00752413">
        <w:rPr>
          <w:rFonts w:ascii="Times" w:hAnsi="Times"/>
          <w:color w:val="8064A2" w:themeColor="accent4"/>
          <w:u w:val="single"/>
        </w:rPr>
        <w:t>classed</w:t>
      </w:r>
      <w:r w:rsidRPr="00752413">
        <w:rPr>
          <w:rFonts w:ascii="Times" w:hAnsi="Times"/>
          <w:color w:val="8064A2" w:themeColor="accent4"/>
        </w:rPr>
        <w:t xml:space="preserve"> (?)</w:t>
      </w:r>
    </w:p>
    <w:p w14:paraId="623C0F9D" w14:textId="77777777" w:rsidR="00973291" w:rsidRPr="00752413" w:rsidRDefault="00973291" w:rsidP="00973291">
      <w:pPr>
        <w:pStyle w:val="NoteLevel2"/>
        <w:rPr>
          <w:color w:val="8064A2" w:themeColor="accent4"/>
        </w:rPr>
      </w:pPr>
      <w:r w:rsidRPr="00752413">
        <w:rPr>
          <w:rFonts w:ascii="Times" w:hAnsi="Times"/>
          <w:color w:val="8064A2" w:themeColor="accent4"/>
        </w:rPr>
        <w:t xml:space="preserve">The </w:t>
      </w:r>
      <w:r w:rsidRPr="00752413">
        <w:rPr>
          <w:rFonts w:ascii="Times" w:hAnsi="Times"/>
          <w:i/>
          <w:color w:val="8064A2" w:themeColor="accent4"/>
        </w:rPr>
        <w:t>Charter</w:t>
      </w:r>
      <w:r w:rsidRPr="00752413">
        <w:rPr>
          <w:rFonts w:ascii="Times" w:hAnsi="Times"/>
          <w:color w:val="8064A2" w:themeColor="accent4"/>
        </w:rPr>
        <w:t xml:space="preserve"> requires a 2-step approach to s.15(1):</w:t>
      </w:r>
    </w:p>
    <w:p w14:paraId="240FCCBC" w14:textId="77777777" w:rsidR="00973291" w:rsidRPr="00752413" w:rsidRDefault="00973291" w:rsidP="00973291">
      <w:pPr>
        <w:pStyle w:val="NoteLevel3"/>
        <w:rPr>
          <w:color w:val="8064A2" w:themeColor="accent4"/>
        </w:rPr>
      </w:pPr>
      <w:r w:rsidRPr="00752413">
        <w:rPr>
          <w:rFonts w:ascii="Times" w:hAnsi="Times"/>
          <w:color w:val="8064A2" w:themeColor="accent4"/>
        </w:rPr>
        <w:t>The first step is to determine whether or not an infringement of a guaranteed right has occurred</w:t>
      </w:r>
    </w:p>
    <w:p w14:paraId="6A2C3422" w14:textId="77777777" w:rsidR="00973291" w:rsidRPr="00752413" w:rsidRDefault="00973291" w:rsidP="00973291">
      <w:pPr>
        <w:pStyle w:val="NoteLevel3"/>
        <w:rPr>
          <w:color w:val="8064A2" w:themeColor="accent4"/>
        </w:rPr>
      </w:pPr>
      <w:r w:rsidRPr="00752413">
        <w:rPr>
          <w:rFonts w:ascii="Times" w:hAnsi="Times"/>
          <w:color w:val="8064A2" w:themeColor="accent4"/>
        </w:rPr>
        <w:t xml:space="preserve">The second step is to determine whether, if there has been an infringement, it can be justified under s.1 </w:t>
      </w:r>
    </w:p>
    <w:p w14:paraId="2209933F" w14:textId="77777777" w:rsidR="00973291" w:rsidRPr="00752413" w:rsidRDefault="00973291" w:rsidP="00973291">
      <w:pPr>
        <w:pStyle w:val="NoteLevel3"/>
        <w:rPr>
          <w:color w:val="8064A2" w:themeColor="accent4"/>
        </w:rPr>
      </w:pPr>
      <w:r w:rsidRPr="00752413">
        <w:rPr>
          <w:rFonts w:ascii="Times" w:hAnsi="Times"/>
          <w:color w:val="8064A2" w:themeColor="accent4"/>
        </w:rPr>
        <w:t xml:space="preserve">The 2 steps must be kept analytically distinct b/c of the different attribution of the burden of proof; the citizen must establish the infringement of his/her </w:t>
      </w:r>
      <w:r w:rsidRPr="00752413">
        <w:rPr>
          <w:rFonts w:ascii="Times" w:hAnsi="Times"/>
          <w:i/>
          <w:color w:val="8064A2" w:themeColor="accent4"/>
        </w:rPr>
        <w:t xml:space="preserve">Charter </w:t>
      </w:r>
      <w:r w:rsidRPr="00752413">
        <w:rPr>
          <w:rFonts w:ascii="Times" w:hAnsi="Times"/>
          <w:color w:val="8064A2" w:themeColor="accent4"/>
        </w:rPr>
        <w:t xml:space="preserve"> right and the state must justify the infringement </w:t>
      </w:r>
    </w:p>
    <w:p w14:paraId="02A35D18" w14:textId="77777777" w:rsidR="00F578DA" w:rsidRPr="00F578DA" w:rsidRDefault="00F578DA" w:rsidP="006F004D">
      <w:pPr>
        <w:pStyle w:val="NoteLevel2"/>
      </w:pPr>
      <w:r>
        <w:rPr>
          <w:rFonts w:ascii="Times" w:hAnsi="Times"/>
        </w:rPr>
        <w:t xml:space="preserve">The grounds of discrimination enumerated in s.15(1) are not exhaustive </w:t>
      </w:r>
    </w:p>
    <w:p w14:paraId="5722608C" w14:textId="77777777" w:rsidR="00F578DA" w:rsidRPr="00F578DA" w:rsidRDefault="00F578DA" w:rsidP="00F578DA">
      <w:pPr>
        <w:pStyle w:val="NoteLevel3"/>
      </w:pPr>
      <w:r>
        <w:rPr>
          <w:rFonts w:ascii="Times" w:hAnsi="Times"/>
        </w:rPr>
        <w:t xml:space="preserve">Grounds analogous to those enumerated are also covered and the section may be even broader than that although it’s not necessary to answer that question in this case since the ground advanced in this case falls into the analogous category </w:t>
      </w:r>
    </w:p>
    <w:p w14:paraId="6743A3C6" w14:textId="77777777" w:rsidR="00F578DA" w:rsidRPr="00752413" w:rsidRDefault="00F578DA" w:rsidP="00F578DA">
      <w:pPr>
        <w:pStyle w:val="NoteLevel2"/>
        <w:rPr>
          <w:color w:val="8064A2" w:themeColor="accent4"/>
        </w:rPr>
      </w:pPr>
      <w:r w:rsidRPr="00752413">
        <w:rPr>
          <w:rFonts w:ascii="Times" w:hAnsi="Times"/>
          <w:color w:val="8064A2" w:themeColor="accent4"/>
        </w:rPr>
        <w:t>The words “without discrimination” require more than a mere finding of distinction btwn the treatment of groups or individuals</w:t>
      </w:r>
    </w:p>
    <w:p w14:paraId="5DDE5B6E" w14:textId="77777777" w:rsidR="00297A64" w:rsidRPr="00752413" w:rsidRDefault="00F578DA" w:rsidP="00F578DA">
      <w:pPr>
        <w:pStyle w:val="NoteLevel3"/>
        <w:rPr>
          <w:color w:val="8064A2" w:themeColor="accent4"/>
        </w:rPr>
      </w:pPr>
      <w:r w:rsidRPr="00752413">
        <w:rPr>
          <w:rFonts w:ascii="Times" w:hAnsi="Times"/>
          <w:color w:val="8064A2" w:themeColor="accent4"/>
        </w:rPr>
        <w:t xml:space="preserve">These words are a form of qualifier built into s.15 itself </w:t>
      </w:r>
      <w:r w:rsidR="00297A64" w:rsidRPr="00752413">
        <w:rPr>
          <w:rFonts w:ascii="Times" w:hAnsi="Times"/>
          <w:color w:val="8064A2" w:themeColor="accent4"/>
        </w:rPr>
        <w:t xml:space="preserve">and limit those distinctions which are forbidden by the section to those which involve prejudice or disadvantage </w:t>
      </w:r>
    </w:p>
    <w:p w14:paraId="4D6AC945" w14:textId="42C22E71" w:rsidR="00297A64" w:rsidRPr="00752413" w:rsidRDefault="00297A64" w:rsidP="00F578DA">
      <w:pPr>
        <w:pStyle w:val="NoteLevel3"/>
        <w:rPr>
          <w:color w:val="8064A2" w:themeColor="accent4"/>
        </w:rPr>
      </w:pPr>
      <w:r w:rsidRPr="00752413">
        <w:rPr>
          <w:rFonts w:ascii="Times" w:hAnsi="Times"/>
          <w:color w:val="8064A2" w:themeColor="accent4"/>
        </w:rPr>
        <w:t xml:space="preserve">The effect of the impugned distinction or classification on the complainant must be considered </w:t>
      </w:r>
    </w:p>
    <w:p w14:paraId="78BB06E5" w14:textId="77777777" w:rsidR="00297A64" w:rsidRPr="00752413" w:rsidRDefault="00297A64" w:rsidP="00F578DA">
      <w:pPr>
        <w:pStyle w:val="NoteLevel3"/>
        <w:rPr>
          <w:color w:val="8064A2" w:themeColor="accent4"/>
        </w:rPr>
      </w:pPr>
      <w:r w:rsidRPr="00752413">
        <w:rPr>
          <w:rFonts w:ascii="Times" w:hAnsi="Times"/>
          <w:color w:val="8064A2" w:themeColor="accent4"/>
        </w:rPr>
        <w:t xml:space="preserve">Given that not all distinctions &amp; differentiations created by law are discriminatory, a complaint under s.15(1) must show not only that he/she is not receiving equal treatment before &amp; under the law or that the law has a differential impact on him/her in the protection or benefit of the law but must show in addition that the law is discriminatory </w:t>
      </w:r>
    </w:p>
    <w:p w14:paraId="5C34E4E7" w14:textId="77777777" w:rsidR="0065126F" w:rsidRPr="0065126F" w:rsidRDefault="00DD6900" w:rsidP="0065126F">
      <w:pPr>
        <w:pStyle w:val="NoteLevel2"/>
      </w:pPr>
      <w:r>
        <w:rPr>
          <w:rFonts w:ascii="Times" w:hAnsi="Times"/>
        </w:rPr>
        <w:t xml:space="preserve"> A rule which bars an entire class of persons from certain forms of employment, solely on the grounds of a lack of citizenship status &amp; w/o condensation of educational and professional qualifications or other attributes/merits of individuals in the group, infringes s.15 equality rights (Section 42 of the </w:t>
      </w:r>
      <w:r>
        <w:rPr>
          <w:rFonts w:ascii="Times" w:hAnsi="Times"/>
          <w:i/>
        </w:rPr>
        <w:t>Barristers and Solicitors Act</w:t>
      </w:r>
      <w:r>
        <w:rPr>
          <w:rFonts w:ascii="Times" w:hAnsi="Times"/>
        </w:rPr>
        <w:t xml:space="preserve"> is such a rule)</w:t>
      </w:r>
    </w:p>
    <w:p w14:paraId="6793B792" w14:textId="77777777" w:rsidR="0065126F" w:rsidRPr="0065126F" w:rsidRDefault="0065126F" w:rsidP="0065126F">
      <w:pPr>
        <w:pStyle w:val="NoteLevel2"/>
      </w:pPr>
      <w:r>
        <w:rPr>
          <w:rFonts w:ascii="Times" w:hAnsi="Times"/>
        </w:rPr>
        <w:t>The views of McIntyre J. as to the meaning of s.15(1) were substantially agreed w/ in so far as relevant to the question of whether or not the impugned provision amounted to discrimination based on “irrelevant person differences” such as those listed in s.15</w:t>
      </w:r>
    </w:p>
    <w:p w14:paraId="3EC05CFB" w14:textId="3FF87C8F" w:rsidR="0065126F" w:rsidRPr="0065126F" w:rsidRDefault="0065126F" w:rsidP="0065126F">
      <w:pPr>
        <w:pStyle w:val="NoteLevel3"/>
      </w:pPr>
      <w:r>
        <w:rPr>
          <w:rFonts w:ascii="Times" w:hAnsi="Times"/>
        </w:rPr>
        <w:t>The opening words of s.15 referring more</w:t>
      </w:r>
      <w:r w:rsidR="007D14D1">
        <w:rPr>
          <w:rFonts w:ascii="Times" w:hAnsi="Times"/>
        </w:rPr>
        <w:t xml:space="preserve"> generally to equality, however,</w:t>
      </w:r>
      <w:r>
        <w:rPr>
          <w:rFonts w:ascii="Times" w:hAnsi="Times"/>
        </w:rPr>
        <w:t xml:space="preserve"> may have a significance that extends beyond protection from discrimination through the application of law</w:t>
      </w:r>
    </w:p>
    <w:p w14:paraId="3200C043" w14:textId="77777777" w:rsidR="005F77BF" w:rsidRPr="005F77BF" w:rsidRDefault="0065126F" w:rsidP="0065126F">
      <w:pPr>
        <w:pStyle w:val="NoteLevel3"/>
      </w:pPr>
      <w:r>
        <w:rPr>
          <w:rFonts w:ascii="Times" w:hAnsi="Times"/>
        </w:rPr>
        <w:t xml:space="preserve">All legislative classifications need not be rationally supportable before the courts; s/ 15 was not intended to be a tool for the wholesale subjection of legislation to judicial scrutiny </w:t>
      </w:r>
    </w:p>
    <w:p w14:paraId="5877D4F1" w14:textId="77777777" w:rsidR="00A906ED" w:rsidRPr="00A906ED" w:rsidRDefault="00A906ED" w:rsidP="00A906ED">
      <w:pPr>
        <w:pStyle w:val="NoteLevel2"/>
      </w:pPr>
      <w:r>
        <w:rPr>
          <w:rFonts w:ascii="Times" w:hAnsi="Times"/>
        </w:rPr>
        <w:t>The impugned legislation distinguished the respondents from other persons on the basis of a person characteristic which shares similarities w/ those enumerated in s.15</w:t>
      </w:r>
    </w:p>
    <w:p w14:paraId="21AA66E1" w14:textId="77777777" w:rsidR="00A906ED" w:rsidRPr="00A906ED" w:rsidRDefault="00A906ED" w:rsidP="00A906ED">
      <w:pPr>
        <w:pStyle w:val="NoteLevel3"/>
      </w:pPr>
      <w:r>
        <w:rPr>
          <w:rFonts w:ascii="Times" w:hAnsi="Times"/>
        </w:rPr>
        <w:t>Citizenship isn’t typically w/n the control of an individual and is, at least temporarily, a characteristic of personhood which is not alterable by conscious action and which in some cases is not alterable except on the basis of unacceptable cost</w:t>
      </w:r>
    </w:p>
    <w:p w14:paraId="360897DA" w14:textId="77777777" w:rsidR="00A906ED" w:rsidRPr="00A906ED" w:rsidRDefault="00A906ED" w:rsidP="00A906ED">
      <w:pPr>
        <w:pStyle w:val="NoteLevel3"/>
      </w:pPr>
      <w:r>
        <w:rPr>
          <w:rFonts w:ascii="Times" w:hAnsi="Times"/>
        </w:rPr>
        <w:t xml:space="preserve">Non-citizens are a group of persons who are relatively powerless politically and whose interests are likely to be compromised by legislative decisions </w:t>
      </w:r>
    </w:p>
    <w:p w14:paraId="21F59FC6" w14:textId="77777777" w:rsidR="000F7F05" w:rsidRPr="000F7F05" w:rsidRDefault="000F7F05" w:rsidP="00D75A97">
      <w:pPr>
        <w:pStyle w:val="NoteLevel2"/>
      </w:pPr>
      <w:r>
        <w:rPr>
          <w:rFonts w:ascii="Times" w:hAnsi="Times"/>
        </w:rPr>
        <w:t xml:space="preserve">Citizenship is generally irrelevant to the legitimate work of gov’t in all but a limited number of areas </w:t>
      </w:r>
    </w:p>
    <w:p w14:paraId="14CDB29B" w14:textId="77777777" w:rsidR="000F7F05" w:rsidRPr="000F7F05" w:rsidRDefault="000F7F05" w:rsidP="000F7F05">
      <w:pPr>
        <w:pStyle w:val="NoteLevel3"/>
      </w:pPr>
      <w:r>
        <w:rPr>
          <w:rFonts w:ascii="Times" w:hAnsi="Times"/>
        </w:rPr>
        <w:t xml:space="preserve">Legislating citizenship as a basis for distinguishing between persons, here for conditioning access to the practice of a profession, harbors the potential for undermining the essential or underlying values of a free &amp; democratic society embodied in s.15 </w:t>
      </w:r>
    </w:p>
    <w:p w14:paraId="404D91FE" w14:textId="77777777" w:rsidR="000F7F05" w:rsidRPr="000F7F05" w:rsidRDefault="000F7F05" w:rsidP="000F7F05">
      <w:pPr>
        <w:pStyle w:val="NoteLevel3"/>
      </w:pPr>
      <w:r>
        <w:rPr>
          <w:rFonts w:ascii="Times" w:hAnsi="Times"/>
        </w:rPr>
        <w:t xml:space="preserve">The conditions could be acceptable in Canada if that legislation is justified by the gov’t under s.1 of the </w:t>
      </w:r>
      <w:r>
        <w:rPr>
          <w:rFonts w:ascii="Times" w:hAnsi="Times"/>
          <w:i/>
        </w:rPr>
        <w:t>Charter</w:t>
      </w:r>
    </w:p>
    <w:p w14:paraId="7CF9014F" w14:textId="09540749" w:rsidR="007B4455" w:rsidRPr="007B4455" w:rsidRDefault="007B4455" w:rsidP="007B4455">
      <w:pPr>
        <w:pStyle w:val="NoteLevel1"/>
      </w:pPr>
      <w:r>
        <w:rPr>
          <w:rFonts w:ascii="Times" w:hAnsi="Times"/>
        </w:rPr>
        <w:t xml:space="preserve">- Section 1 of the </w:t>
      </w:r>
      <w:r>
        <w:rPr>
          <w:rFonts w:ascii="Times" w:hAnsi="Times"/>
          <w:i/>
        </w:rPr>
        <w:t>Charter</w:t>
      </w:r>
      <w:r w:rsidR="000B6E20">
        <w:rPr>
          <w:rFonts w:ascii="Times" w:hAnsi="Times"/>
          <w:i/>
        </w:rPr>
        <w:t xml:space="preserve"> </w:t>
      </w:r>
      <w:r w:rsidR="000B6E20">
        <w:rPr>
          <w:rFonts w:ascii="Times" w:hAnsi="Times"/>
        </w:rPr>
        <w:t xml:space="preserve">per Dickson C.J. and Wilson and L’Heureux-Dube JJ: </w:t>
      </w:r>
    </w:p>
    <w:p w14:paraId="04887B8B" w14:textId="77777777" w:rsidR="00B63E63" w:rsidRPr="00B63E63" w:rsidRDefault="00B63E63" w:rsidP="007B4455">
      <w:pPr>
        <w:pStyle w:val="NoteLevel2"/>
      </w:pPr>
      <w:r>
        <w:rPr>
          <w:rFonts w:ascii="Times" w:hAnsi="Times"/>
        </w:rPr>
        <w:t>The legislation wasn’t justified under s.1</w:t>
      </w:r>
    </w:p>
    <w:p w14:paraId="5A7329B5" w14:textId="77777777" w:rsidR="00B63E63" w:rsidRPr="00B63E63" w:rsidRDefault="00B63E63" w:rsidP="00B63E63">
      <w:pPr>
        <w:pStyle w:val="NoteLevel2"/>
      </w:pPr>
      <w:r>
        <w:rPr>
          <w:rFonts w:ascii="Times" w:hAnsi="Times"/>
        </w:rPr>
        <w:t xml:space="preserve">The objective of the legislation wasn’t sufficiently pressing &amp; substantial to warrant overcoming the rights protection by s. 15 </w:t>
      </w:r>
    </w:p>
    <w:p w14:paraId="07487F8C" w14:textId="77777777" w:rsidR="00B63E63" w:rsidRPr="00B63E63" w:rsidRDefault="00B63E63" w:rsidP="00B63E63">
      <w:pPr>
        <w:pStyle w:val="NoteLevel2"/>
      </w:pPr>
      <w:r>
        <w:rPr>
          <w:rFonts w:ascii="Times" w:hAnsi="Times"/>
        </w:rPr>
        <w:t xml:space="preserve">The proportionality test wasn’t met </w:t>
      </w:r>
    </w:p>
    <w:p w14:paraId="643254F9" w14:textId="77777777" w:rsidR="00B63E63" w:rsidRPr="00B63E63" w:rsidRDefault="00B63E63" w:rsidP="00B63E63">
      <w:pPr>
        <w:pStyle w:val="NoteLevel3"/>
      </w:pPr>
      <w:r>
        <w:rPr>
          <w:rFonts w:ascii="Times" w:hAnsi="Times"/>
        </w:rPr>
        <w:t xml:space="preserve">The requirement of citizenship isn’t tailored to achieve the objective that lawyers be familiar w/ Canadian institutions &amp; customs and may not even be rationally connected to it </w:t>
      </w:r>
    </w:p>
    <w:p w14:paraId="108898BD" w14:textId="77777777" w:rsidR="0097733F" w:rsidRPr="0097733F" w:rsidRDefault="00B63E63" w:rsidP="00B63E63">
      <w:pPr>
        <w:pStyle w:val="NoteLevel3"/>
      </w:pPr>
      <w:r>
        <w:rPr>
          <w:rFonts w:ascii="Times" w:hAnsi="Times"/>
        </w:rPr>
        <w:t xml:space="preserve">Even if lawyers do perform governmental function, citizenship doesn’t guarantee that they will honourably and conscientiously carry out their public duties: that is a function of their being good lawyers, not of citizenship </w:t>
      </w:r>
    </w:p>
    <w:p w14:paraId="4F092BB5" w14:textId="77777777" w:rsidR="0097733F" w:rsidRPr="0097733F" w:rsidRDefault="0097733F" w:rsidP="00B63E63">
      <w:pPr>
        <w:pStyle w:val="NoteLevel3"/>
      </w:pPr>
      <w:r>
        <w:rPr>
          <w:rFonts w:ascii="Times" w:hAnsi="Times"/>
        </w:rPr>
        <w:t xml:space="preserve">Citizenship neither ensures the objectives of familiarity w/ Canadian institutions and customs or of commitment to Canadian society </w:t>
      </w:r>
    </w:p>
    <w:p w14:paraId="16E1945F" w14:textId="77777777" w:rsidR="002C4F7B" w:rsidRPr="002C4F7B" w:rsidRDefault="0097733F" w:rsidP="002C4F7B">
      <w:pPr>
        <w:pStyle w:val="NoteLevel3"/>
      </w:pPr>
      <w:r>
        <w:rPr>
          <w:rFonts w:ascii="Times" w:hAnsi="Times"/>
        </w:rPr>
        <w:t xml:space="preserve">Restriction of access to the profession to citizens is over-inclusive; less drastic measures for achieving the desire objectives are available </w:t>
      </w:r>
    </w:p>
    <w:p w14:paraId="14313EAA" w14:textId="77777777" w:rsidR="002C4F7B" w:rsidRPr="002C4F7B" w:rsidRDefault="002C4F7B" w:rsidP="002C4F7B">
      <w:pPr>
        <w:pStyle w:val="NoteLevel2"/>
      </w:pPr>
      <w:r>
        <w:rPr>
          <w:rFonts w:ascii="Times" w:hAnsi="Times"/>
        </w:rPr>
        <w:t xml:space="preserve">Dissenting McIntyre &amp; Lamer JJ: “The citizenship requirement is reasonable and sustainable under s.1 given the importance of the legal profession in the gov’t of the country. The measure was not disproportionate to the object to be attained. </w:t>
      </w:r>
    </w:p>
    <w:p w14:paraId="1A2BB54F" w14:textId="77777777" w:rsidR="002C4F7B" w:rsidRDefault="002C4F7B" w:rsidP="002C4F7B">
      <w:pPr>
        <w:pStyle w:val="NoteLevel1"/>
      </w:pPr>
    </w:p>
    <w:p w14:paraId="2A1C7D5C" w14:textId="78FF1E2E" w:rsidR="00A01715" w:rsidRPr="00A01715" w:rsidRDefault="00A01715" w:rsidP="002C4F7B">
      <w:pPr>
        <w:pStyle w:val="NoteLevel1"/>
      </w:pPr>
      <w:r>
        <w:rPr>
          <w:rFonts w:ascii="Times" w:hAnsi="Times"/>
        </w:rPr>
        <w:t>Wilson, J:</w:t>
      </w:r>
    </w:p>
    <w:p w14:paraId="357C34B7" w14:textId="56A35DF5" w:rsidR="00A01715" w:rsidRPr="00A01715" w:rsidRDefault="00A01715" w:rsidP="002C4F7B">
      <w:pPr>
        <w:pStyle w:val="NoteLevel1"/>
      </w:pPr>
      <w:r>
        <w:rPr>
          <w:rFonts w:ascii="Times" w:hAnsi="Times"/>
        </w:rPr>
        <w:t>- Section 1</w:t>
      </w:r>
    </w:p>
    <w:p w14:paraId="43E5816F" w14:textId="6A3DC71A" w:rsidR="00A01715" w:rsidRPr="00B76705" w:rsidRDefault="00B76705" w:rsidP="00A01715">
      <w:pPr>
        <w:pStyle w:val="NoteLevel2"/>
      </w:pPr>
      <w:r>
        <w:rPr>
          <w:rFonts w:ascii="Times" w:hAnsi="Times"/>
        </w:rPr>
        <w:t xml:space="preserve">Having found an infringement of s.15, now turn to whether or not it is justified under s.1 </w:t>
      </w:r>
    </w:p>
    <w:p w14:paraId="662D12F9" w14:textId="217473B5" w:rsidR="00B76705" w:rsidRDefault="000B6E20" w:rsidP="000B6E20">
      <w:pPr>
        <w:pStyle w:val="NoteLevel2"/>
        <w:rPr>
          <w:rFonts w:ascii="Times" w:hAnsi="Times"/>
        </w:rPr>
      </w:pPr>
      <w:r>
        <w:rPr>
          <w:rFonts w:ascii="Times" w:hAnsi="Times"/>
        </w:rPr>
        <w:t xml:space="preserve">Application of the </w:t>
      </w:r>
      <w:r>
        <w:rPr>
          <w:rFonts w:ascii="Times" w:hAnsi="Times"/>
          <w:i/>
        </w:rPr>
        <w:t>Oakes</w:t>
      </w:r>
      <w:r>
        <w:rPr>
          <w:rFonts w:ascii="Times" w:hAnsi="Times"/>
        </w:rPr>
        <w:t xml:space="preserve"> Test:</w:t>
      </w:r>
    </w:p>
    <w:p w14:paraId="345EA986" w14:textId="5A524578" w:rsidR="006445CF" w:rsidRDefault="000B6E20" w:rsidP="000B6E20">
      <w:pPr>
        <w:pStyle w:val="NoteLevel3"/>
        <w:rPr>
          <w:rFonts w:ascii="Times" w:hAnsi="Times"/>
        </w:rPr>
      </w:pPr>
      <w:r>
        <w:rPr>
          <w:rFonts w:ascii="Times" w:hAnsi="Times"/>
        </w:rPr>
        <w:t>First step is that the objective must be “pressing &amp; substantial” in a free &amp; democratic society</w:t>
      </w:r>
      <w:r w:rsidR="006445CF">
        <w:rPr>
          <w:rFonts w:ascii="Times" w:hAnsi="Times"/>
        </w:rPr>
        <w:t>,</w:t>
      </w:r>
      <w:r>
        <w:rPr>
          <w:rFonts w:ascii="Times" w:hAnsi="Times"/>
        </w:rPr>
        <w:t xml:space="preserve"> an</w:t>
      </w:r>
      <w:r w:rsidR="006445CF">
        <w:rPr>
          <w:rFonts w:ascii="Times" w:hAnsi="Times"/>
        </w:rPr>
        <w:t xml:space="preserve">d </w:t>
      </w:r>
      <w:r w:rsidR="00F14725">
        <w:rPr>
          <w:rFonts w:ascii="Times" w:hAnsi="Times"/>
        </w:rPr>
        <w:t xml:space="preserve">the second is proportionality which has three aspects: the limiting measure must be rationally connected to the objective; they must impair the right as little as possible; their effects must not so severely trench on individual or group rights that the objective is outweighed </w:t>
      </w:r>
    </w:p>
    <w:p w14:paraId="51F90C1B" w14:textId="7B7A5BB8" w:rsidR="00F14725" w:rsidRDefault="003F2BC2" w:rsidP="00F14725">
      <w:pPr>
        <w:pStyle w:val="NoteLevel2"/>
        <w:rPr>
          <w:rFonts w:ascii="Times" w:hAnsi="Times"/>
        </w:rPr>
      </w:pPr>
      <w:r>
        <w:rPr>
          <w:rFonts w:ascii="Times" w:hAnsi="Times"/>
        </w:rPr>
        <w:t xml:space="preserve">The appellant submitted that the Court of Appeal erred in its consideration of the citizenship requirement by failing to accord proper recognition to the role of the legal profession in the gov’mntl process of the country &amp; in failing to consider that Canadian citizenship could reasonably be regarded by the legislature as a requirement for the practice of law. </w:t>
      </w:r>
    </w:p>
    <w:p w14:paraId="201DA0ED" w14:textId="72BF942E" w:rsidR="003F2BC2" w:rsidRDefault="003F2BC2" w:rsidP="003F2BC2">
      <w:pPr>
        <w:pStyle w:val="NoteLevel3"/>
        <w:rPr>
          <w:rFonts w:ascii="Times" w:hAnsi="Times"/>
        </w:rPr>
      </w:pPr>
      <w:r>
        <w:rPr>
          <w:rFonts w:ascii="Times" w:hAnsi="Times"/>
        </w:rPr>
        <w:t>The respondents argued that the Court of Appeal was right in concluding that there wasn’t a sufficient rational connection btwn the required citizenship and the gov’mntl interest in ensuring that lawyers in BC are familiar w/ Canadian institutions, are committed to Canadian society, and are capable of playing a role in our system of democratic gov’t</w:t>
      </w:r>
    </w:p>
    <w:p w14:paraId="2E223E5F" w14:textId="49CCB81E" w:rsidR="003F2BC2" w:rsidRDefault="003F2BC2" w:rsidP="003F2BC2">
      <w:pPr>
        <w:pStyle w:val="NoteLevel2"/>
        <w:rPr>
          <w:rFonts w:ascii="Times" w:hAnsi="Times"/>
        </w:rPr>
      </w:pPr>
      <w:r>
        <w:rPr>
          <w:rFonts w:ascii="Times" w:hAnsi="Times"/>
        </w:rPr>
        <w:t xml:space="preserve">The trial judge concluded that the discrimination against non-citizens </w:t>
      </w:r>
      <w:r w:rsidR="001E367F">
        <w:rPr>
          <w:rFonts w:ascii="Times" w:hAnsi="Times"/>
        </w:rPr>
        <w:t xml:space="preserve">in s.42 of the B&amp;S Act was justified under s.1 of the </w:t>
      </w:r>
      <w:r w:rsidR="001E367F">
        <w:rPr>
          <w:rFonts w:ascii="Times" w:hAnsi="Times"/>
          <w:i/>
        </w:rPr>
        <w:t>Charter</w:t>
      </w:r>
      <w:r w:rsidR="001E367F">
        <w:rPr>
          <w:rFonts w:ascii="Times" w:hAnsi="Times"/>
        </w:rPr>
        <w:t>:</w:t>
      </w:r>
    </w:p>
    <w:p w14:paraId="0EE7A46E" w14:textId="77777777" w:rsidR="002062A6" w:rsidRDefault="001E367F" w:rsidP="002062A6">
      <w:pPr>
        <w:pStyle w:val="NoteLevel3"/>
        <w:rPr>
          <w:rFonts w:ascii="Times" w:hAnsi="Times"/>
        </w:rPr>
      </w:pPr>
      <w:r>
        <w:rPr>
          <w:rFonts w:ascii="Times" w:hAnsi="Times"/>
        </w:rPr>
        <w:t xml:space="preserve">“I find citizenship to be a personal characteristic which is relevant to the practice of law on account of the special commitment to the community which citizenship involves and not merely b/c the practical familiarity w/ the country necessary for that occupation can generally be expected in the case of citizens” </w:t>
      </w:r>
    </w:p>
    <w:p w14:paraId="0B9052DF" w14:textId="77777777" w:rsidR="00691451" w:rsidRDefault="002062A6" w:rsidP="00691451">
      <w:pPr>
        <w:pStyle w:val="NoteLevel2"/>
        <w:rPr>
          <w:rFonts w:ascii="Times" w:hAnsi="Times"/>
        </w:rPr>
      </w:pPr>
      <w:r>
        <w:rPr>
          <w:rFonts w:ascii="Times" w:hAnsi="Times"/>
        </w:rPr>
        <w:t xml:space="preserve">On appeal, McLachlin J.A. found that the exclusion of non-citizens wasn’t rationally connected to the gov’mntl interest in ensuring that lawyers had a sufficient knowledge of local affairs &amp; institutions for the competent practice of law </w:t>
      </w:r>
    </w:p>
    <w:p w14:paraId="10E1B587" w14:textId="77777777" w:rsidR="00DE24B7" w:rsidRDefault="00691451" w:rsidP="00DE24B7">
      <w:pPr>
        <w:pStyle w:val="NoteLevel3"/>
        <w:rPr>
          <w:rFonts w:ascii="Times" w:hAnsi="Times"/>
        </w:rPr>
      </w:pPr>
      <w:r>
        <w:rPr>
          <w:rFonts w:ascii="Times" w:hAnsi="Times"/>
        </w:rPr>
        <w:t xml:space="preserve">The citizenship requirement isn’t carefully tailored to achieved the objective of lawyers being familiar w/ Canadian institutions &amp; customs; the requirement affords no assurance that citizens who want to become lawyers are sufficiently familiar w/ Canadian institutions and “it could be better achieved by an examination of the particular qualifications of the applicant, whether he is a Canadian citizens, a British subject, or something else.” </w:t>
      </w:r>
    </w:p>
    <w:p w14:paraId="50FAFEB8" w14:textId="77777777" w:rsidR="00DE24B7" w:rsidRDefault="00DE24B7" w:rsidP="00DE24B7">
      <w:pPr>
        <w:pStyle w:val="NoteLevel2"/>
        <w:rPr>
          <w:rFonts w:ascii="Times" w:hAnsi="Times"/>
        </w:rPr>
      </w:pPr>
      <w:r>
        <w:rPr>
          <w:rFonts w:ascii="Times" w:hAnsi="Times"/>
        </w:rPr>
        <w:t>Second &amp; third grounds the gov’t used to justify the requirement: citizenship evidences a real attachment to Canada; and that lawyers are said to play a role in the governance of our country</w:t>
      </w:r>
    </w:p>
    <w:p w14:paraId="5C221FFC" w14:textId="77777777" w:rsidR="00A95057" w:rsidRDefault="00A95057" w:rsidP="00DE24B7">
      <w:pPr>
        <w:pStyle w:val="NoteLevel3"/>
        <w:rPr>
          <w:rFonts w:ascii="Times" w:hAnsi="Times"/>
        </w:rPr>
      </w:pPr>
      <w:r>
        <w:rPr>
          <w:rFonts w:ascii="Times" w:hAnsi="Times"/>
        </w:rPr>
        <w:t>Wilson J. says that even if lawyers do perform a governmental function, he doesn’t think that the requirement that they be citizens provides any guarantee that they will be honourably and conscientiously carry out their public duties; “they will carry them out because they are good lawyers and not because they are Canadian citizens”</w:t>
      </w:r>
    </w:p>
    <w:p w14:paraId="1454FB85" w14:textId="77777777" w:rsidR="003B229D" w:rsidRDefault="003B229D" w:rsidP="003B229D">
      <w:pPr>
        <w:pStyle w:val="NoteLevel2"/>
        <w:rPr>
          <w:rFonts w:ascii="Times" w:hAnsi="Times"/>
        </w:rPr>
      </w:pPr>
      <w:r>
        <w:rPr>
          <w:rFonts w:ascii="Times" w:hAnsi="Times"/>
        </w:rPr>
        <w:t xml:space="preserve">Wilson J: “The reasoning advanced in support of the citizenship requirement simply doesn’t meet the tests in </w:t>
      </w:r>
      <w:r>
        <w:rPr>
          <w:rFonts w:ascii="Times" w:hAnsi="Times"/>
          <w:i/>
        </w:rPr>
        <w:t>Oakes</w:t>
      </w:r>
      <w:r>
        <w:rPr>
          <w:rFonts w:ascii="Times" w:hAnsi="Times"/>
        </w:rPr>
        <w:t xml:space="preserve"> for overriding a constitutional right particularly, as in this case, a right designed to protect ‘discrete and insular minorities’ in our society.</w:t>
      </w:r>
      <w:r w:rsidR="00A95057">
        <w:rPr>
          <w:rFonts w:ascii="Times" w:hAnsi="Times"/>
        </w:rPr>
        <w:t xml:space="preserve"> </w:t>
      </w:r>
      <w:r>
        <w:rPr>
          <w:rFonts w:ascii="Times" w:hAnsi="Times"/>
        </w:rPr>
        <w:t>I would respectfully concur in the view expressed by McLachlin J.A. at p. 617 that the citizenship requirement does not “appear to relate closely to those ends, much less to have been carefully designed to achieve them w/ minimum impairment of individual rights”</w:t>
      </w:r>
    </w:p>
    <w:p w14:paraId="1B2333FA" w14:textId="23994172" w:rsidR="002E3FE0" w:rsidRPr="002E3FE0" w:rsidRDefault="002E3FE0" w:rsidP="002E3FE0">
      <w:pPr>
        <w:pStyle w:val="NoteLevel2"/>
        <w:rPr>
          <w:rFonts w:ascii="Times" w:hAnsi="Times"/>
        </w:rPr>
      </w:pPr>
      <w:r>
        <w:rPr>
          <w:rFonts w:ascii="Times" w:hAnsi="Times"/>
        </w:rPr>
        <w:t xml:space="preserve">Question one answer would be: yes, the impugned provision does infringe on the Charter and question two would be: no, it is not justified under s.1 of the Charter </w:t>
      </w:r>
    </w:p>
    <w:p w14:paraId="07CAE9D8" w14:textId="54A45FF3" w:rsidR="002E3FE0" w:rsidRDefault="002E3FE0" w:rsidP="002E3FE0">
      <w:pPr>
        <w:pStyle w:val="NoteLevel1"/>
        <w:numPr>
          <w:ilvl w:val="0"/>
          <w:numId w:val="0"/>
        </w:numPr>
        <w:rPr>
          <w:rFonts w:ascii="Times" w:hAnsi="Times"/>
        </w:rPr>
      </w:pPr>
      <w:r w:rsidRPr="002E3FE0">
        <w:rPr>
          <w:rFonts w:ascii="Times" w:hAnsi="Times"/>
        </w:rPr>
        <w:t>-</w:t>
      </w:r>
      <w:r>
        <w:rPr>
          <w:rFonts w:ascii="Times" w:hAnsi="Times"/>
        </w:rPr>
        <w:t xml:space="preserve"> Following the judgment in his favour, Andrews was called to the Bar and admitted as a solicitor in the Province of BC &amp; is now a Canadian citizen</w:t>
      </w:r>
    </w:p>
    <w:p w14:paraId="0064F2D8" w14:textId="77777777" w:rsidR="00814C1F" w:rsidRDefault="002E3FE0" w:rsidP="002E3FE0">
      <w:pPr>
        <w:pStyle w:val="NoteLevel1"/>
        <w:numPr>
          <w:ilvl w:val="0"/>
          <w:numId w:val="0"/>
        </w:numPr>
        <w:rPr>
          <w:rFonts w:ascii="Times" w:hAnsi="Times"/>
        </w:rPr>
      </w:pPr>
      <w:r>
        <w:rPr>
          <w:rFonts w:ascii="Times" w:hAnsi="Times"/>
        </w:rPr>
        <w:t xml:space="preserve">- Appeal dismissed w/ costs </w:t>
      </w:r>
    </w:p>
    <w:p w14:paraId="0BB24ABE" w14:textId="77777777" w:rsidR="00814C1F" w:rsidRDefault="00814C1F" w:rsidP="002E3FE0">
      <w:pPr>
        <w:pStyle w:val="NoteLevel1"/>
        <w:numPr>
          <w:ilvl w:val="0"/>
          <w:numId w:val="0"/>
        </w:numPr>
        <w:rPr>
          <w:rFonts w:ascii="Times" w:hAnsi="Times"/>
        </w:rPr>
      </w:pPr>
    </w:p>
    <w:p w14:paraId="5B26B6FD" w14:textId="0D406FB4" w:rsidR="00814C1F" w:rsidRDefault="00BE0910" w:rsidP="002E3FE0">
      <w:pPr>
        <w:pStyle w:val="NoteLevel1"/>
        <w:numPr>
          <w:ilvl w:val="0"/>
          <w:numId w:val="0"/>
        </w:numPr>
        <w:rPr>
          <w:rFonts w:ascii="Times" w:hAnsi="Times"/>
        </w:rPr>
      </w:pPr>
      <w:hyperlink r:id="rId13" w:history="1">
        <w:r w:rsidR="00814C1F" w:rsidRPr="00FD6674">
          <w:rPr>
            <w:rStyle w:val="Hyperlink"/>
            <w:rFonts w:ascii="Times" w:hAnsi="Times"/>
          </w:rPr>
          <w:t>http://scc.lexum.org/decisia-scc-csc/scc-csc/scc-csc/en/item/1691/index.do</w:t>
        </w:r>
      </w:hyperlink>
      <w:r w:rsidR="00814C1F">
        <w:rPr>
          <w:rFonts w:ascii="Times" w:hAnsi="Times"/>
        </w:rPr>
        <w:t xml:space="preserve"> </w:t>
      </w:r>
    </w:p>
    <w:p w14:paraId="1FFB139F" w14:textId="603795A7" w:rsidR="00AD26D3" w:rsidRDefault="00814C1F" w:rsidP="002E3FE0">
      <w:pPr>
        <w:pStyle w:val="NoteLevel1"/>
        <w:numPr>
          <w:ilvl w:val="0"/>
          <w:numId w:val="0"/>
        </w:numPr>
        <w:rPr>
          <w:rFonts w:ascii="Times" w:hAnsi="Times"/>
          <w:b/>
          <w:sz w:val="28"/>
          <w:szCs w:val="28"/>
        </w:rPr>
      </w:pPr>
      <w:r w:rsidRPr="00814C1F">
        <w:rPr>
          <w:rFonts w:ascii="Times" w:hAnsi="Times"/>
          <w:b/>
          <w:i/>
          <w:sz w:val="28"/>
          <w:szCs w:val="28"/>
        </w:rPr>
        <w:t>Law v. Canada (Minister of Employment and Immigration)</w:t>
      </w:r>
      <w:r w:rsidRPr="00814C1F">
        <w:rPr>
          <w:rFonts w:ascii="Times" w:hAnsi="Times"/>
          <w:b/>
          <w:sz w:val="28"/>
          <w:szCs w:val="28"/>
        </w:rPr>
        <w:t>, [1999] 1 S.C.R. 497</w:t>
      </w:r>
      <w:r w:rsidR="00AD26D3">
        <w:rPr>
          <w:rFonts w:ascii="Times" w:hAnsi="Times"/>
          <w:b/>
          <w:sz w:val="28"/>
          <w:szCs w:val="28"/>
        </w:rPr>
        <w:t xml:space="preserve"> </w:t>
      </w:r>
    </w:p>
    <w:p w14:paraId="57296580" w14:textId="76034C85" w:rsidR="00AD26D3" w:rsidRPr="00D02A55" w:rsidRDefault="00AD26D3" w:rsidP="002E3FE0">
      <w:pPr>
        <w:pStyle w:val="NoteLevel1"/>
        <w:numPr>
          <w:ilvl w:val="0"/>
          <w:numId w:val="0"/>
        </w:numPr>
        <w:rPr>
          <w:rFonts w:ascii="Times" w:hAnsi="Times"/>
          <w:u w:val="single"/>
        </w:rPr>
      </w:pPr>
      <w:r w:rsidRPr="00D02A55">
        <w:rPr>
          <w:rFonts w:ascii="Times" w:hAnsi="Times"/>
          <w:u w:val="single"/>
        </w:rPr>
        <w:t>E. Summary of Guidelines</w:t>
      </w:r>
    </w:p>
    <w:p w14:paraId="046783E4" w14:textId="77777777" w:rsidR="00D02A55" w:rsidRPr="00D02A55" w:rsidRDefault="00190295" w:rsidP="00B938C4">
      <w:pPr>
        <w:pStyle w:val="NoteLevel1"/>
        <w:rPr>
          <w:rFonts w:ascii="Times" w:hAnsi="Times"/>
          <w:b/>
          <w:sz w:val="28"/>
          <w:szCs w:val="28"/>
        </w:rPr>
      </w:pPr>
      <w:r>
        <w:rPr>
          <w:rFonts w:ascii="Times" w:hAnsi="Times"/>
        </w:rPr>
        <w:t xml:space="preserve">- </w:t>
      </w:r>
      <w:r w:rsidR="00D02A55">
        <w:rPr>
          <w:rFonts w:ascii="Times" w:hAnsi="Times"/>
        </w:rPr>
        <w:t>These guidelines shouldn’t been seen as a strict test, but should be understood as points of reference for a court that is called upon to decide whether a claimant’s right to equality without discrimination under the Charter has been infringed</w:t>
      </w:r>
    </w:p>
    <w:p w14:paraId="0D4C8BCE" w14:textId="77777777" w:rsidR="00D02A55" w:rsidRPr="00D02A55" w:rsidRDefault="00D02A55" w:rsidP="00D02A55">
      <w:pPr>
        <w:pStyle w:val="NoteLevel2"/>
        <w:rPr>
          <w:rFonts w:ascii="Times" w:hAnsi="Times"/>
          <w:b/>
          <w:sz w:val="28"/>
          <w:szCs w:val="28"/>
        </w:rPr>
      </w:pPr>
      <w:r>
        <w:rPr>
          <w:rFonts w:ascii="Times" w:hAnsi="Times"/>
        </w:rPr>
        <w:t xml:space="preserve">The guidelines summarized in this case will need to be supplemented in practice by the explanation of these guidelines in these reasons and those of previous cases, and by a full appreciation of the context surrounding the specific s.15(1) claim at issue </w:t>
      </w:r>
    </w:p>
    <w:p w14:paraId="2F5B5C5D" w14:textId="77777777" w:rsidR="00D02A55" w:rsidRPr="00D02A55" w:rsidRDefault="00D02A55" w:rsidP="00D02A55">
      <w:pPr>
        <w:pStyle w:val="NoteLevel1"/>
        <w:rPr>
          <w:rFonts w:ascii="Times" w:hAnsi="Times"/>
          <w:b/>
          <w:sz w:val="28"/>
          <w:szCs w:val="28"/>
        </w:rPr>
      </w:pPr>
    </w:p>
    <w:p w14:paraId="1C002857" w14:textId="460BCD69" w:rsidR="00D02A55" w:rsidRPr="00D02A55" w:rsidRDefault="00F366D9" w:rsidP="00D02A55">
      <w:pPr>
        <w:pStyle w:val="NoteLevel1"/>
        <w:rPr>
          <w:rFonts w:ascii="Times" w:hAnsi="Times"/>
          <w:b/>
          <w:sz w:val="28"/>
          <w:szCs w:val="28"/>
        </w:rPr>
      </w:pPr>
      <w:r>
        <w:rPr>
          <w:rFonts w:ascii="Times" w:hAnsi="Times"/>
          <w:i/>
        </w:rPr>
        <w:t xml:space="preserve">- </w:t>
      </w:r>
      <w:r w:rsidR="00D02A55">
        <w:rPr>
          <w:rFonts w:ascii="Times" w:hAnsi="Times"/>
          <w:i/>
        </w:rPr>
        <w:t>General Approach</w:t>
      </w:r>
    </w:p>
    <w:p w14:paraId="1C01BA15" w14:textId="77777777" w:rsidR="00F366D9" w:rsidRPr="00F366D9" w:rsidRDefault="00F366D9" w:rsidP="00F366D9">
      <w:pPr>
        <w:pStyle w:val="NoteLevel2"/>
        <w:rPr>
          <w:rFonts w:ascii="Times" w:hAnsi="Times"/>
          <w:b/>
          <w:sz w:val="28"/>
          <w:szCs w:val="28"/>
        </w:rPr>
      </w:pPr>
      <w:r>
        <w:rPr>
          <w:rFonts w:ascii="Times" w:hAnsi="Times"/>
        </w:rPr>
        <w:t>A purposive and contextual approach to discrimination analysis is to be preferred, in order to permit the realization of the strong remedial purpose of the equality guarantee, and to avoid the pitfalls of a formalistic or mechanical approach</w:t>
      </w:r>
    </w:p>
    <w:p w14:paraId="23BBC171" w14:textId="77777777" w:rsidR="00910846" w:rsidRPr="00910846" w:rsidRDefault="00910846" w:rsidP="00F366D9">
      <w:pPr>
        <w:pStyle w:val="NoteLevel2"/>
        <w:rPr>
          <w:rFonts w:ascii="Times" w:hAnsi="Times"/>
          <w:b/>
          <w:sz w:val="28"/>
          <w:szCs w:val="28"/>
        </w:rPr>
      </w:pPr>
      <w:r>
        <w:rPr>
          <w:rFonts w:ascii="Times" w:hAnsi="Times"/>
        </w:rPr>
        <w:t>The approach adopted &amp; regularly applied by this course to the interpretation of s.15(1) focuses on three central issues:</w:t>
      </w:r>
    </w:p>
    <w:p w14:paraId="12B99B09" w14:textId="77777777" w:rsidR="00910846" w:rsidRPr="00910846" w:rsidRDefault="00910846" w:rsidP="00910846">
      <w:pPr>
        <w:pStyle w:val="NoteLevel3"/>
        <w:numPr>
          <w:ilvl w:val="0"/>
          <w:numId w:val="0"/>
        </w:numPr>
        <w:ind w:left="1800"/>
        <w:rPr>
          <w:rFonts w:ascii="Times" w:hAnsi="Times"/>
          <w:b/>
          <w:sz w:val="28"/>
          <w:szCs w:val="28"/>
        </w:rPr>
      </w:pPr>
      <w:r>
        <w:rPr>
          <w:rFonts w:ascii="Times" w:hAnsi="Times"/>
        </w:rPr>
        <w:t>1) whether a law imposes differential treatment between the claimant and others, in purpose or effect;</w:t>
      </w:r>
    </w:p>
    <w:p w14:paraId="1B547541" w14:textId="77777777" w:rsidR="00910846" w:rsidRPr="00910846" w:rsidRDefault="00910846" w:rsidP="00910846">
      <w:pPr>
        <w:pStyle w:val="NoteLevel3"/>
        <w:numPr>
          <w:ilvl w:val="0"/>
          <w:numId w:val="0"/>
        </w:numPr>
        <w:ind w:left="1800"/>
        <w:rPr>
          <w:rFonts w:ascii="Times" w:hAnsi="Times"/>
          <w:b/>
          <w:sz w:val="28"/>
          <w:szCs w:val="28"/>
        </w:rPr>
      </w:pPr>
      <w:r>
        <w:rPr>
          <w:rFonts w:ascii="Times" w:hAnsi="Times"/>
        </w:rPr>
        <w:t xml:space="preserve">2) whether one or more enumerated or analogous grounds of discrimination are the basis for differential treatment; and </w:t>
      </w:r>
    </w:p>
    <w:p w14:paraId="629423AE" w14:textId="5415E0D0" w:rsidR="00910846" w:rsidRPr="00910846" w:rsidRDefault="00910846" w:rsidP="00910846">
      <w:pPr>
        <w:pStyle w:val="NoteLevel3"/>
        <w:numPr>
          <w:ilvl w:val="0"/>
          <w:numId w:val="0"/>
        </w:numPr>
        <w:ind w:left="1800"/>
        <w:rPr>
          <w:rFonts w:ascii="Times" w:hAnsi="Times"/>
          <w:b/>
          <w:sz w:val="28"/>
          <w:szCs w:val="28"/>
        </w:rPr>
      </w:pPr>
      <w:r>
        <w:rPr>
          <w:rFonts w:ascii="Times" w:hAnsi="Times"/>
        </w:rPr>
        <w:t>3) whether the law in question has a purpose or effect that is discriminatory w/n the meaning of the equality guarantee</w:t>
      </w:r>
    </w:p>
    <w:p w14:paraId="14D917F1" w14:textId="77777777" w:rsidR="00910846" w:rsidRPr="00910846" w:rsidRDefault="00910846" w:rsidP="00910846">
      <w:pPr>
        <w:pStyle w:val="NoteLevel2"/>
        <w:rPr>
          <w:rFonts w:ascii="Times" w:hAnsi="Times"/>
          <w:b/>
          <w:sz w:val="28"/>
          <w:szCs w:val="28"/>
        </w:rPr>
      </w:pPr>
      <w:r>
        <w:rPr>
          <w:rFonts w:ascii="Times" w:hAnsi="Times"/>
        </w:rPr>
        <w:t>The first issue deals w/ the question of whether the law causes differential treatment; the second and third deal with whether the differential treatment constitutes discrimination in the substantive sense intended by s.15(1)</w:t>
      </w:r>
    </w:p>
    <w:p w14:paraId="7F96BDD6" w14:textId="77777777" w:rsidR="00993DAB" w:rsidRPr="00993DAB" w:rsidRDefault="00993DAB" w:rsidP="00993DAB">
      <w:pPr>
        <w:pStyle w:val="NoteLevel2"/>
        <w:rPr>
          <w:rFonts w:ascii="Times" w:hAnsi="Times"/>
          <w:b/>
          <w:sz w:val="28"/>
          <w:szCs w:val="28"/>
        </w:rPr>
      </w:pPr>
      <w:r>
        <w:rPr>
          <w:rFonts w:ascii="Times" w:hAnsi="Times"/>
        </w:rPr>
        <w:t>A court that is called upon to determine a discrimination claim under s.15(1) should make the following three broad inquiries:</w:t>
      </w:r>
    </w:p>
    <w:p w14:paraId="2AF8F672" w14:textId="158A6C5D" w:rsidR="00F86033" w:rsidRPr="00F86033" w:rsidRDefault="00F86033" w:rsidP="00F86033">
      <w:pPr>
        <w:pStyle w:val="NoteLevel3"/>
        <w:numPr>
          <w:ilvl w:val="0"/>
          <w:numId w:val="0"/>
        </w:numPr>
        <w:ind w:left="1800"/>
        <w:rPr>
          <w:rFonts w:ascii="Times" w:hAnsi="Times"/>
          <w:b/>
          <w:sz w:val="28"/>
          <w:szCs w:val="28"/>
        </w:rPr>
      </w:pPr>
      <w:r>
        <w:rPr>
          <w:rFonts w:ascii="Times" w:hAnsi="Times"/>
        </w:rPr>
        <w:t xml:space="preserve">1) </w:t>
      </w:r>
      <w:r w:rsidR="00993DAB">
        <w:rPr>
          <w:rFonts w:ascii="Times" w:hAnsi="Times"/>
        </w:rPr>
        <w:t>Does the impugned law a) draw a formal distinction btwn the claimant and others on the basis of one or more personal characteristics, or b) fail to take into account the claimant’s already disadvantaged position w/n Canadian society resulting in substantively differential treatment between the claimant and others on the basis of one or more personal characteristics?</w:t>
      </w:r>
    </w:p>
    <w:p w14:paraId="78DE46EF" w14:textId="7A6BDAC3" w:rsidR="00F86033" w:rsidRPr="00F86033" w:rsidRDefault="00F86033" w:rsidP="00F86033">
      <w:pPr>
        <w:pStyle w:val="NoteLevel3"/>
        <w:numPr>
          <w:ilvl w:val="0"/>
          <w:numId w:val="0"/>
        </w:numPr>
        <w:ind w:left="1800"/>
        <w:rPr>
          <w:rFonts w:ascii="Times" w:hAnsi="Times"/>
          <w:b/>
          <w:sz w:val="28"/>
          <w:szCs w:val="28"/>
        </w:rPr>
      </w:pPr>
      <w:r>
        <w:rPr>
          <w:rFonts w:ascii="Times" w:hAnsi="Times"/>
        </w:rPr>
        <w:t>2) Is the claimant subject to differential treatment based on one or more enumerated and analogous grounds?</w:t>
      </w:r>
    </w:p>
    <w:p w14:paraId="6310E37B" w14:textId="77777777" w:rsidR="00F86033" w:rsidRDefault="00F86033" w:rsidP="00F86033">
      <w:pPr>
        <w:pStyle w:val="NoteLevel3"/>
        <w:numPr>
          <w:ilvl w:val="0"/>
          <w:numId w:val="0"/>
        </w:numPr>
        <w:ind w:left="1800"/>
        <w:rPr>
          <w:rFonts w:ascii="Times" w:hAnsi="Times"/>
        </w:rPr>
      </w:pPr>
      <w:r>
        <w:rPr>
          <w:rFonts w:ascii="Times" w:hAnsi="Times"/>
        </w:rPr>
        <w:t xml:space="preserve">3) Does the differential treatment discriminate, by imposing a burden upon or withholding a benefit from the claimant in a manner which reflects the stereotypical application of presumed group or personal characteristics, or which otherwise has the effect of perpetuating or promoting the view that the individual is less capable or worthy of recognition or value as a human being or as a member of Canadian society, equally deserving of concern, respect, and consideration? </w:t>
      </w:r>
    </w:p>
    <w:p w14:paraId="25168DB7" w14:textId="77777777" w:rsidR="004F6BF0" w:rsidRPr="004F6BF0" w:rsidRDefault="004F6BF0" w:rsidP="004F6BF0">
      <w:pPr>
        <w:pStyle w:val="NoteLevel1"/>
        <w:rPr>
          <w:rFonts w:ascii="Times" w:hAnsi="Times"/>
          <w:b/>
          <w:sz w:val="28"/>
          <w:szCs w:val="28"/>
        </w:rPr>
      </w:pPr>
    </w:p>
    <w:p w14:paraId="5586C404" w14:textId="77777777" w:rsidR="004F6BF0" w:rsidRPr="004F6BF0" w:rsidRDefault="004F6BF0" w:rsidP="004F6BF0">
      <w:pPr>
        <w:pStyle w:val="NoteLevel1"/>
        <w:rPr>
          <w:rFonts w:ascii="Times" w:hAnsi="Times"/>
          <w:b/>
          <w:sz w:val="28"/>
          <w:szCs w:val="28"/>
        </w:rPr>
      </w:pPr>
      <w:r>
        <w:rPr>
          <w:rFonts w:ascii="Times" w:hAnsi="Times"/>
        </w:rPr>
        <w:t xml:space="preserve">- </w:t>
      </w:r>
      <w:r>
        <w:rPr>
          <w:rFonts w:ascii="Times" w:hAnsi="Times"/>
          <w:i/>
        </w:rPr>
        <w:t>Purpose</w:t>
      </w:r>
    </w:p>
    <w:p w14:paraId="6B30C5C9" w14:textId="77777777" w:rsidR="00E1297D" w:rsidRPr="00E1297D" w:rsidRDefault="00DA00B7" w:rsidP="00DA00B7">
      <w:pPr>
        <w:pStyle w:val="NoteLevel2"/>
        <w:rPr>
          <w:rFonts w:ascii="Times" w:hAnsi="Times"/>
          <w:b/>
          <w:sz w:val="28"/>
          <w:szCs w:val="28"/>
        </w:rPr>
      </w:pPr>
      <w:r>
        <w:rPr>
          <w:rFonts w:ascii="Times" w:hAnsi="Times"/>
        </w:rPr>
        <w:t xml:space="preserve">In general terms, the purpose of s.15(1) is to prevent the violation of essential human dignity &amp; freedom through the imposition of disadvantage, stereotyping, or political or social prejudice, and to promote a society in which all </w:t>
      </w:r>
      <w:r w:rsidR="008652E4">
        <w:rPr>
          <w:rFonts w:ascii="Times" w:hAnsi="Times"/>
        </w:rPr>
        <w:t xml:space="preserve">persons enjoy equal recognition at law as human beings or as members of a Canadian society, equally capable and equally deserving of concern, respect, and consideration </w:t>
      </w:r>
    </w:p>
    <w:p w14:paraId="793EEA48" w14:textId="77777777" w:rsidR="00E1297D" w:rsidRPr="00E1297D" w:rsidRDefault="00E1297D" w:rsidP="00DA00B7">
      <w:pPr>
        <w:pStyle w:val="NoteLevel2"/>
        <w:rPr>
          <w:rFonts w:ascii="Times" w:hAnsi="Times"/>
          <w:b/>
          <w:sz w:val="28"/>
          <w:szCs w:val="28"/>
        </w:rPr>
      </w:pPr>
      <w:r>
        <w:rPr>
          <w:rFonts w:ascii="Times" w:hAnsi="Times"/>
        </w:rPr>
        <w:t xml:space="preserve">The existence of a conflict btwn the purpose or effect of an impugned law &amp; the purpose of s.15(1) is essential in order to found a discrimination claim. The determination of whether such a conflict exists is to be made through an analysis of the full context surrounding the claim and the claimant </w:t>
      </w:r>
    </w:p>
    <w:p w14:paraId="377DC4C0" w14:textId="77777777" w:rsidR="00E1297D" w:rsidRPr="00E1297D" w:rsidRDefault="00E1297D" w:rsidP="00E1297D">
      <w:pPr>
        <w:pStyle w:val="NoteLevel1"/>
        <w:rPr>
          <w:rFonts w:ascii="Times" w:hAnsi="Times"/>
          <w:b/>
          <w:sz w:val="28"/>
          <w:szCs w:val="28"/>
        </w:rPr>
      </w:pPr>
    </w:p>
    <w:p w14:paraId="4E439A0B" w14:textId="3F31480F" w:rsidR="00E1297D" w:rsidRPr="000C43AB" w:rsidRDefault="000C43AB" w:rsidP="00E1297D">
      <w:pPr>
        <w:pStyle w:val="NoteLevel1"/>
        <w:rPr>
          <w:rFonts w:ascii="Times" w:hAnsi="Times"/>
          <w:b/>
          <w:i/>
          <w:sz w:val="28"/>
          <w:szCs w:val="28"/>
        </w:rPr>
      </w:pPr>
      <w:r>
        <w:rPr>
          <w:rFonts w:ascii="Times" w:hAnsi="Times"/>
          <w:i/>
        </w:rPr>
        <w:t xml:space="preserve">- </w:t>
      </w:r>
      <w:r w:rsidR="00E1297D" w:rsidRPr="000C43AB">
        <w:rPr>
          <w:rFonts w:ascii="Times" w:hAnsi="Times"/>
          <w:i/>
        </w:rPr>
        <w:t>Comparative Approach</w:t>
      </w:r>
    </w:p>
    <w:p w14:paraId="63BD3D2D" w14:textId="7542423E" w:rsidR="00BC731F" w:rsidRPr="00BC731F" w:rsidRDefault="00E1297D" w:rsidP="000C43AB">
      <w:pPr>
        <w:pStyle w:val="NoteLevel2"/>
        <w:rPr>
          <w:rFonts w:ascii="Times" w:hAnsi="Times"/>
          <w:b/>
          <w:sz w:val="28"/>
          <w:szCs w:val="28"/>
        </w:rPr>
      </w:pPr>
      <w:r>
        <w:rPr>
          <w:rFonts w:ascii="Times" w:hAnsi="Times"/>
        </w:rPr>
        <w:t xml:space="preserve"> </w:t>
      </w:r>
      <w:r w:rsidR="00BC731F">
        <w:rPr>
          <w:rFonts w:ascii="Times" w:hAnsi="Times"/>
        </w:rPr>
        <w:t>The equality guarantee is a comparative concept, which ultimately requires a court to establish one or more relevant comparators</w:t>
      </w:r>
    </w:p>
    <w:p w14:paraId="6798C3F9" w14:textId="77777777" w:rsidR="00BC731F" w:rsidRPr="00BC731F" w:rsidRDefault="00BC731F" w:rsidP="000C43AB">
      <w:pPr>
        <w:pStyle w:val="NoteLevel3"/>
        <w:rPr>
          <w:rFonts w:ascii="Times" w:hAnsi="Times"/>
          <w:b/>
          <w:sz w:val="28"/>
          <w:szCs w:val="28"/>
        </w:rPr>
      </w:pPr>
      <w:r>
        <w:rPr>
          <w:rFonts w:ascii="Times" w:hAnsi="Times"/>
        </w:rPr>
        <w:t>The claimant generally chooses the person, group, or groups with whom he/she wishes to be compared for the purpose of the discrimination inquiry</w:t>
      </w:r>
    </w:p>
    <w:p w14:paraId="38FEC520" w14:textId="77777777" w:rsidR="00BC731F" w:rsidRPr="00BC731F" w:rsidRDefault="00BC731F" w:rsidP="000C43AB">
      <w:pPr>
        <w:pStyle w:val="NoteLevel3"/>
        <w:rPr>
          <w:rFonts w:ascii="Times" w:hAnsi="Times"/>
          <w:b/>
          <w:sz w:val="28"/>
          <w:szCs w:val="28"/>
        </w:rPr>
      </w:pPr>
      <w:r>
        <w:rPr>
          <w:rFonts w:ascii="Times" w:hAnsi="Times"/>
        </w:rPr>
        <w:t xml:space="preserve">Where the claimant’s characterization of the comparison is insufficient, a court may, w/n the scope of the ground or grounds pleaded, refine the comparison presented by the claimant where warranted </w:t>
      </w:r>
    </w:p>
    <w:p w14:paraId="0C41D9FC" w14:textId="77777777" w:rsidR="00BC731F" w:rsidRPr="00BC731F" w:rsidRDefault="00BC731F" w:rsidP="000C43AB">
      <w:pPr>
        <w:pStyle w:val="NoteLevel3"/>
        <w:rPr>
          <w:rFonts w:ascii="Times" w:hAnsi="Times"/>
          <w:b/>
          <w:sz w:val="28"/>
          <w:szCs w:val="28"/>
        </w:rPr>
      </w:pPr>
      <w:r>
        <w:rPr>
          <w:rFonts w:ascii="Times" w:hAnsi="Times"/>
        </w:rPr>
        <w:t xml:space="preserve">Locating the relevant comparison group requires an examination of the subject-matter of the legislation and its effects, as well as a full appreciation of the context </w:t>
      </w:r>
    </w:p>
    <w:p w14:paraId="1C182952" w14:textId="77777777" w:rsidR="00BC731F" w:rsidRPr="00BC731F" w:rsidRDefault="00BC731F" w:rsidP="00BC731F">
      <w:pPr>
        <w:pStyle w:val="NoteLevel1"/>
        <w:rPr>
          <w:rFonts w:ascii="Times" w:hAnsi="Times"/>
          <w:b/>
          <w:sz w:val="28"/>
          <w:szCs w:val="28"/>
        </w:rPr>
      </w:pPr>
    </w:p>
    <w:p w14:paraId="29AD660F" w14:textId="60A647F5" w:rsidR="00BC731F" w:rsidRPr="000C43AB" w:rsidRDefault="000C43AB" w:rsidP="00BC731F">
      <w:pPr>
        <w:pStyle w:val="NoteLevel1"/>
        <w:rPr>
          <w:rFonts w:ascii="Times" w:hAnsi="Times"/>
          <w:b/>
          <w:i/>
          <w:sz w:val="28"/>
          <w:szCs w:val="28"/>
        </w:rPr>
      </w:pPr>
      <w:r>
        <w:rPr>
          <w:rFonts w:ascii="Times" w:hAnsi="Times"/>
          <w:i/>
        </w:rPr>
        <w:t xml:space="preserve">- </w:t>
      </w:r>
      <w:r w:rsidR="00BC731F" w:rsidRPr="000C43AB">
        <w:rPr>
          <w:rFonts w:ascii="Times" w:hAnsi="Times"/>
          <w:i/>
        </w:rPr>
        <w:t>Context</w:t>
      </w:r>
    </w:p>
    <w:p w14:paraId="463C6591" w14:textId="77777777" w:rsidR="008E16AB" w:rsidRPr="008E16AB" w:rsidRDefault="008E16AB" w:rsidP="008E16AB">
      <w:pPr>
        <w:pStyle w:val="NoteLevel2"/>
        <w:rPr>
          <w:rFonts w:ascii="Times" w:hAnsi="Times"/>
          <w:b/>
          <w:sz w:val="28"/>
          <w:szCs w:val="28"/>
        </w:rPr>
      </w:pPr>
      <w:r>
        <w:rPr>
          <w:rFonts w:ascii="Times" w:hAnsi="Times"/>
        </w:rPr>
        <w:t>The contextual factors which determine whether legislation has the effect of demeaning a claimant’s dignity must be construed and examined from the perspective of the claimant</w:t>
      </w:r>
    </w:p>
    <w:p w14:paraId="314B379E" w14:textId="77777777" w:rsidR="008E16AB" w:rsidRPr="008E16AB" w:rsidRDefault="008E16AB" w:rsidP="008E16AB">
      <w:pPr>
        <w:pStyle w:val="NoteLevel3"/>
        <w:rPr>
          <w:rFonts w:ascii="Times" w:hAnsi="Times"/>
          <w:b/>
          <w:sz w:val="28"/>
          <w:szCs w:val="28"/>
        </w:rPr>
      </w:pPr>
      <w:r>
        <w:rPr>
          <w:rFonts w:ascii="Times" w:hAnsi="Times"/>
        </w:rPr>
        <w:t>The focus of inquiry is subjective and objective</w:t>
      </w:r>
    </w:p>
    <w:p w14:paraId="567C68D7" w14:textId="77777777" w:rsidR="008E16AB" w:rsidRPr="008E16AB" w:rsidRDefault="008E16AB" w:rsidP="008E16AB">
      <w:pPr>
        <w:pStyle w:val="NoteLevel3"/>
        <w:rPr>
          <w:rFonts w:ascii="Times" w:hAnsi="Times"/>
          <w:b/>
          <w:sz w:val="28"/>
          <w:szCs w:val="28"/>
        </w:rPr>
      </w:pPr>
      <w:r>
        <w:rPr>
          <w:rFonts w:ascii="Times" w:hAnsi="Times"/>
        </w:rPr>
        <w:t>The relevant point of view is that of the reasonable person, in circumstances similar to those of the claimants, who takes into account the contextual factors relevant to the claim</w:t>
      </w:r>
    </w:p>
    <w:p w14:paraId="2AF9A969" w14:textId="77777777" w:rsidR="004F5F7B" w:rsidRPr="004F5F7B" w:rsidRDefault="00960159" w:rsidP="008E16AB">
      <w:pPr>
        <w:pStyle w:val="NoteLevel2"/>
        <w:rPr>
          <w:rFonts w:ascii="Times" w:hAnsi="Times"/>
          <w:b/>
          <w:sz w:val="28"/>
          <w:szCs w:val="28"/>
        </w:rPr>
      </w:pPr>
      <w:r>
        <w:rPr>
          <w:rFonts w:ascii="Times" w:hAnsi="Times"/>
        </w:rPr>
        <w:t>Th</w:t>
      </w:r>
      <w:r w:rsidR="004F5F7B">
        <w:rPr>
          <w:rFonts w:ascii="Times" w:hAnsi="Times"/>
        </w:rPr>
        <w:t xml:space="preserve">e list of factors is not closed; guidance as to these factors may be found in the jurisprudence of this Court, and by analogy to recognized factors </w:t>
      </w:r>
    </w:p>
    <w:p w14:paraId="64D6A9E5" w14:textId="73CE159C" w:rsidR="004F5F7B" w:rsidRPr="004F5F7B" w:rsidRDefault="004F5F7B" w:rsidP="008E16AB">
      <w:pPr>
        <w:pStyle w:val="NoteLevel2"/>
        <w:rPr>
          <w:rFonts w:ascii="Times" w:hAnsi="Times"/>
          <w:b/>
          <w:sz w:val="28"/>
          <w:szCs w:val="28"/>
        </w:rPr>
      </w:pPr>
      <w:r>
        <w:rPr>
          <w:rFonts w:ascii="Times" w:hAnsi="Times"/>
        </w:rPr>
        <w:t xml:space="preserve">Some important contextual factors influencing the determination of whether s.15(1) has been infringed are: </w:t>
      </w:r>
    </w:p>
    <w:p w14:paraId="1D7266EE" w14:textId="503F7A83" w:rsidR="007E6AC0" w:rsidRPr="007E6AC0" w:rsidRDefault="004F5F7B" w:rsidP="0026664B">
      <w:pPr>
        <w:pStyle w:val="NoteLevel3"/>
        <w:numPr>
          <w:ilvl w:val="0"/>
          <w:numId w:val="11"/>
        </w:numPr>
        <w:rPr>
          <w:rFonts w:ascii="Times" w:hAnsi="Times"/>
          <w:b/>
          <w:sz w:val="28"/>
          <w:szCs w:val="28"/>
        </w:rPr>
      </w:pPr>
      <w:r>
        <w:rPr>
          <w:rFonts w:ascii="Times" w:hAnsi="Times"/>
        </w:rPr>
        <w:t xml:space="preserve">Pre-existing disadvantage, stereotyping, prejudice or vulnerability experienced by the individual or group at issue. The effects of a law as they relate to the important purpose of s.15(1) in protecting individuals or groups who are vulnerable, disadvantaged, or members or “discrete and insular minorities” should always be a central consideration.  The association w/ a historical disadvantage is not per se a determinative but the existence of these pre-existing factors will favour a finding that s.15(1) has been infringed </w:t>
      </w:r>
    </w:p>
    <w:p w14:paraId="063B9431" w14:textId="2309AE00" w:rsidR="00A902FD" w:rsidRPr="00A902FD" w:rsidRDefault="0026664B" w:rsidP="0026664B">
      <w:pPr>
        <w:pStyle w:val="NoteLevel3"/>
        <w:numPr>
          <w:ilvl w:val="0"/>
          <w:numId w:val="0"/>
        </w:numPr>
        <w:ind w:left="1800"/>
        <w:rPr>
          <w:rFonts w:ascii="Times" w:hAnsi="Times"/>
          <w:b/>
          <w:sz w:val="28"/>
          <w:szCs w:val="28"/>
        </w:rPr>
      </w:pPr>
      <w:r>
        <w:rPr>
          <w:rFonts w:ascii="Times" w:hAnsi="Times"/>
        </w:rPr>
        <w:t xml:space="preserve">2) </w:t>
      </w:r>
      <w:r w:rsidR="00A902FD">
        <w:rPr>
          <w:rFonts w:ascii="Times" w:hAnsi="Times"/>
        </w:rPr>
        <w:t xml:space="preserve">The correspondence, or lack thereof, between the ground or grounds on which the claim is based and the actual need, capacity, or circumstances of the claimant or others. Although the fact that the impugned legislation takes into account the claimant’s traits or circumstances won’t be sufficient to defeat a s.15(1) claim, it’s generally more difficult to establish discrimination to the extent that the law takes into account the claimant’s actual situation in a matter that respects his/her value as a human being or member of Canadian society, and less difficult to do so where the law fails to take into account the claimant’s actual situation </w:t>
      </w:r>
    </w:p>
    <w:p w14:paraId="46AB6153" w14:textId="6ED5205A" w:rsidR="006E3545" w:rsidRPr="006E3545" w:rsidRDefault="0026664B" w:rsidP="0026664B">
      <w:pPr>
        <w:pStyle w:val="NoteLevel3"/>
        <w:numPr>
          <w:ilvl w:val="0"/>
          <w:numId w:val="0"/>
        </w:numPr>
        <w:ind w:left="1800"/>
        <w:rPr>
          <w:rFonts w:ascii="Times" w:hAnsi="Times"/>
          <w:b/>
          <w:sz w:val="28"/>
          <w:szCs w:val="28"/>
        </w:rPr>
      </w:pPr>
      <w:r>
        <w:rPr>
          <w:rFonts w:ascii="Times" w:hAnsi="Times"/>
        </w:rPr>
        <w:t xml:space="preserve">3) </w:t>
      </w:r>
      <w:r w:rsidR="00A902FD">
        <w:rPr>
          <w:rFonts w:ascii="Times" w:hAnsi="Times"/>
        </w:rPr>
        <w:t xml:space="preserve">The ameliorative purpose or effects of the impugned law upon a more disadvantaged person/group in society. An ameliorative purpose or effect which accords with the purpose of s.15(1) of the </w:t>
      </w:r>
      <w:r w:rsidR="00A902FD">
        <w:rPr>
          <w:rFonts w:ascii="Times" w:hAnsi="Times"/>
          <w:i/>
        </w:rPr>
        <w:t>Charter</w:t>
      </w:r>
      <w:r w:rsidR="00A902FD">
        <w:rPr>
          <w:rFonts w:ascii="Times" w:hAnsi="Times"/>
        </w:rPr>
        <w:t xml:space="preserve"> will likely not violate the human dignity of more advantaged individuals where the exclusion of these more advantaged individuals largely corresponds to the greater need or the different circumstances experienced by the disadvantaged group be</w:t>
      </w:r>
      <w:r w:rsidR="006F732C">
        <w:rPr>
          <w:rFonts w:ascii="Times" w:hAnsi="Times"/>
        </w:rPr>
        <w:t>ing targeted by the legislation. This factor is more relevant where the s.15(1) claim is brought by a more advantaged member of society</w:t>
      </w:r>
    </w:p>
    <w:p w14:paraId="20F4278F" w14:textId="0147115D" w:rsidR="006E3545" w:rsidRPr="006E3545" w:rsidRDefault="0026664B" w:rsidP="0026664B">
      <w:pPr>
        <w:pStyle w:val="NoteLevel3"/>
        <w:numPr>
          <w:ilvl w:val="0"/>
          <w:numId w:val="0"/>
        </w:numPr>
        <w:ind w:left="1800"/>
        <w:rPr>
          <w:rFonts w:ascii="Times" w:hAnsi="Times"/>
          <w:b/>
          <w:sz w:val="28"/>
          <w:szCs w:val="28"/>
        </w:rPr>
      </w:pPr>
      <w:r>
        <w:rPr>
          <w:rFonts w:ascii="Times" w:hAnsi="Times"/>
        </w:rPr>
        <w:t xml:space="preserve">4) </w:t>
      </w:r>
      <w:r w:rsidR="006E3545">
        <w:rPr>
          <w:rFonts w:ascii="Times" w:hAnsi="Times"/>
        </w:rPr>
        <w:t>The nature &amp; scope of the interest affected by the impugned law. The more severe and localized the consequences of the legislation for the affected group, the more likely that the differential treatment responsible for these consequences is discriminatory w/n the meaning of s.15(1)</w:t>
      </w:r>
    </w:p>
    <w:p w14:paraId="36506890" w14:textId="77777777" w:rsidR="0026664B" w:rsidRPr="0026664B" w:rsidRDefault="006E3545" w:rsidP="006E3545">
      <w:pPr>
        <w:pStyle w:val="NoteLevel2"/>
        <w:rPr>
          <w:rFonts w:ascii="Times" w:hAnsi="Times"/>
          <w:b/>
          <w:sz w:val="28"/>
          <w:szCs w:val="28"/>
        </w:rPr>
      </w:pPr>
      <w:r>
        <w:rPr>
          <w:rFonts w:ascii="Times" w:hAnsi="Times"/>
        </w:rPr>
        <w:t xml:space="preserve">Although the s.15(1) claimant bears the onus of establishing an infringement of his/her equality rights in a purposive sense through reference to one or more contextual factors, it is not necessarily the case that the claimant must </w:t>
      </w:r>
      <w:r w:rsidR="0026664B">
        <w:rPr>
          <w:rFonts w:ascii="Times" w:hAnsi="Times"/>
        </w:rPr>
        <w:t xml:space="preserve">bring forward </w:t>
      </w:r>
      <w:r>
        <w:rPr>
          <w:rFonts w:ascii="Times" w:hAnsi="Times"/>
        </w:rPr>
        <w:t xml:space="preserve">evidence in order to show a violation </w:t>
      </w:r>
      <w:r w:rsidR="0026664B">
        <w:rPr>
          <w:rFonts w:ascii="Times" w:hAnsi="Times"/>
        </w:rPr>
        <w:t>of human dignity or freedom.  Frequently, where differential treatment is based on one or more enumerated or analogous grounds, this will be sufficient to found an infringement of s.15(1)</w:t>
      </w:r>
    </w:p>
    <w:p w14:paraId="2C84AB55" w14:textId="77777777" w:rsidR="0026664B" w:rsidRPr="0026664B" w:rsidRDefault="0026664B" w:rsidP="0026664B">
      <w:pPr>
        <w:pStyle w:val="NoteLevel1"/>
        <w:rPr>
          <w:rFonts w:ascii="Times" w:hAnsi="Times"/>
          <w:b/>
          <w:sz w:val="28"/>
          <w:szCs w:val="28"/>
          <w:u w:val="single"/>
        </w:rPr>
      </w:pPr>
    </w:p>
    <w:p w14:paraId="3A7D4CE3" w14:textId="77777777" w:rsidR="0026664B" w:rsidRPr="0026664B" w:rsidRDefault="0026664B" w:rsidP="0026664B">
      <w:pPr>
        <w:pStyle w:val="NoteLevel1"/>
        <w:rPr>
          <w:rFonts w:ascii="Times" w:hAnsi="Times"/>
          <w:b/>
          <w:sz w:val="28"/>
          <w:szCs w:val="28"/>
        </w:rPr>
      </w:pPr>
      <w:r w:rsidRPr="0026664B">
        <w:rPr>
          <w:rFonts w:ascii="Times" w:hAnsi="Times"/>
          <w:u w:val="single"/>
        </w:rPr>
        <w:t>F. Application to the Case at Bar</w:t>
      </w:r>
      <w:r>
        <w:rPr>
          <w:rFonts w:ascii="Times" w:hAnsi="Times"/>
        </w:rPr>
        <w:t xml:space="preserve"> </w:t>
      </w:r>
    </w:p>
    <w:p w14:paraId="767C8186" w14:textId="10C4ACD8" w:rsidR="0026664B" w:rsidRPr="0026664B" w:rsidRDefault="0026664B" w:rsidP="0026664B">
      <w:pPr>
        <w:pStyle w:val="NoteLevel1"/>
        <w:rPr>
          <w:rFonts w:ascii="Times" w:hAnsi="Times"/>
          <w:b/>
          <w:sz w:val="28"/>
          <w:szCs w:val="28"/>
        </w:rPr>
      </w:pPr>
      <w:r>
        <w:rPr>
          <w:rFonts w:ascii="Times" w:hAnsi="Times"/>
        </w:rPr>
        <w:t xml:space="preserve">- 1) Differential Treatment </w:t>
      </w:r>
    </w:p>
    <w:p w14:paraId="1D94B66D" w14:textId="77777777" w:rsidR="00AC0223" w:rsidRPr="00AC0223" w:rsidRDefault="0026664B" w:rsidP="0026664B">
      <w:pPr>
        <w:pStyle w:val="NoteLevel2"/>
        <w:rPr>
          <w:rFonts w:ascii="Times" w:hAnsi="Times"/>
          <w:b/>
          <w:sz w:val="28"/>
          <w:szCs w:val="28"/>
        </w:rPr>
      </w:pPr>
      <w:r>
        <w:rPr>
          <w:rFonts w:ascii="Times" w:hAnsi="Times"/>
        </w:rPr>
        <w:t xml:space="preserve">The issue in this case is whether the questioned law draws a distinction, on the basis of one or more personal characteristics, between the claimant and some other person/group of persons, resulting in unequal treatment. </w:t>
      </w:r>
    </w:p>
    <w:p w14:paraId="511EAF77" w14:textId="77777777" w:rsidR="00AC0223" w:rsidRPr="00AC0223" w:rsidRDefault="00AC0223" w:rsidP="0026664B">
      <w:pPr>
        <w:pStyle w:val="NoteLevel2"/>
        <w:rPr>
          <w:rFonts w:ascii="Times" w:hAnsi="Times"/>
          <w:b/>
          <w:sz w:val="28"/>
          <w:szCs w:val="28"/>
        </w:rPr>
      </w:pPr>
      <w:r>
        <w:rPr>
          <w:rFonts w:ascii="Times" w:hAnsi="Times"/>
        </w:rPr>
        <w:t xml:space="preserve">As a result of the ages specified under the CPP, a clear distinction is drawn between claimants over and under age 35, and also between claimants who are over age 45 and those between the ages of 35 and 45. Both the delay in the receipt of benefits and the reduced entitlement to benefits constitute a denial of equal benefit of the law under the first step of the equality analysis </w:t>
      </w:r>
    </w:p>
    <w:p w14:paraId="44E64176" w14:textId="77777777" w:rsidR="00AC0223" w:rsidRPr="00AC0223" w:rsidRDefault="00AC0223" w:rsidP="00AC0223">
      <w:pPr>
        <w:pStyle w:val="NoteLevel1"/>
        <w:rPr>
          <w:rFonts w:ascii="Times" w:hAnsi="Times"/>
          <w:b/>
          <w:sz w:val="28"/>
          <w:szCs w:val="28"/>
        </w:rPr>
      </w:pPr>
    </w:p>
    <w:p w14:paraId="155D4999" w14:textId="77777777" w:rsidR="00AC0223" w:rsidRPr="00AC0223" w:rsidRDefault="00AC0223" w:rsidP="00AC0223">
      <w:pPr>
        <w:pStyle w:val="NoteLevel1"/>
        <w:rPr>
          <w:rFonts w:ascii="Times" w:hAnsi="Times"/>
          <w:b/>
          <w:sz w:val="28"/>
          <w:szCs w:val="28"/>
        </w:rPr>
      </w:pPr>
      <w:r>
        <w:rPr>
          <w:rFonts w:ascii="Times" w:hAnsi="Times"/>
        </w:rPr>
        <w:t>- 2) Distinction on the Basis of Enumerated or Analogous Grounds</w:t>
      </w:r>
    </w:p>
    <w:p w14:paraId="39C36039" w14:textId="77777777" w:rsidR="00AC0223" w:rsidRPr="00AC0223" w:rsidRDefault="00AC0223" w:rsidP="00AC0223">
      <w:pPr>
        <w:pStyle w:val="NoteLevel2"/>
        <w:rPr>
          <w:rFonts w:ascii="Times" w:hAnsi="Times"/>
          <w:b/>
          <w:sz w:val="28"/>
          <w:szCs w:val="28"/>
        </w:rPr>
      </w:pPr>
      <w:r>
        <w:rPr>
          <w:rFonts w:ascii="Times" w:hAnsi="Times"/>
        </w:rPr>
        <w:t xml:space="preserve">Age is one of the enumerated grounds of discrimination in s.15(1) of the </w:t>
      </w:r>
      <w:r>
        <w:rPr>
          <w:rFonts w:ascii="Times" w:hAnsi="Times"/>
          <w:i/>
        </w:rPr>
        <w:t>Charter</w:t>
      </w:r>
      <w:r>
        <w:rPr>
          <w:rFonts w:ascii="Times" w:hAnsi="Times"/>
        </w:rPr>
        <w:t xml:space="preserve">. The appellant alleges that she was rendered ineligible for survivor’s benefits by virtue of her age and that its use as a distinguishing factor was discriminatory </w:t>
      </w:r>
    </w:p>
    <w:p w14:paraId="046C6F61" w14:textId="77777777" w:rsidR="00AC0223" w:rsidRPr="00AC0223" w:rsidRDefault="00AC0223" w:rsidP="00AC0223">
      <w:pPr>
        <w:pStyle w:val="NoteLevel3"/>
        <w:rPr>
          <w:rFonts w:ascii="Times" w:hAnsi="Times"/>
          <w:b/>
          <w:sz w:val="28"/>
          <w:szCs w:val="28"/>
        </w:rPr>
      </w:pPr>
      <w:r>
        <w:rPr>
          <w:rFonts w:ascii="Times" w:hAnsi="Times"/>
        </w:rPr>
        <w:t xml:space="preserve">She doesn’t base her claim upon any ground other than that of age </w:t>
      </w:r>
    </w:p>
    <w:p w14:paraId="1C4D467E" w14:textId="77777777" w:rsidR="00AC0223" w:rsidRPr="00AC0223" w:rsidRDefault="00AC0223" w:rsidP="00AC0223">
      <w:pPr>
        <w:pStyle w:val="NoteLevel3"/>
        <w:rPr>
          <w:rFonts w:ascii="Times" w:hAnsi="Times"/>
          <w:b/>
          <w:sz w:val="28"/>
          <w:szCs w:val="28"/>
        </w:rPr>
      </w:pPr>
      <w:r>
        <w:rPr>
          <w:rFonts w:ascii="Times" w:hAnsi="Times"/>
        </w:rPr>
        <w:t xml:space="preserve">The respondent argues that although ages is a factor in determining eligibility, it can’t be said that the appellant was ineligible solely b/c of this factor; entitlement of the CPP depends on the interplay of three factors including age, disability and responsibility for dependent children </w:t>
      </w:r>
    </w:p>
    <w:p w14:paraId="2D320105" w14:textId="77777777" w:rsidR="00AC0223" w:rsidRPr="00AC0223" w:rsidRDefault="00AC0223" w:rsidP="00AC0223">
      <w:pPr>
        <w:pStyle w:val="NoteLevel3"/>
        <w:rPr>
          <w:rFonts w:ascii="Times" w:hAnsi="Times"/>
          <w:b/>
          <w:sz w:val="28"/>
          <w:szCs w:val="28"/>
        </w:rPr>
      </w:pPr>
      <w:r>
        <w:rPr>
          <w:rFonts w:ascii="Times" w:hAnsi="Times"/>
        </w:rPr>
        <w:t>In this Court’s opinion, it doesn’t follow from the fact that any one of several criteria, including age, might determine entitlement to a survivor’s pension, that the legislation doesn’t draw a distinction on the basis of age</w:t>
      </w:r>
    </w:p>
    <w:p w14:paraId="629B0B43" w14:textId="77777777" w:rsidR="00273920" w:rsidRPr="00273920" w:rsidRDefault="00B16F63" w:rsidP="00273920">
      <w:pPr>
        <w:pStyle w:val="NoteLevel3"/>
        <w:rPr>
          <w:rFonts w:ascii="Times" w:hAnsi="Times"/>
          <w:b/>
          <w:sz w:val="28"/>
          <w:szCs w:val="28"/>
        </w:rPr>
      </w:pPr>
      <w:r>
        <w:rPr>
          <w:rFonts w:ascii="Times" w:hAnsi="Times"/>
        </w:rPr>
        <w:t>The appellant submits that the issue in dispute is whether age is properly included among the factors which determine eligibility for survivor’s benefits &amp; the amount that is provided; had she been able-bodied w/o dependent children and over the age of 45, she would’ve immediately been entitled to full benefits, but as a able-bodied, childless woman who was 30, she is</w:t>
      </w:r>
      <w:r w:rsidR="00273920">
        <w:rPr>
          <w:rFonts w:ascii="Times" w:hAnsi="Times"/>
        </w:rPr>
        <w:t xml:space="preserve"> denied benefits until she’s 65—in the Court’s view, the survivor’s pension provisions of the CPP clearly draw distinctions on the basis of the enumerated ground of age </w:t>
      </w:r>
    </w:p>
    <w:p w14:paraId="35650C84" w14:textId="77777777" w:rsidR="00273920" w:rsidRPr="00273920" w:rsidRDefault="00273920" w:rsidP="00273920">
      <w:pPr>
        <w:pStyle w:val="NoteLevel2"/>
        <w:rPr>
          <w:rFonts w:ascii="Times" w:hAnsi="Times"/>
          <w:b/>
          <w:sz w:val="28"/>
          <w:szCs w:val="28"/>
        </w:rPr>
      </w:pPr>
      <w:r>
        <w:rPr>
          <w:rFonts w:ascii="Times" w:hAnsi="Times"/>
        </w:rPr>
        <w:t>A ground or grounds will not be considered analogous under s.15(1) unless it can be shown that differential treatment premised on the ground or grounds has the potential to bring into play human dignity (Egan)</w:t>
      </w:r>
    </w:p>
    <w:p w14:paraId="46A8773B" w14:textId="77777777" w:rsidR="00273920" w:rsidRPr="00273920" w:rsidRDefault="00273920" w:rsidP="00273920">
      <w:pPr>
        <w:pStyle w:val="NoteLevel3"/>
        <w:rPr>
          <w:rFonts w:ascii="Times" w:hAnsi="Times"/>
          <w:b/>
          <w:sz w:val="28"/>
          <w:szCs w:val="28"/>
        </w:rPr>
      </w:pPr>
      <w:r>
        <w:rPr>
          <w:rFonts w:ascii="Times" w:hAnsi="Times"/>
        </w:rPr>
        <w:t>If the court determines that recognition of a ground or confluence of grounds as analogous would serve to advance the fundamental purpose of s.15(1), the ground or grounds will then so be recognized</w:t>
      </w:r>
    </w:p>
    <w:p w14:paraId="2FFF1C17" w14:textId="77777777" w:rsidR="00273920" w:rsidRPr="00273920" w:rsidRDefault="00273920" w:rsidP="00273920">
      <w:pPr>
        <w:pStyle w:val="NoteLevel2"/>
        <w:rPr>
          <w:rFonts w:ascii="Times" w:hAnsi="Times"/>
          <w:b/>
          <w:sz w:val="28"/>
          <w:szCs w:val="28"/>
        </w:rPr>
      </w:pPr>
      <w:r>
        <w:rPr>
          <w:rFonts w:ascii="Times" w:hAnsi="Times"/>
        </w:rPr>
        <w:t xml:space="preserve">There is no reason in principle, therefore, why a discrimination claim posting an intersection of grounds can’t be understood as analogous to, or as synthesis of, the grounds listed in s.15(1) </w:t>
      </w:r>
    </w:p>
    <w:p w14:paraId="44555DF3" w14:textId="77777777" w:rsidR="00273920" w:rsidRPr="00273920" w:rsidRDefault="00273920" w:rsidP="00273920">
      <w:pPr>
        <w:pStyle w:val="NoteLevel3"/>
        <w:rPr>
          <w:rFonts w:ascii="Times" w:hAnsi="Times"/>
          <w:b/>
          <w:sz w:val="28"/>
          <w:szCs w:val="28"/>
        </w:rPr>
      </w:pPr>
      <w:r>
        <w:rPr>
          <w:rFonts w:ascii="Times" w:hAnsi="Times"/>
        </w:rPr>
        <w:t>In the present case, if the CPP had based entitlement on a combination of factors, the appellant would still have been able to establish the requisite distinction, whether on the basis of age alone, or a combination of grounds</w:t>
      </w:r>
    </w:p>
    <w:p w14:paraId="5DCC11E7" w14:textId="77777777" w:rsidR="00273920" w:rsidRPr="00273920" w:rsidRDefault="00273920" w:rsidP="00273920">
      <w:pPr>
        <w:pStyle w:val="NoteLevel1"/>
        <w:rPr>
          <w:rFonts w:ascii="Times" w:hAnsi="Times"/>
          <w:b/>
          <w:sz w:val="28"/>
          <w:szCs w:val="28"/>
        </w:rPr>
      </w:pPr>
    </w:p>
    <w:p w14:paraId="78D7B16B" w14:textId="77777777" w:rsidR="00273920" w:rsidRPr="00273920" w:rsidRDefault="00273920" w:rsidP="00273920">
      <w:pPr>
        <w:pStyle w:val="NoteLevel1"/>
        <w:rPr>
          <w:rFonts w:ascii="Times" w:hAnsi="Times"/>
          <w:b/>
          <w:sz w:val="28"/>
          <w:szCs w:val="28"/>
        </w:rPr>
      </w:pPr>
      <w:r>
        <w:rPr>
          <w:rFonts w:ascii="Times" w:hAnsi="Times"/>
        </w:rPr>
        <w:t>- 3) Discrimination</w:t>
      </w:r>
    </w:p>
    <w:p w14:paraId="0F162C8E" w14:textId="77777777" w:rsidR="006A1ED0" w:rsidRPr="006A1ED0" w:rsidRDefault="006A1ED0" w:rsidP="00273920">
      <w:pPr>
        <w:pStyle w:val="NoteLevel2"/>
        <w:rPr>
          <w:rFonts w:ascii="Times" w:hAnsi="Times"/>
          <w:b/>
          <w:sz w:val="28"/>
          <w:szCs w:val="28"/>
        </w:rPr>
      </w:pPr>
      <w:r>
        <w:rPr>
          <w:rFonts w:ascii="Times" w:hAnsi="Times"/>
        </w:rPr>
        <w:t xml:space="preserve">The appellant argues that the impugned CPP provisions s.15(1) of the </w:t>
      </w:r>
      <w:r>
        <w:rPr>
          <w:rFonts w:ascii="Times" w:hAnsi="Times"/>
          <w:i/>
        </w:rPr>
        <w:t>Charter</w:t>
      </w:r>
      <w:r>
        <w:rPr>
          <w:rFonts w:ascii="Times" w:hAnsi="Times"/>
        </w:rPr>
        <w:t xml:space="preserve"> in their purpose and their effect</w:t>
      </w:r>
    </w:p>
    <w:p w14:paraId="37F98DA0" w14:textId="77777777" w:rsidR="006A1ED0" w:rsidRPr="006A1ED0" w:rsidRDefault="006A1ED0" w:rsidP="006A1ED0">
      <w:pPr>
        <w:pStyle w:val="NoteLevel3"/>
        <w:rPr>
          <w:rFonts w:ascii="Times" w:hAnsi="Times"/>
          <w:b/>
          <w:sz w:val="28"/>
          <w:szCs w:val="28"/>
        </w:rPr>
      </w:pPr>
      <w:r>
        <w:rPr>
          <w:rFonts w:ascii="Times" w:hAnsi="Times"/>
        </w:rPr>
        <w:t xml:space="preserve">She submits that there is no evidence establishing a direct link between a survivor’s age at the time of the spouse’s death and the need for benefits </w:t>
      </w:r>
    </w:p>
    <w:p w14:paraId="590C23E9" w14:textId="77777777" w:rsidR="006A1ED0" w:rsidRPr="0011585A" w:rsidRDefault="006A1ED0" w:rsidP="006A1ED0">
      <w:pPr>
        <w:pStyle w:val="NoteLevel3"/>
        <w:rPr>
          <w:rFonts w:ascii="Times" w:hAnsi="Times"/>
          <w:b/>
          <w:sz w:val="28"/>
          <w:szCs w:val="28"/>
        </w:rPr>
      </w:pPr>
      <w:r>
        <w:rPr>
          <w:rFonts w:ascii="Times" w:hAnsi="Times"/>
        </w:rPr>
        <w:t>She suggests that the effect of the impugned provisions is to demean the dignity of adults under the age of 45 and to treat them as being less worthy than other adults, by stereotyping them as being less in need</w:t>
      </w:r>
    </w:p>
    <w:p w14:paraId="2064124C" w14:textId="31C52805" w:rsidR="0011585A" w:rsidRPr="0011585A" w:rsidRDefault="0011585A" w:rsidP="006A1ED0">
      <w:pPr>
        <w:pStyle w:val="NoteLevel3"/>
        <w:rPr>
          <w:rFonts w:ascii="Times" w:hAnsi="Times"/>
          <w:b/>
          <w:sz w:val="28"/>
          <w:szCs w:val="28"/>
        </w:rPr>
      </w:pPr>
      <w:r>
        <w:rPr>
          <w:rFonts w:ascii="Times" w:hAnsi="Times"/>
        </w:rPr>
        <w:t xml:space="preserve">Refers to the remarks of the Honourable Judy LaMarsh, the minister who enacted the CPP, who noted that the philosophy on which the CPP survivor’s pension is premised is that benefits “should be available to those who cannot easily obtain employment” and that “young widows in their twenties and early thirties usually have little difficulty in finding employment, and of course many of them remarry” </w:t>
      </w:r>
    </w:p>
    <w:p w14:paraId="00826A34" w14:textId="77777777" w:rsidR="0011585A" w:rsidRPr="0011585A" w:rsidRDefault="0011585A" w:rsidP="0011585A">
      <w:pPr>
        <w:pStyle w:val="NoteLevel2"/>
        <w:rPr>
          <w:rFonts w:ascii="Times" w:hAnsi="Times"/>
          <w:b/>
          <w:sz w:val="28"/>
          <w:szCs w:val="28"/>
        </w:rPr>
      </w:pPr>
      <w:r>
        <w:rPr>
          <w:rFonts w:ascii="Times" w:hAnsi="Times"/>
        </w:rPr>
        <w:t xml:space="preserve">The respondent maintains that, although the age distinctions in the survivor’s pension provisions of the CPP might initially have been based upon assumptions, the accuracy of those assumptions are also today reflect in statistical data, other legislation, and several decisions of this Court </w:t>
      </w:r>
    </w:p>
    <w:p w14:paraId="739D1224" w14:textId="77777777" w:rsidR="0011585A" w:rsidRPr="0011585A" w:rsidRDefault="0011585A" w:rsidP="0011585A">
      <w:pPr>
        <w:pStyle w:val="NoteLevel3"/>
        <w:rPr>
          <w:rFonts w:ascii="Times" w:hAnsi="Times"/>
          <w:b/>
          <w:sz w:val="28"/>
          <w:szCs w:val="28"/>
        </w:rPr>
      </w:pPr>
      <w:r>
        <w:rPr>
          <w:rFonts w:ascii="Times" w:hAnsi="Times"/>
        </w:rPr>
        <w:t xml:space="preserve">The respondent also emphasizes that the assumptions underlying the impugned CPP provisions concern, not the relatively immediate financial needs of surviving spouses, but their long-term financial needs </w:t>
      </w:r>
    </w:p>
    <w:p w14:paraId="5775627D" w14:textId="77777777" w:rsidR="0011585A" w:rsidRPr="0011585A" w:rsidRDefault="0011585A" w:rsidP="0011585A">
      <w:pPr>
        <w:pStyle w:val="NoteLevel2"/>
        <w:rPr>
          <w:rFonts w:ascii="Times" w:hAnsi="Times"/>
          <w:b/>
          <w:sz w:val="28"/>
          <w:szCs w:val="28"/>
        </w:rPr>
      </w:pPr>
      <w:r>
        <w:rPr>
          <w:rFonts w:ascii="Times" w:hAnsi="Times"/>
        </w:rPr>
        <w:t>The questions relating to the dignity concerns in this case can be stated as follows:</w:t>
      </w:r>
    </w:p>
    <w:p w14:paraId="1762853C" w14:textId="77777777" w:rsidR="0011585A" w:rsidRPr="0011585A" w:rsidRDefault="0011585A" w:rsidP="0011585A">
      <w:pPr>
        <w:pStyle w:val="NoteLevel3"/>
        <w:rPr>
          <w:rFonts w:ascii="Times" w:hAnsi="Times"/>
          <w:b/>
          <w:sz w:val="28"/>
          <w:szCs w:val="28"/>
        </w:rPr>
      </w:pPr>
      <w:r>
        <w:rPr>
          <w:rFonts w:ascii="Times" w:hAnsi="Times"/>
        </w:rPr>
        <w:t xml:space="preserve">Do the CPP provisions, in some purpose or effect violate essential human dignity and freedom through the imposition of disadvantage, stereotyping, or political or social prejudice? </w:t>
      </w:r>
    </w:p>
    <w:p w14:paraId="01F19941" w14:textId="77777777" w:rsidR="0011585A" w:rsidRPr="0011585A" w:rsidRDefault="0011585A" w:rsidP="0011585A">
      <w:pPr>
        <w:pStyle w:val="NoteLevel3"/>
        <w:rPr>
          <w:rFonts w:ascii="Times" w:hAnsi="Times"/>
          <w:b/>
          <w:sz w:val="28"/>
          <w:szCs w:val="28"/>
        </w:rPr>
      </w:pPr>
      <w:r>
        <w:rPr>
          <w:rFonts w:ascii="Times" w:hAnsi="Times"/>
        </w:rPr>
        <w:t xml:space="preserve">Does the law, in purpose or effect, conform to a society in which all persons enjoy equal recognition as human beings or as members of a Canadian society, equally capable and equally deserving of concern, respect, and consideration? </w:t>
      </w:r>
    </w:p>
    <w:p w14:paraId="620C6040" w14:textId="77777777" w:rsidR="00702043" w:rsidRPr="00702043" w:rsidRDefault="0011585A" w:rsidP="0011585A">
      <w:pPr>
        <w:pStyle w:val="NoteLevel3"/>
        <w:rPr>
          <w:rFonts w:ascii="Times" w:hAnsi="Times"/>
          <w:b/>
          <w:sz w:val="28"/>
          <w:szCs w:val="28"/>
        </w:rPr>
      </w:pPr>
      <w:r>
        <w:rPr>
          <w:rFonts w:ascii="Times" w:hAnsi="Times"/>
        </w:rPr>
        <w:t xml:space="preserve">Does the law, in purpose or effect, perpetuate the view that people under 45 are less capable or less worthy of recognition or value as human beings or as members of Canadian society? </w:t>
      </w:r>
    </w:p>
    <w:p w14:paraId="1F8FD431" w14:textId="77777777" w:rsidR="0037052E" w:rsidRPr="0037052E" w:rsidRDefault="0037052E" w:rsidP="00702043">
      <w:pPr>
        <w:pStyle w:val="NoteLevel2"/>
        <w:rPr>
          <w:rFonts w:ascii="Times" w:hAnsi="Times"/>
          <w:b/>
          <w:sz w:val="28"/>
          <w:szCs w:val="28"/>
        </w:rPr>
      </w:pPr>
      <w:r>
        <w:rPr>
          <w:rFonts w:ascii="Times" w:hAnsi="Times"/>
        </w:rPr>
        <w:t>The answers to these questions lie partly in the aim &amp; effects of the legislation in providing long-term financial security for Canadians who lose a spouse, coupled w/ the greater flexibility and opportunity of younger people w/o dependent children or disabilities to achieve long-term security absent their spouse</w:t>
      </w:r>
    </w:p>
    <w:p w14:paraId="6E7F28F3" w14:textId="77777777" w:rsidR="0037052E" w:rsidRPr="0037052E" w:rsidRDefault="0037052E" w:rsidP="0037052E">
      <w:pPr>
        <w:pStyle w:val="NoteLevel3"/>
        <w:rPr>
          <w:rFonts w:ascii="Times" w:hAnsi="Times"/>
          <w:b/>
          <w:sz w:val="28"/>
          <w:szCs w:val="28"/>
        </w:rPr>
      </w:pPr>
      <w:r>
        <w:rPr>
          <w:rFonts w:ascii="Times" w:hAnsi="Times"/>
        </w:rPr>
        <w:t xml:space="preserve">YES, the law imposes a disadvantage on younger spouses, but it is unlikely to be a substantive disadvantage, viewed in the long term. The law on its face treats such younger people differently, but the differential treatment doesn’t reflect/promote the notion that they are less capable/deserving of concern, respect, and consideration, when the dual perspectives of long-term security and the greater opportunity of youth are considered. </w:t>
      </w:r>
      <w:r w:rsidRPr="0037052E">
        <w:rPr>
          <w:rFonts w:ascii="Times" w:hAnsi="Times"/>
        </w:rPr>
        <w:t xml:space="preserve">The differential treatment </w:t>
      </w:r>
      <w:r>
        <w:rPr>
          <w:rFonts w:ascii="Times" w:hAnsi="Times"/>
        </w:rPr>
        <w:t>also doesn’t perpetuate the view that people in this class are less capable/worthy of recognition or value as human beings or as members of society</w:t>
      </w:r>
    </w:p>
    <w:p w14:paraId="353346C5" w14:textId="77777777" w:rsidR="00D35C49" w:rsidRPr="00D35C49" w:rsidRDefault="0037052E" w:rsidP="00D35C49">
      <w:pPr>
        <w:pStyle w:val="NoteLevel4"/>
        <w:rPr>
          <w:rFonts w:ascii="Times" w:hAnsi="Times"/>
          <w:b/>
          <w:sz w:val="28"/>
          <w:szCs w:val="28"/>
        </w:rPr>
      </w:pPr>
      <w:r>
        <w:rPr>
          <w:rFonts w:ascii="Times" w:hAnsi="Times"/>
        </w:rPr>
        <w:t xml:space="preserve">Given the contemporary/historical context of the differential treatment and those affected by it, the legislation doesn’t stereotype/exclude/devalue adults under 45; the law doesn’t function by the device of stereotype, but by distinctions corresponding to the actual situation of the individuals it affects </w:t>
      </w:r>
    </w:p>
    <w:p w14:paraId="3EB8745A" w14:textId="6DA1E38D" w:rsidR="00B56FAF" w:rsidRPr="00B56FAF" w:rsidRDefault="00D35C49" w:rsidP="00B56FAF">
      <w:pPr>
        <w:pStyle w:val="NoteLevel3"/>
        <w:rPr>
          <w:rFonts w:ascii="Times" w:hAnsi="Times"/>
          <w:b/>
          <w:sz w:val="28"/>
          <w:szCs w:val="28"/>
        </w:rPr>
      </w:pPr>
      <w:r>
        <w:rPr>
          <w:rFonts w:ascii="Times" w:hAnsi="Times"/>
        </w:rPr>
        <w:t>Another factor supporting the view that the impugned provisions don’t violate human dignity is the clear ameliorative purpose of the pension scheme for older surviving spouses—parliament’s intent was to allocate benefits based on age was to allocate funds to those persons whose ability to overcome need was weakest—the concern was to enhance personal dignity &amp; freedom by ensuring a basic level of long-term financial security to persons whose personal situation makes them unable to achieve this goal so important to human dignity</w:t>
      </w:r>
      <w:r w:rsidR="00B56FAF">
        <w:rPr>
          <w:rFonts w:ascii="Times" w:hAnsi="Times"/>
        </w:rPr>
        <w:t>—</w:t>
      </w:r>
      <w:r>
        <w:rPr>
          <w:rFonts w:ascii="Times" w:hAnsi="Times"/>
        </w:rPr>
        <w:t>th</w:t>
      </w:r>
      <w:r w:rsidR="00B56FAF">
        <w:rPr>
          <w:rFonts w:ascii="Times" w:hAnsi="Times"/>
        </w:rPr>
        <w:t xml:space="preserve">is is a legislative purpose which accords well w/ the fundamental purposes of s.15(1) </w:t>
      </w:r>
    </w:p>
    <w:p w14:paraId="462447F4" w14:textId="77777777" w:rsidR="00B56FAF" w:rsidRPr="00B56FAF" w:rsidRDefault="00B56FAF" w:rsidP="00B56FAF">
      <w:pPr>
        <w:pStyle w:val="NoteLevel4"/>
        <w:rPr>
          <w:rFonts w:ascii="Times" w:hAnsi="Times"/>
          <w:b/>
          <w:sz w:val="28"/>
          <w:szCs w:val="28"/>
        </w:rPr>
      </w:pPr>
      <w:r>
        <w:rPr>
          <w:rFonts w:ascii="Times" w:hAnsi="Times"/>
        </w:rPr>
        <w:t xml:space="preserve">Given that the appellant is more advantaged in a relative sense, and that the legislative distinctions in the present case largely correspond to the greater long-term need and different circumstances experienced by the more disadvantaged group being targeted by the legislation, the Court finds it difficult to perceive in the purpose or effects of the legislation a violation of the appellant’s dignity </w:t>
      </w:r>
    </w:p>
    <w:p w14:paraId="6428C874" w14:textId="77777777" w:rsidR="00B56FAF" w:rsidRPr="00B56FAF" w:rsidRDefault="00B56FAF" w:rsidP="00B56FAF">
      <w:pPr>
        <w:pStyle w:val="NoteLevel2"/>
        <w:rPr>
          <w:rFonts w:ascii="Times" w:hAnsi="Times"/>
          <w:b/>
          <w:sz w:val="28"/>
          <w:szCs w:val="28"/>
        </w:rPr>
      </w:pPr>
      <w:r>
        <w:rPr>
          <w:rFonts w:ascii="Times" w:hAnsi="Times"/>
        </w:rPr>
        <w:t xml:space="preserve">The legislation simply reflects the fact that people in the appellant’s position are more able to overcome long-term need b/c of the nature of a human being’s life cycle </w:t>
      </w:r>
    </w:p>
    <w:p w14:paraId="6A6BDC8B" w14:textId="77777777" w:rsidR="00B56FAF" w:rsidRPr="00B56FAF" w:rsidRDefault="00B56FAF" w:rsidP="00B56FAF">
      <w:pPr>
        <w:pStyle w:val="NoteLevel3"/>
        <w:rPr>
          <w:rFonts w:ascii="Times" w:hAnsi="Times"/>
          <w:b/>
          <w:sz w:val="28"/>
          <w:szCs w:val="28"/>
        </w:rPr>
      </w:pPr>
      <w:r>
        <w:rPr>
          <w:rFonts w:ascii="Times" w:hAnsi="Times"/>
        </w:rPr>
        <w:t>Those who are younger when they lose a spouse are more capable of replacing the income lost from the death of their spouse</w:t>
      </w:r>
    </w:p>
    <w:p w14:paraId="4BBB561A" w14:textId="77777777" w:rsidR="00B56FAF" w:rsidRPr="00B56FAF" w:rsidRDefault="00B56FAF" w:rsidP="00B56FAF">
      <w:pPr>
        <w:pStyle w:val="NoteLevel3"/>
        <w:rPr>
          <w:rFonts w:ascii="Times" w:hAnsi="Times"/>
          <w:b/>
          <w:sz w:val="28"/>
          <w:szCs w:val="28"/>
        </w:rPr>
      </w:pPr>
      <w:r>
        <w:rPr>
          <w:rFonts w:ascii="Times" w:hAnsi="Times"/>
        </w:rPr>
        <w:t xml:space="preserve">A reasonable person under the age of 45 who takes into account the contextual factors relevant to the claim would properly interpret the distinction created by the CPP </w:t>
      </w:r>
    </w:p>
    <w:p w14:paraId="56E0C3D2" w14:textId="6557CAE4" w:rsidR="00412B44" w:rsidRPr="00412B44" w:rsidRDefault="00412B44" w:rsidP="00B56FAF">
      <w:pPr>
        <w:pStyle w:val="NoteLevel2"/>
        <w:rPr>
          <w:rFonts w:ascii="Times" w:hAnsi="Times"/>
          <w:b/>
          <w:sz w:val="28"/>
          <w:szCs w:val="28"/>
        </w:rPr>
      </w:pPr>
      <w:r>
        <w:rPr>
          <w:rFonts w:ascii="Times" w:hAnsi="Times"/>
        </w:rPr>
        <w:t>The determination of whether a legislative provision infringes a claimant’s dignity must in every case be considered in the full context of the claim</w:t>
      </w:r>
    </w:p>
    <w:p w14:paraId="657234C9" w14:textId="77777777" w:rsidR="00412B44" w:rsidRPr="00412B44" w:rsidRDefault="00412B44" w:rsidP="00412B44">
      <w:pPr>
        <w:pStyle w:val="NoteLevel3"/>
        <w:rPr>
          <w:rFonts w:ascii="Times" w:hAnsi="Times"/>
          <w:b/>
          <w:sz w:val="28"/>
          <w:szCs w:val="28"/>
        </w:rPr>
      </w:pPr>
      <w:r>
        <w:rPr>
          <w:rFonts w:ascii="Times" w:hAnsi="Times"/>
        </w:rPr>
        <w:t>In the present case, the appellant is more advantaged by virtue of her young age</w:t>
      </w:r>
    </w:p>
    <w:p w14:paraId="0FB66890" w14:textId="77777777" w:rsidR="0044712D" w:rsidRPr="0044712D" w:rsidRDefault="00412B44" w:rsidP="00412B44">
      <w:pPr>
        <w:pStyle w:val="NoteLevel3"/>
        <w:rPr>
          <w:rFonts w:ascii="Times" w:hAnsi="Times"/>
          <w:b/>
          <w:sz w:val="28"/>
          <w:szCs w:val="28"/>
        </w:rPr>
      </w:pPr>
      <w:r>
        <w:rPr>
          <w:rFonts w:ascii="Times" w:hAnsi="Times"/>
        </w:rPr>
        <w:t xml:space="preserve">There are no factors suggesting that her dignity as a younger adult is demeaned by the legislation, either in its purposes of in its effects </w:t>
      </w:r>
    </w:p>
    <w:p w14:paraId="61EF0C31" w14:textId="77777777" w:rsidR="000E0EBF" w:rsidRPr="000E0EBF" w:rsidRDefault="0044712D" w:rsidP="0044712D">
      <w:pPr>
        <w:pStyle w:val="NoteLevel2"/>
        <w:rPr>
          <w:rFonts w:ascii="Times" w:hAnsi="Times"/>
          <w:b/>
          <w:sz w:val="28"/>
          <w:szCs w:val="28"/>
        </w:rPr>
      </w:pPr>
      <w:r>
        <w:rPr>
          <w:rFonts w:ascii="Times" w:hAnsi="Times"/>
        </w:rPr>
        <w:t xml:space="preserve">In conclusion w/ respect to the circumstances of the appellant’s case, the Court would note that people in the position of the appellant aren’t completely excluded from obtaining a survivor’s pension, although it’s delayed until the person reaches age 65 unless they become disabled before then </w:t>
      </w:r>
    </w:p>
    <w:p w14:paraId="57443EA6" w14:textId="77777777" w:rsidR="000E0EBF" w:rsidRPr="000E0EBF" w:rsidRDefault="000E0EBF" w:rsidP="000E0EBF">
      <w:pPr>
        <w:pStyle w:val="NoteLevel3"/>
        <w:rPr>
          <w:rFonts w:ascii="Times" w:hAnsi="Times"/>
          <w:b/>
          <w:sz w:val="28"/>
          <w:szCs w:val="28"/>
        </w:rPr>
      </w:pPr>
      <w:r>
        <w:rPr>
          <w:rFonts w:ascii="Times" w:hAnsi="Times"/>
        </w:rPr>
        <w:t>The availability of the pension to the appellant strengthens the conclusion that the law doesn’t reflect a view of the appellant that suggests she is undeserving or less worthy as a person, only that the distribution of the benefit to her will be delayed until she’s at a different point in her life cycle</w:t>
      </w:r>
    </w:p>
    <w:p w14:paraId="39A69E26" w14:textId="77777777" w:rsidR="000E0EBF" w:rsidRPr="000E0EBF" w:rsidRDefault="000E0EBF" w:rsidP="000E0EBF">
      <w:pPr>
        <w:pStyle w:val="NoteLevel2"/>
        <w:rPr>
          <w:rFonts w:ascii="Times" w:hAnsi="Times"/>
          <w:b/>
          <w:sz w:val="28"/>
          <w:szCs w:val="28"/>
        </w:rPr>
      </w:pPr>
      <w:r>
        <w:rPr>
          <w:rFonts w:ascii="Times" w:hAnsi="Times"/>
        </w:rPr>
        <w:t xml:space="preserve">The Court is at a loss to locate any violation of human dignity </w:t>
      </w:r>
    </w:p>
    <w:p w14:paraId="35A1F114" w14:textId="4AE5234D" w:rsidR="000E0EBF" w:rsidRPr="001B17E3" w:rsidRDefault="000E0EBF" w:rsidP="000E0EBF">
      <w:pPr>
        <w:pStyle w:val="NoteLevel3"/>
        <w:rPr>
          <w:rFonts w:ascii="Times" w:hAnsi="Times"/>
          <w:b/>
          <w:sz w:val="28"/>
          <w:szCs w:val="28"/>
        </w:rPr>
      </w:pPr>
      <w:r>
        <w:rPr>
          <w:rFonts w:ascii="Times" w:hAnsi="Times"/>
        </w:rPr>
        <w:t>The impugned distinctions don’t stigmatize young persons, nor can they be said to perpetuate the view that surviving spouses under age 45 are less deserving of concern/respect/consideration than any others; nor do they withhold a gov’t benefit on the basis of stereotypical assumptions about the demographic group of which the appellant happens to be a member</w:t>
      </w:r>
      <w:r w:rsidR="001B17E3">
        <w:rPr>
          <w:rFonts w:ascii="Times" w:hAnsi="Times"/>
        </w:rPr>
        <w:t xml:space="preserve">—the Court must concluded that, when considered in the social, political, and legal context of the claim, the age distinctions of the CPP aren’t discriminatory </w:t>
      </w:r>
    </w:p>
    <w:p w14:paraId="4FE348F3" w14:textId="77777777" w:rsidR="001B17E3" w:rsidRPr="001B17E3" w:rsidRDefault="001B17E3" w:rsidP="001B17E3">
      <w:pPr>
        <w:pStyle w:val="NoteLevel2"/>
        <w:rPr>
          <w:rFonts w:ascii="Times" w:hAnsi="Times"/>
          <w:b/>
          <w:sz w:val="28"/>
          <w:szCs w:val="28"/>
        </w:rPr>
      </w:pPr>
      <w:r>
        <w:rPr>
          <w:rFonts w:ascii="Times" w:hAnsi="Times"/>
        </w:rPr>
        <w:t xml:space="preserve">The Court concludes that this is one of the rare cases contemplated in </w:t>
      </w:r>
      <w:r>
        <w:rPr>
          <w:rFonts w:ascii="Times" w:hAnsi="Times"/>
          <w:i/>
        </w:rPr>
        <w:t>Andrews</w:t>
      </w:r>
      <w:r>
        <w:rPr>
          <w:rFonts w:ascii="Times" w:hAnsi="Times"/>
        </w:rPr>
        <w:t xml:space="preserve">, in which differential treatment based on one or more of the enumerated or analogous grounds in s.15(1) isn’t discriminatory </w:t>
      </w:r>
    </w:p>
    <w:p w14:paraId="4D6AF1D3" w14:textId="77777777" w:rsidR="001B17E3" w:rsidRPr="001B17E3" w:rsidRDefault="001B17E3" w:rsidP="001B17E3">
      <w:pPr>
        <w:pStyle w:val="NoteLevel3"/>
        <w:rPr>
          <w:rFonts w:ascii="Times" w:hAnsi="Times"/>
          <w:b/>
          <w:sz w:val="28"/>
          <w:szCs w:val="28"/>
        </w:rPr>
      </w:pPr>
      <w:r>
        <w:rPr>
          <w:rFonts w:ascii="Times" w:hAnsi="Times"/>
        </w:rPr>
        <w:t>It’s important to identify such cases through a purposive analysis of s.15(1) in order to ensure that analysis under s.15(1) doesn’t become mechanistic, but addresses the true social, political, and legal context underlying each &amp; every equality claim</w:t>
      </w:r>
    </w:p>
    <w:p w14:paraId="21FE0D4C" w14:textId="77777777" w:rsidR="001B17E3" w:rsidRPr="001B17E3" w:rsidRDefault="001B17E3" w:rsidP="001B17E3">
      <w:pPr>
        <w:pStyle w:val="NoteLevel1"/>
        <w:rPr>
          <w:rFonts w:ascii="Times" w:hAnsi="Times"/>
          <w:b/>
          <w:sz w:val="28"/>
          <w:szCs w:val="28"/>
        </w:rPr>
      </w:pPr>
    </w:p>
    <w:p w14:paraId="7327CB3C" w14:textId="77777777" w:rsidR="001B17E3" w:rsidRPr="001B17E3" w:rsidRDefault="001B17E3" w:rsidP="001B17E3">
      <w:pPr>
        <w:pStyle w:val="NoteLevel1"/>
        <w:rPr>
          <w:rFonts w:ascii="Times" w:hAnsi="Times"/>
          <w:b/>
          <w:sz w:val="28"/>
          <w:szCs w:val="28"/>
          <w:u w:val="single"/>
        </w:rPr>
      </w:pPr>
      <w:r w:rsidRPr="001B17E3">
        <w:rPr>
          <w:rFonts w:ascii="Times" w:hAnsi="Times"/>
          <w:u w:val="single"/>
        </w:rPr>
        <w:t xml:space="preserve">G. Section 1 of the </w:t>
      </w:r>
      <w:r w:rsidRPr="001B17E3">
        <w:rPr>
          <w:rFonts w:ascii="Times" w:hAnsi="Times"/>
          <w:i/>
          <w:u w:val="single"/>
        </w:rPr>
        <w:t>Charter</w:t>
      </w:r>
    </w:p>
    <w:p w14:paraId="4BB75F4F" w14:textId="77777777" w:rsidR="001B17E3" w:rsidRPr="001B17E3" w:rsidRDefault="001B17E3" w:rsidP="001B17E3">
      <w:pPr>
        <w:pStyle w:val="NoteLevel1"/>
        <w:rPr>
          <w:rFonts w:ascii="Times" w:hAnsi="Times"/>
          <w:b/>
          <w:sz w:val="28"/>
          <w:szCs w:val="28"/>
          <w:u w:val="single"/>
        </w:rPr>
      </w:pPr>
      <w:r>
        <w:rPr>
          <w:rFonts w:ascii="Times" w:hAnsi="Times"/>
        </w:rPr>
        <w:t>- As there is no violation of s.15(1), it isn’t necessary to turn to s.1</w:t>
      </w:r>
    </w:p>
    <w:p w14:paraId="51AF5CB1" w14:textId="77777777" w:rsidR="001B17E3" w:rsidRPr="001B17E3" w:rsidRDefault="001B17E3" w:rsidP="001B17E3">
      <w:pPr>
        <w:pStyle w:val="NoteLevel1"/>
        <w:rPr>
          <w:rFonts w:ascii="Times" w:hAnsi="Times"/>
          <w:b/>
          <w:sz w:val="28"/>
          <w:szCs w:val="28"/>
        </w:rPr>
      </w:pPr>
    </w:p>
    <w:p w14:paraId="0EC54C8C" w14:textId="77777777" w:rsidR="001B17E3" w:rsidRPr="001B17E3" w:rsidRDefault="001B17E3" w:rsidP="001B17E3">
      <w:pPr>
        <w:pStyle w:val="NoteLevel1"/>
        <w:rPr>
          <w:rFonts w:ascii="Times" w:hAnsi="Times"/>
          <w:b/>
          <w:sz w:val="28"/>
          <w:szCs w:val="28"/>
          <w:u w:val="single"/>
        </w:rPr>
      </w:pPr>
      <w:r w:rsidRPr="001B17E3">
        <w:rPr>
          <w:rFonts w:ascii="Times" w:hAnsi="Times"/>
          <w:u w:val="single"/>
        </w:rPr>
        <w:t>VII. Conclusions &amp; Dispositions:</w:t>
      </w:r>
    </w:p>
    <w:p w14:paraId="582A1F0B" w14:textId="77777777" w:rsidR="001B17E3" w:rsidRPr="001B17E3" w:rsidRDefault="001B17E3" w:rsidP="001B17E3">
      <w:pPr>
        <w:pStyle w:val="NoteLevel1"/>
        <w:rPr>
          <w:rFonts w:ascii="Times" w:hAnsi="Times"/>
          <w:b/>
          <w:sz w:val="28"/>
          <w:szCs w:val="28"/>
          <w:u w:val="single"/>
        </w:rPr>
      </w:pPr>
      <w:r>
        <w:rPr>
          <w:rFonts w:ascii="Times" w:hAnsi="Times"/>
        </w:rPr>
        <w:t xml:space="preserve">- Appeal dismissed, the respondent didn’t ask for costs </w:t>
      </w:r>
    </w:p>
    <w:p w14:paraId="1196EF90" w14:textId="77777777" w:rsidR="001B17E3" w:rsidRPr="001B17E3" w:rsidRDefault="001B17E3" w:rsidP="001B17E3">
      <w:pPr>
        <w:pStyle w:val="NoteLevel1"/>
        <w:rPr>
          <w:rFonts w:ascii="Times" w:hAnsi="Times"/>
          <w:b/>
          <w:sz w:val="28"/>
          <w:szCs w:val="28"/>
          <w:u w:val="single"/>
        </w:rPr>
      </w:pPr>
      <w:r>
        <w:rPr>
          <w:rFonts w:ascii="Times" w:hAnsi="Times"/>
        </w:rPr>
        <w:t>- Constitutional questions answered as follows:</w:t>
      </w:r>
    </w:p>
    <w:p w14:paraId="1EAA0BB3" w14:textId="77777777" w:rsidR="001B17E3" w:rsidRPr="001B17E3" w:rsidRDefault="001B17E3" w:rsidP="001B17E3">
      <w:pPr>
        <w:pStyle w:val="NoteLevel2"/>
        <w:rPr>
          <w:rFonts w:ascii="Times" w:hAnsi="Times"/>
          <w:b/>
          <w:sz w:val="28"/>
          <w:szCs w:val="28"/>
          <w:u w:val="single"/>
        </w:rPr>
      </w:pPr>
      <w:r>
        <w:rPr>
          <w:rFonts w:ascii="Times" w:hAnsi="Times"/>
        </w:rPr>
        <w:t>Do the sections of the CPP infringe on s.15(1) of the Charter? No</w:t>
      </w:r>
    </w:p>
    <w:p w14:paraId="05010DD7" w14:textId="77777777" w:rsidR="00B21936" w:rsidRPr="00B21936" w:rsidRDefault="001B17E3" w:rsidP="001B17E3">
      <w:pPr>
        <w:pStyle w:val="NoteLevel2"/>
        <w:rPr>
          <w:rFonts w:ascii="Times" w:hAnsi="Times"/>
          <w:b/>
          <w:sz w:val="28"/>
          <w:szCs w:val="28"/>
          <w:u w:val="single"/>
        </w:rPr>
      </w:pPr>
      <w:r>
        <w:rPr>
          <w:rFonts w:ascii="Times" w:hAnsi="Times"/>
        </w:rPr>
        <w:t xml:space="preserve">If so, can this be justified under s.1? Since the answer to question 1 is ‘no’, there is no need to answer this question </w:t>
      </w:r>
    </w:p>
    <w:p w14:paraId="20F950DA" w14:textId="77777777" w:rsidR="00B21936" w:rsidRPr="00B21936" w:rsidRDefault="00B21936" w:rsidP="00B21936">
      <w:pPr>
        <w:pStyle w:val="NoteLevel1"/>
        <w:rPr>
          <w:rFonts w:ascii="Times" w:hAnsi="Times"/>
          <w:b/>
          <w:sz w:val="28"/>
          <w:szCs w:val="28"/>
          <w:u w:val="single"/>
        </w:rPr>
      </w:pPr>
    </w:p>
    <w:p w14:paraId="460F5BCB" w14:textId="147CB6EF" w:rsidR="00A21F3C" w:rsidRPr="001B17E3" w:rsidRDefault="00A21F3C" w:rsidP="00B21936">
      <w:pPr>
        <w:pStyle w:val="NoteLevel1"/>
        <w:rPr>
          <w:rFonts w:ascii="Times" w:hAnsi="Times"/>
          <w:b/>
          <w:sz w:val="28"/>
          <w:szCs w:val="28"/>
          <w:u w:val="single"/>
        </w:rPr>
        <w:sectPr w:rsidR="00A21F3C" w:rsidRPr="001B17E3" w:rsidSect="00F50FAF">
          <w:headerReference w:type="first" r:id="rId14"/>
          <w:pgSz w:w="12240" w:h="15840"/>
          <w:pgMar w:top="1440" w:right="1440" w:bottom="1440" w:left="1440" w:header="708" w:footer="708" w:gutter="0"/>
          <w:cols w:space="708"/>
          <w:titlePg/>
          <w:docGrid w:type="lines" w:linePitch="360"/>
        </w:sectPr>
      </w:pPr>
      <w:r w:rsidRPr="001B17E3">
        <w:rPr>
          <w:rFonts w:ascii="Times" w:hAnsi="Times"/>
          <w:u w:val="single"/>
        </w:rPr>
        <w:cr/>
      </w:r>
    </w:p>
    <w:p w14:paraId="1C7D1A64" w14:textId="066A3D4E" w:rsidR="00A21F3C" w:rsidRPr="00A21F3C" w:rsidRDefault="00BE0910" w:rsidP="00A21F3C">
      <w:pPr>
        <w:pStyle w:val="NoteLevel1"/>
        <w:rPr>
          <w:rFonts w:ascii="Times" w:hAnsi="Times"/>
        </w:rPr>
      </w:pPr>
      <w:hyperlink r:id="rId15" w:history="1">
        <w:r w:rsidR="00A21F3C" w:rsidRPr="00A21F3C">
          <w:rPr>
            <w:rStyle w:val="Hyperlink"/>
            <w:rFonts w:ascii="Times" w:hAnsi="Times"/>
          </w:rPr>
          <w:t>http://csc.lexum.org/en/2008/2008scc41/2008scc41.html</w:t>
        </w:r>
      </w:hyperlink>
    </w:p>
    <w:p w14:paraId="53D442B4" w14:textId="26E8CBA2" w:rsidR="00F50FAF" w:rsidRPr="00360DB1" w:rsidRDefault="00A21F3C" w:rsidP="00360DB1">
      <w:pPr>
        <w:pStyle w:val="NoteLevel1"/>
      </w:pPr>
      <w:r w:rsidRPr="00A21F3C">
        <w:rPr>
          <w:rFonts w:ascii="Times" w:hAnsi="Times"/>
          <w:b/>
          <w:i/>
          <w:iCs/>
          <w:sz w:val="28"/>
          <w:szCs w:val="28"/>
        </w:rPr>
        <w:t xml:space="preserve">R. v. Kapp, </w:t>
      </w:r>
      <w:r w:rsidRPr="00A21F3C">
        <w:rPr>
          <w:rFonts w:ascii="Times" w:hAnsi="Times"/>
          <w:b/>
          <w:sz w:val="28"/>
          <w:szCs w:val="28"/>
        </w:rPr>
        <w:t xml:space="preserve">[2008] 2 S.C.R. 483 (paras. 1-26) </w:t>
      </w:r>
      <w:r w:rsidR="00360DB1">
        <w:rPr>
          <w:rFonts w:ascii="Times" w:hAnsi="Times"/>
          <w:b/>
          <w:sz w:val="28"/>
          <w:szCs w:val="28"/>
        </w:rPr>
        <w:t xml:space="preserve"> </w:t>
      </w:r>
    </w:p>
    <w:p w14:paraId="1E612115" w14:textId="0FD3D567" w:rsidR="0082437F" w:rsidRPr="0082437F" w:rsidRDefault="00D4251F" w:rsidP="0082437F">
      <w:pPr>
        <w:pStyle w:val="NoteLevel1"/>
        <w:rPr>
          <w:rFonts w:ascii="Times" w:hAnsi="Times"/>
          <w:u w:val="single"/>
        </w:rPr>
      </w:pPr>
      <w:r>
        <w:rPr>
          <w:rFonts w:ascii="Times" w:hAnsi="Times"/>
          <w:iCs/>
          <w:u w:val="single"/>
        </w:rPr>
        <w:t>A. Introduction</w:t>
      </w:r>
    </w:p>
    <w:p w14:paraId="0F3EEB16" w14:textId="77777777" w:rsidR="0082437F" w:rsidRPr="0082437F" w:rsidRDefault="0082437F" w:rsidP="0082437F">
      <w:pPr>
        <w:pStyle w:val="NoteLevel1"/>
        <w:rPr>
          <w:rFonts w:ascii="Times" w:hAnsi="Times"/>
        </w:rPr>
      </w:pPr>
      <w:r w:rsidRPr="0082437F">
        <w:rPr>
          <w:rFonts w:ascii="Times" w:hAnsi="Times"/>
        </w:rPr>
        <w:t xml:space="preserve">- The appellants are commercial fishers, mainly non-aboriginal, who assert that their equality rights under s. 15 of the </w:t>
      </w:r>
      <w:r w:rsidRPr="0082437F">
        <w:rPr>
          <w:rFonts w:ascii="Times" w:hAnsi="Times"/>
          <w:i/>
        </w:rPr>
        <w:t>Charter</w:t>
      </w:r>
      <w:r w:rsidRPr="0082437F">
        <w:rPr>
          <w:rFonts w:ascii="Times" w:hAnsi="Times"/>
        </w:rPr>
        <w:t xml:space="preserve"> were violated by a communal fishing licence granting members of three aboriginal bands the exclusive right to fish for salmon in the mouth of the Fraser River for a period of 24 hours on August 19-20, 1998</w:t>
      </w:r>
    </w:p>
    <w:p w14:paraId="7BCD7744" w14:textId="77777777" w:rsidR="0082437F" w:rsidRPr="0082437F" w:rsidRDefault="0082437F" w:rsidP="0082437F">
      <w:pPr>
        <w:pStyle w:val="NoteLevel1"/>
        <w:rPr>
          <w:rFonts w:ascii="Times" w:hAnsi="Times"/>
        </w:rPr>
      </w:pPr>
      <w:r w:rsidRPr="0082437F">
        <w:rPr>
          <w:rFonts w:ascii="Times" w:hAnsi="Times"/>
        </w:rPr>
        <w:t xml:space="preserve">- The essence of this claim is that the communal fishing licence discriminated against them on the basis of race. The Crown argues that the general purpose of the program under which the licence was issued was to regulate the fishery, and that it ameliorated the conditions of a disadvantaged group. </w:t>
      </w:r>
    </w:p>
    <w:p w14:paraId="14656876" w14:textId="77777777" w:rsidR="0082437F" w:rsidRPr="0082437F" w:rsidRDefault="0082437F" w:rsidP="0082437F">
      <w:pPr>
        <w:pStyle w:val="NoteLevel1"/>
        <w:rPr>
          <w:rFonts w:ascii="Times" w:hAnsi="Times"/>
        </w:rPr>
      </w:pPr>
      <w:r w:rsidRPr="0082437F">
        <w:rPr>
          <w:rFonts w:ascii="Times" w:hAnsi="Times"/>
        </w:rPr>
        <w:t xml:space="preserve">- Requires the Court to consider whether s.15(2) is capable of operating independently of s.15(1) to protect ameliorative programs from claims of discrimination </w:t>
      </w:r>
    </w:p>
    <w:p w14:paraId="11653AFB" w14:textId="77777777" w:rsidR="0082437F" w:rsidRPr="0082437F" w:rsidRDefault="0082437F" w:rsidP="0082437F">
      <w:pPr>
        <w:pStyle w:val="NoteLevel1"/>
        <w:rPr>
          <w:rFonts w:ascii="Times" w:hAnsi="Times"/>
        </w:rPr>
      </w:pPr>
      <w:r w:rsidRPr="0082437F">
        <w:rPr>
          <w:rFonts w:ascii="Times" w:hAnsi="Times"/>
        </w:rPr>
        <w:t xml:space="preserve">- Where a program makes  a distinction on one of the grounds enumerated under s.15 or an analogous ground but has as its object the amelioration of the conditions of a disadvantaged group, s.15’s guarantee of substantive equality is furthered, and the claim of discrimination must fail. </w:t>
      </w:r>
    </w:p>
    <w:p w14:paraId="739466ED" w14:textId="77777777" w:rsidR="0082437F" w:rsidRPr="0082437F" w:rsidRDefault="0082437F" w:rsidP="0082437F">
      <w:pPr>
        <w:pStyle w:val="NoteLevel1"/>
        <w:rPr>
          <w:rFonts w:ascii="Times" w:hAnsi="Times"/>
        </w:rPr>
      </w:pPr>
      <w:r w:rsidRPr="0082437F">
        <w:rPr>
          <w:rFonts w:ascii="Times" w:hAnsi="Times"/>
        </w:rPr>
        <w:t xml:space="preserve">- The communal fishing licence challenged in this appeal falls w/n s.15(2)’s boundary (one of its objects being to ameliorate the conditions of the participating aboriginal bands) the appellants’ claim of a s.15 violated cannot succeed. </w:t>
      </w:r>
    </w:p>
    <w:p w14:paraId="1F3D97B2" w14:textId="77777777" w:rsidR="0082437F" w:rsidRPr="0082437F" w:rsidRDefault="0082437F" w:rsidP="0082437F">
      <w:pPr>
        <w:pStyle w:val="NoteLevel1"/>
        <w:rPr>
          <w:rFonts w:ascii="Times" w:hAnsi="Times"/>
        </w:rPr>
      </w:pPr>
    </w:p>
    <w:p w14:paraId="18F15C69" w14:textId="77777777" w:rsidR="0082437F" w:rsidRPr="0082437F" w:rsidRDefault="0082437F" w:rsidP="0082437F">
      <w:pPr>
        <w:pStyle w:val="NoteLevel1"/>
        <w:rPr>
          <w:rFonts w:ascii="Times" w:hAnsi="Times"/>
          <w:u w:val="single"/>
        </w:rPr>
      </w:pPr>
      <w:r w:rsidRPr="0082437F">
        <w:rPr>
          <w:rFonts w:ascii="Times" w:hAnsi="Times"/>
          <w:u w:val="single"/>
        </w:rPr>
        <w:t xml:space="preserve">B.  Factual &amp; Judicial History </w:t>
      </w:r>
    </w:p>
    <w:p w14:paraId="7E72EC53" w14:textId="77777777" w:rsidR="0082437F" w:rsidRPr="0082437F" w:rsidRDefault="0082437F" w:rsidP="0082437F">
      <w:pPr>
        <w:pStyle w:val="NoteLevel1"/>
        <w:rPr>
          <w:rFonts w:ascii="Times" w:hAnsi="Times"/>
        </w:rPr>
      </w:pPr>
      <w:r w:rsidRPr="0082437F">
        <w:rPr>
          <w:rFonts w:ascii="Times" w:hAnsi="Times"/>
        </w:rPr>
        <w:t>- Prior to Euro. contact, aboriginal groups living in the region of the mouth of the Fraser River fished the river for food, social and ceremonial purposes</w:t>
      </w:r>
    </w:p>
    <w:p w14:paraId="19E13799" w14:textId="77777777" w:rsidR="0082437F" w:rsidRPr="0082437F" w:rsidRDefault="0082437F" w:rsidP="0082437F">
      <w:pPr>
        <w:pStyle w:val="NoteLevel1"/>
        <w:rPr>
          <w:rFonts w:ascii="Times" w:hAnsi="Times"/>
        </w:rPr>
      </w:pPr>
      <w:r w:rsidRPr="0082437F">
        <w:rPr>
          <w:rFonts w:ascii="Times" w:hAnsi="Times"/>
        </w:rPr>
        <w:t xml:space="preserve">- Their life centered in large part around the fiver and its abundant fishery </w:t>
      </w:r>
    </w:p>
    <w:p w14:paraId="701E9D67" w14:textId="77777777" w:rsidR="0082437F" w:rsidRPr="0082437F" w:rsidRDefault="0082437F" w:rsidP="0082437F">
      <w:pPr>
        <w:pStyle w:val="NoteLevel1"/>
        <w:rPr>
          <w:rFonts w:ascii="Times" w:hAnsi="Times"/>
        </w:rPr>
      </w:pPr>
      <w:r w:rsidRPr="0082437F">
        <w:rPr>
          <w:rFonts w:ascii="Times" w:hAnsi="Times"/>
        </w:rPr>
        <w:t>- In the last 2 decades, court decisions have confirmed that pre-contact fishing practices integral to the culture of aboriginal people translate into a modern-day right to fish for food, social and ceremonial purpose (</w:t>
      </w:r>
      <w:r w:rsidRPr="0082437F">
        <w:rPr>
          <w:rFonts w:ascii="Times" w:hAnsi="Times"/>
          <w:i/>
        </w:rPr>
        <w:t>R. v. Sparrow</w:t>
      </w:r>
      <w:r w:rsidRPr="0082437F">
        <w:rPr>
          <w:rFonts w:ascii="Times" w:hAnsi="Times"/>
        </w:rPr>
        <w:t>)—the right is a communal right, it inheres in the community, not the individual, and can be exercised by people who are linked to the ancestral aboriginal community</w:t>
      </w:r>
    </w:p>
    <w:p w14:paraId="61897ACB" w14:textId="77777777" w:rsidR="0082437F" w:rsidRPr="0082437F" w:rsidRDefault="0082437F" w:rsidP="0082437F">
      <w:pPr>
        <w:pStyle w:val="NoteLevel1"/>
        <w:rPr>
          <w:rFonts w:ascii="Times" w:hAnsi="Times"/>
        </w:rPr>
      </w:pPr>
      <w:r w:rsidRPr="0082437F">
        <w:rPr>
          <w:rFonts w:ascii="Times" w:hAnsi="Times"/>
        </w:rPr>
        <w:t>- The aboriginal right hasn’t bee recognized by Courts as extending to fishing for the purpose of sale/commercial fishing (</w:t>
      </w:r>
      <w:r w:rsidRPr="0082437F">
        <w:rPr>
          <w:rFonts w:ascii="Times" w:hAnsi="Times"/>
          <w:i/>
        </w:rPr>
        <w:t>R. v. Van de Peet</w:t>
      </w:r>
      <w:r w:rsidRPr="0082437F">
        <w:rPr>
          <w:rFonts w:ascii="Times" w:hAnsi="Times"/>
        </w:rPr>
        <w:t>)</w:t>
      </w:r>
    </w:p>
    <w:p w14:paraId="723899AE" w14:textId="77777777" w:rsidR="0082437F" w:rsidRPr="0082437F" w:rsidRDefault="0082437F" w:rsidP="0082437F">
      <w:pPr>
        <w:pStyle w:val="NoteLevel1"/>
        <w:rPr>
          <w:rFonts w:ascii="Times" w:hAnsi="Times"/>
        </w:rPr>
      </w:pPr>
      <w:r w:rsidRPr="0082437F">
        <w:rPr>
          <w:rFonts w:ascii="Times" w:hAnsi="Times"/>
        </w:rPr>
        <w:t>- The participation of Aboriginals in the commercial fishery was left to individual initiative or negotiation btwn aboriginal peoples &amp; the gov’t. The federal gov’t determined that aboriginal people should be given a stake in the commercial fishery</w:t>
      </w:r>
    </w:p>
    <w:p w14:paraId="006CA38C" w14:textId="77777777" w:rsidR="0082437F" w:rsidRPr="0082437F" w:rsidRDefault="0082437F" w:rsidP="0082437F">
      <w:pPr>
        <w:pStyle w:val="NoteLevel1"/>
        <w:rPr>
          <w:rFonts w:ascii="Times" w:hAnsi="Times"/>
        </w:rPr>
      </w:pPr>
      <w:r w:rsidRPr="0082437F">
        <w:rPr>
          <w:rFonts w:ascii="Times" w:hAnsi="Times"/>
        </w:rPr>
        <w:t>- The bands tended to be disadvantaged economically, compared to non-Aboriginals—catching fish for their own tables &amp; ceremonies has left many needs unmet</w:t>
      </w:r>
    </w:p>
    <w:p w14:paraId="62CAE4BC" w14:textId="77777777" w:rsidR="0082437F" w:rsidRPr="0082437F" w:rsidRDefault="0082437F" w:rsidP="0082437F">
      <w:pPr>
        <w:pStyle w:val="NoteLevel1"/>
        <w:rPr>
          <w:rFonts w:ascii="Times" w:hAnsi="Times"/>
        </w:rPr>
      </w:pPr>
      <w:r w:rsidRPr="0082437F">
        <w:rPr>
          <w:rFonts w:ascii="Times" w:hAnsi="Times"/>
        </w:rPr>
        <w:t xml:space="preserve">- The gov’ts decision to enhance aboriginal involvement in the commercial fishery followed recommendations of the 1982 Pearse Final Report, which endorsed the negotiation of aboriginal fishery agreements </w:t>
      </w:r>
    </w:p>
    <w:p w14:paraId="1CB5E6F4" w14:textId="77777777" w:rsidR="0082437F" w:rsidRPr="0082437F" w:rsidRDefault="0082437F" w:rsidP="0082437F">
      <w:pPr>
        <w:pStyle w:val="NoteLevel2"/>
        <w:rPr>
          <w:rFonts w:ascii="Times" w:hAnsi="Times"/>
        </w:rPr>
      </w:pPr>
      <w:r w:rsidRPr="0082437F">
        <w:rPr>
          <w:rFonts w:ascii="Times" w:hAnsi="Times"/>
        </w:rPr>
        <w:t>The report recognized the problematic connection between aboriginal communities’ economic disadvantage and the longstanding prohibition against selling fish—a prohibition that disrupted what was one an import economic opportunity for Aboriginals</w:t>
      </w:r>
    </w:p>
    <w:p w14:paraId="0969D7BD" w14:textId="77777777" w:rsidR="0082437F" w:rsidRPr="0082437F" w:rsidRDefault="0082437F" w:rsidP="0082437F">
      <w:pPr>
        <w:pStyle w:val="NoteLevel1"/>
        <w:rPr>
          <w:rFonts w:ascii="Times" w:hAnsi="Times"/>
        </w:rPr>
      </w:pPr>
      <w:r w:rsidRPr="0082437F">
        <w:rPr>
          <w:rFonts w:ascii="Times" w:hAnsi="Times"/>
        </w:rPr>
        <w:t xml:space="preserve">- The decision to enhance aboriginal participation in the commercial fishery may also be seen as a response to the directive of the SCC in </w:t>
      </w:r>
      <w:r w:rsidRPr="0082437F">
        <w:rPr>
          <w:rFonts w:ascii="Times" w:hAnsi="Times"/>
          <w:i/>
        </w:rPr>
        <w:t>Sparrow</w:t>
      </w:r>
      <w:r w:rsidRPr="0082437F">
        <w:rPr>
          <w:rFonts w:ascii="Times" w:hAnsi="Times"/>
        </w:rPr>
        <w:t xml:space="preserve">, at para 119, that the gov’t consult w/ aboriginal groups in the implementation of fishery regulation in order to honour its fiduciary duty to aboriginal communities </w:t>
      </w:r>
    </w:p>
    <w:p w14:paraId="3C8630DF" w14:textId="77777777" w:rsidR="0082437F" w:rsidRPr="0082437F" w:rsidRDefault="0082437F" w:rsidP="0082437F">
      <w:pPr>
        <w:pStyle w:val="NoteLevel1"/>
        <w:rPr>
          <w:rFonts w:ascii="Times" w:hAnsi="Times"/>
        </w:rPr>
      </w:pPr>
      <w:r w:rsidRPr="0082437F">
        <w:rPr>
          <w:rFonts w:ascii="Times" w:hAnsi="Times"/>
        </w:rPr>
        <w:t>- Subsequent decisions have affirmed the duty to consult and accommodate aboriginal communities w/ respect to resource development and conversation; it is a constitutional duty, the fulfillment of which is consistent w/ the honour of the Crown (Delgamuukw v. BC)</w:t>
      </w:r>
    </w:p>
    <w:p w14:paraId="030DB23B" w14:textId="77777777" w:rsidR="0082437F" w:rsidRPr="0082437F" w:rsidRDefault="0082437F" w:rsidP="0082437F">
      <w:pPr>
        <w:pStyle w:val="NoteLevel1"/>
        <w:rPr>
          <w:rFonts w:ascii="Times" w:hAnsi="Times"/>
        </w:rPr>
      </w:pPr>
      <w:r w:rsidRPr="0082437F">
        <w:rPr>
          <w:rFonts w:ascii="Times" w:hAnsi="Times"/>
        </w:rPr>
        <w:t>- The federal gov’ts policy aimed at giving aboriginal people a share of the commercial fishery took different forms, under the umbrella of “Aboriginal Fisheries Strategy”</w:t>
      </w:r>
    </w:p>
    <w:p w14:paraId="3F7B4565" w14:textId="77777777" w:rsidR="0082437F" w:rsidRPr="0082437F" w:rsidRDefault="0082437F" w:rsidP="0082437F">
      <w:pPr>
        <w:pStyle w:val="NoteLevel2"/>
        <w:rPr>
          <w:rFonts w:ascii="Times" w:hAnsi="Times"/>
        </w:rPr>
      </w:pPr>
      <w:r w:rsidRPr="0082437F">
        <w:rPr>
          <w:rFonts w:ascii="Times" w:hAnsi="Times"/>
        </w:rPr>
        <w:t xml:space="preserve">Introduced in 1993, the Strategy has 3 stated objectives: 1) ensuring the rights recognized by the </w:t>
      </w:r>
      <w:r w:rsidRPr="0082437F">
        <w:rPr>
          <w:rFonts w:ascii="Times" w:hAnsi="Times"/>
          <w:i/>
        </w:rPr>
        <w:t>Sparrow</w:t>
      </w:r>
      <w:r w:rsidRPr="0082437F">
        <w:rPr>
          <w:rFonts w:ascii="Times" w:hAnsi="Times"/>
        </w:rPr>
        <w:t xml:space="preserve"> decision are respected 2) providing aboriginal communities w/ a larger role in fisheries management &amp; increased economic benefits 3) minimizing the disruption of non-aboriginal fisheries </w:t>
      </w:r>
    </w:p>
    <w:p w14:paraId="772203DD" w14:textId="77777777" w:rsidR="0082437F" w:rsidRPr="0082437F" w:rsidRDefault="0082437F" w:rsidP="0082437F">
      <w:pPr>
        <w:pStyle w:val="NoteLevel2"/>
        <w:rPr>
          <w:rFonts w:ascii="Times" w:hAnsi="Times"/>
        </w:rPr>
      </w:pPr>
      <w:r w:rsidRPr="0082437F">
        <w:rPr>
          <w:rFonts w:ascii="Times" w:hAnsi="Times"/>
        </w:rPr>
        <w:t>A significant part of the Strategy was the introduction of three pilot sales programs, one of which resulted in the issuance of the communal fishing licence at issue in this case—the licence was granted pursuant to the Aboriginal Communal Fishing Licences Regulations, which grants communal licences to “aboriginal organizations”, defined as including “an Indian band, an Indian band council, a tribunal council and an organization that represents a territorially based aboriginal community”—the licence cannot be grant to individuals, but an aboriginal organization can designate its use to individuals</w:t>
      </w:r>
    </w:p>
    <w:p w14:paraId="6EFB33C3" w14:textId="77777777" w:rsidR="0082437F" w:rsidRPr="0082437F" w:rsidRDefault="0082437F" w:rsidP="0082437F">
      <w:pPr>
        <w:pStyle w:val="NoteLevel1"/>
        <w:rPr>
          <w:rFonts w:ascii="Times" w:hAnsi="Times"/>
        </w:rPr>
      </w:pPr>
      <w:r w:rsidRPr="0082437F">
        <w:rPr>
          <w:rFonts w:ascii="Times" w:hAnsi="Times"/>
        </w:rPr>
        <w:t>- The licence in this case permitted fishers designated by the bands to fish for sockeye salmon between 7am on August 19</w:t>
      </w:r>
      <w:r w:rsidRPr="0082437F">
        <w:rPr>
          <w:rFonts w:ascii="Times" w:hAnsi="Times"/>
          <w:vertAlign w:val="superscript"/>
        </w:rPr>
        <w:t>th</w:t>
      </w:r>
      <w:r w:rsidRPr="0082437F">
        <w:rPr>
          <w:rFonts w:ascii="Times" w:hAnsi="Times"/>
        </w:rPr>
        <w:t xml:space="preserve"> and 7am August 20</w:t>
      </w:r>
      <w:r w:rsidRPr="0082437F">
        <w:rPr>
          <w:rFonts w:ascii="Times" w:hAnsi="Times"/>
          <w:vertAlign w:val="superscript"/>
        </w:rPr>
        <w:t xml:space="preserve">th  </w:t>
      </w:r>
      <w:r w:rsidRPr="0082437F">
        <w:rPr>
          <w:rFonts w:ascii="Times" w:hAnsi="Times"/>
        </w:rPr>
        <w:t xml:space="preserve"> (1998), and to use the fish caught for food, social and ceremonial purposes, and for sale. Some of the fishers designated by the bands to fish under the communal fishing licence were also licensed commercial fishers entitled to fish at other openings for commercial fishers </w:t>
      </w:r>
    </w:p>
    <w:p w14:paraId="35FDB10F" w14:textId="77777777" w:rsidR="0082437F" w:rsidRPr="0082437F" w:rsidRDefault="0082437F" w:rsidP="0082437F">
      <w:pPr>
        <w:pStyle w:val="NoteLevel1"/>
        <w:rPr>
          <w:rFonts w:ascii="Times" w:hAnsi="Times"/>
        </w:rPr>
      </w:pPr>
      <w:r w:rsidRPr="0082437F">
        <w:rPr>
          <w:rFonts w:ascii="Times" w:hAnsi="Times"/>
        </w:rPr>
        <w:t>- The appellants are all commercial fishers who were excluded from the fishery during the 24hrs allocated to the aboriginal fishery under the communal fishing licence. Under the auspices of BC Fisheries Survival Coalition, they participated in a protest fishery during the prohibited period to bring a constitutional challenge to the communal licence—they were charged w/ fishing at a prohibited time—in defence of the charge they filled notice of a constitutional question seeking declarations that the communal fishing licence, the ACFLR and related regulations &amp; the Aboriginal Fisheries Strategy were unconstitutional</w:t>
      </w:r>
    </w:p>
    <w:p w14:paraId="607E519B" w14:textId="77777777" w:rsidR="0082437F" w:rsidRPr="0082437F" w:rsidRDefault="0082437F" w:rsidP="0082437F">
      <w:pPr>
        <w:pStyle w:val="NoteLevel2"/>
        <w:rPr>
          <w:rFonts w:ascii="Times" w:hAnsi="Times"/>
        </w:rPr>
      </w:pPr>
      <w:r w:rsidRPr="0082437F">
        <w:rPr>
          <w:rFonts w:ascii="Times" w:hAnsi="Times"/>
        </w:rPr>
        <w:t xml:space="preserve">The provincial court of BC (Judge Kitchen) found that the communal fishing licence granted to the 3 bands was a breach of the appellants’ equality rights under s.15(1) of the </w:t>
      </w:r>
      <w:r w:rsidRPr="0082437F">
        <w:rPr>
          <w:rFonts w:ascii="Times" w:hAnsi="Times"/>
          <w:i/>
        </w:rPr>
        <w:t>Charter</w:t>
      </w:r>
      <w:r w:rsidRPr="0082437F">
        <w:rPr>
          <w:rFonts w:ascii="Times" w:hAnsi="Times"/>
        </w:rPr>
        <w:t xml:space="preserve">, and was not justified under s. 1—the court stayed the proceedings on the charges under s.24 of the </w:t>
      </w:r>
      <w:r w:rsidRPr="0082437F">
        <w:rPr>
          <w:rFonts w:ascii="Times" w:hAnsi="Times"/>
          <w:i/>
        </w:rPr>
        <w:t>Charter</w:t>
      </w:r>
    </w:p>
    <w:p w14:paraId="690D9A3F" w14:textId="77777777" w:rsidR="0082437F" w:rsidRPr="0082437F" w:rsidRDefault="0082437F" w:rsidP="0082437F">
      <w:pPr>
        <w:pStyle w:val="NoteLevel2"/>
        <w:rPr>
          <w:rFonts w:ascii="Times" w:hAnsi="Times"/>
        </w:rPr>
      </w:pPr>
      <w:r w:rsidRPr="0082437F">
        <w:rPr>
          <w:rFonts w:ascii="Times" w:hAnsi="Times"/>
        </w:rPr>
        <w:t xml:space="preserve">The Supreme Court of BC (Brenner C.J.S.C) allowed a summary convictions appeal by the crown—it held that the pilot sales program didn’t have a discriminatory purpose or effect b/c it didn’t perpetuate or promote the view that those who were forbidden to fish on the days when the program fishery was open are less capable or worthy of recognition or value as human beings/members of Canadian society—lifted the stay of proceedings and entered the convictions against the appellants </w:t>
      </w:r>
    </w:p>
    <w:p w14:paraId="49E35527" w14:textId="77777777" w:rsidR="0082437F" w:rsidRPr="0082437F" w:rsidRDefault="0082437F" w:rsidP="0082437F">
      <w:pPr>
        <w:pStyle w:val="NoteLevel2"/>
        <w:rPr>
          <w:rFonts w:ascii="Times" w:hAnsi="Times"/>
        </w:rPr>
      </w:pPr>
      <w:r w:rsidRPr="0082437F">
        <w:rPr>
          <w:rFonts w:ascii="Times" w:hAnsi="Times"/>
        </w:rPr>
        <w:t xml:space="preserve">The BC Court of Appeal, in 5 sets of reasons concurring in the result, dismissed the appeal: </w:t>
      </w:r>
    </w:p>
    <w:p w14:paraId="31469315" w14:textId="77777777" w:rsidR="0082437F" w:rsidRPr="0082437F" w:rsidRDefault="0082437F" w:rsidP="0082437F">
      <w:pPr>
        <w:pStyle w:val="NoteLevel3"/>
        <w:rPr>
          <w:rFonts w:ascii="Times" w:hAnsi="Times"/>
        </w:rPr>
      </w:pPr>
      <w:r w:rsidRPr="0082437F">
        <w:rPr>
          <w:rFonts w:ascii="Times" w:hAnsi="Times"/>
        </w:rPr>
        <w:t xml:space="preserve">Low J.A. concluded that the pilot sales program didn’t constitute a denial of a benefit under s.15 when the matter was viewed in a contextual rather than formalistic way </w:t>
      </w:r>
    </w:p>
    <w:p w14:paraId="7B856544" w14:textId="77777777" w:rsidR="0082437F" w:rsidRPr="0082437F" w:rsidRDefault="0082437F" w:rsidP="0082437F">
      <w:pPr>
        <w:pStyle w:val="NoteLevel3"/>
        <w:rPr>
          <w:rFonts w:ascii="Times" w:hAnsi="Times"/>
        </w:rPr>
      </w:pPr>
      <w:r w:rsidRPr="0082437F">
        <w:rPr>
          <w:rFonts w:ascii="Times" w:hAnsi="Times"/>
        </w:rPr>
        <w:t xml:space="preserve">Mackenzie J.A. rejected the claim of discrimination on the basis that a discriminatory purpose or effect hadn’t been established, endorsing the view of Brenner C.J.S.C on the summary convictions appeal </w:t>
      </w:r>
    </w:p>
    <w:p w14:paraId="478ADD56" w14:textId="77777777" w:rsidR="0082437F" w:rsidRPr="0082437F" w:rsidRDefault="0082437F" w:rsidP="0082437F">
      <w:pPr>
        <w:pStyle w:val="NoteLevel3"/>
        <w:rPr>
          <w:rFonts w:ascii="Times" w:hAnsi="Times"/>
        </w:rPr>
      </w:pPr>
      <w:r w:rsidRPr="0082437F">
        <w:rPr>
          <w:rFonts w:ascii="Times" w:hAnsi="Times"/>
        </w:rPr>
        <w:t xml:space="preserve">Kirkpatrick J.A. dismissed the s.15 claim on the basis that s.25 of the </w:t>
      </w:r>
      <w:r w:rsidRPr="0082437F">
        <w:rPr>
          <w:rFonts w:ascii="Times" w:hAnsi="Times"/>
          <w:i/>
        </w:rPr>
        <w:t>Charter</w:t>
      </w:r>
      <w:r w:rsidRPr="0082437F">
        <w:rPr>
          <w:rFonts w:ascii="Times" w:hAnsi="Times"/>
        </w:rPr>
        <w:t xml:space="preserve">, which protects rights &amp; freedoms pertaining to the aboriginal peoples of Canada, insulated the scheme from the discrimination charge </w:t>
      </w:r>
    </w:p>
    <w:p w14:paraId="3559FAFE" w14:textId="77777777" w:rsidR="0082437F" w:rsidRPr="0082437F" w:rsidRDefault="0082437F" w:rsidP="0082437F">
      <w:pPr>
        <w:pStyle w:val="NoteLevel3"/>
        <w:rPr>
          <w:rFonts w:ascii="Times" w:hAnsi="Times"/>
        </w:rPr>
      </w:pPr>
      <w:r w:rsidRPr="0082437F">
        <w:rPr>
          <w:rFonts w:ascii="Times" w:hAnsi="Times"/>
        </w:rPr>
        <w:t>Finch C.J.B.C concurred w/ both Low and Mackenzie on s.15 issue, and found that s.25 was not engaged</w:t>
      </w:r>
    </w:p>
    <w:p w14:paraId="57FEB871" w14:textId="77777777" w:rsidR="0082437F" w:rsidRPr="0082437F" w:rsidRDefault="0082437F" w:rsidP="0082437F">
      <w:pPr>
        <w:pStyle w:val="NoteLevel3"/>
        <w:rPr>
          <w:rFonts w:ascii="Times" w:hAnsi="Times"/>
        </w:rPr>
      </w:pPr>
      <w:r w:rsidRPr="0082437F">
        <w:rPr>
          <w:rFonts w:ascii="Times" w:hAnsi="Times"/>
        </w:rPr>
        <w:t xml:space="preserve">Levin J.A. agreed w/ Finch on the s.15 but declined to express a view on whether s.25 was engaged </w:t>
      </w:r>
    </w:p>
    <w:p w14:paraId="61F69C8B" w14:textId="77777777" w:rsidR="0082437F" w:rsidRPr="0082437F" w:rsidRDefault="0082437F" w:rsidP="0082437F">
      <w:pPr>
        <w:pStyle w:val="NoteLevel1"/>
        <w:rPr>
          <w:rFonts w:ascii="Times" w:hAnsi="Times"/>
        </w:rPr>
      </w:pPr>
    </w:p>
    <w:p w14:paraId="4CE06400" w14:textId="77777777" w:rsidR="0082437F" w:rsidRPr="0082437F" w:rsidRDefault="0082437F" w:rsidP="0082437F">
      <w:pPr>
        <w:pStyle w:val="NoteLevel1"/>
        <w:rPr>
          <w:rFonts w:ascii="Times" w:hAnsi="Times"/>
          <w:u w:val="single"/>
        </w:rPr>
      </w:pPr>
      <w:r w:rsidRPr="0082437F">
        <w:rPr>
          <w:rFonts w:ascii="Times" w:hAnsi="Times"/>
          <w:u w:val="single"/>
        </w:rPr>
        <w:t>C.  Analysis</w:t>
      </w:r>
    </w:p>
    <w:p w14:paraId="5769363B" w14:textId="77777777" w:rsidR="0082437F" w:rsidRPr="0082437F" w:rsidRDefault="0082437F" w:rsidP="0082437F">
      <w:pPr>
        <w:pStyle w:val="NoteLevel1"/>
        <w:rPr>
          <w:rFonts w:ascii="Times" w:hAnsi="Times"/>
        </w:rPr>
      </w:pPr>
      <w:r w:rsidRPr="0082437F">
        <w:rPr>
          <w:rFonts w:ascii="Times" w:hAnsi="Times"/>
        </w:rPr>
        <w:t xml:space="preserve">- Section 15(1) of the </w:t>
      </w:r>
      <w:r w:rsidRPr="0082437F">
        <w:rPr>
          <w:rFonts w:ascii="Times" w:hAnsi="Times"/>
          <w:i/>
        </w:rPr>
        <w:t>Charter</w:t>
      </w:r>
      <w:r w:rsidRPr="0082437F">
        <w:rPr>
          <w:rFonts w:ascii="Times" w:hAnsi="Times"/>
        </w:rPr>
        <w:t xml:space="preserve">: </w:t>
      </w:r>
    </w:p>
    <w:p w14:paraId="7A52544A" w14:textId="77777777" w:rsidR="0082437F" w:rsidRPr="0082437F" w:rsidRDefault="0082437F" w:rsidP="0082437F">
      <w:pPr>
        <w:pStyle w:val="NoteLevel2"/>
        <w:rPr>
          <w:rFonts w:ascii="Times" w:hAnsi="Times"/>
        </w:rPr>
      </w:pPr>
      <w:r w:rsidRPr="0082437F">
        <w:rPr>
          <w:rFonts w:ascii="Times" w:hAnsi="Times"/>
        </w:rPr>
        <w:t>every individual is equal before &amp; under the law and has the right to equal protection and equal benefit of the law without discrimination and, in particular, without discrimination based on race, national or ethnic origin, colour, religion, sex, age or mental or physical disability</w:t>
      </w:r>
    </w:p>
    <w:p w14:paraId="43789970" w14:textId="77777777" w:rsidR="0082437F" w:rsidRPr="0082437F" w:rsidRDefault="0082437F" w:rsidP="0082437F">
      <w:pPr>
        <w:pStyle w:val="NoteLevel1"/>
        <w:rPr>
          <w:rFonts w:ascii="Times" w:hAnsi="Times"/>
        </w:rPr>
      </w:pPr>
    </w:p>
    <w:p w14:paraId="04A32F97" w14:textId="77777777" w:rsidR="0082437F" w:rsidRPr="0082437F" w:rsidRDefault="0082437F" w:rsidP="0082437F">
      <w:pPr>
        <w:pStyle w:val="NoteLevel1"/>
        <w:rPr>
          <w:rFonts w:ascii="Times" w:hAnsi="Times"/>
        </w:rPr>
      </w:pPr>
      <w:r w:rsidRPr="0082437F">
        <w:rPr>
          <w:rFonts w:ascii="Times" w:hAnsi="Times"/>
        </w:rPr>
        <w:t>- The Purpose of Section 15</w:t>
      </w:r>
    </w:p>
    <w:p w14:paraId="0365556D" w14:textId="77777777" w:rsidR="0082437F" w:rsidRPr="0082437F" w:rsidRDefault="0082437F" w:rsidP="0082437F">
      <w:pPr>
        <w:pStyle w:val="NoteLevel2"/>
        <w:rPr>
          <w:rFonts w:ascii="Times" w:hAnsi="Times"/>
        </w:rPr>
      </w:pPr>
      <w:r w:rsidRPr="0082437F">
        <w:rPr>
          <w:rFonts w:ascii="Times" w:hAnsi="Times"/>
          <w:i/>
        </w:rPr>
        <w:t>Andrews v. Law Society of British Columbia,</w:t>
      </w:r>
      <w:r w:rsidRPr="0082437F">
        <w:rPr>
          <w:rFonts w:ascii="Times" w:hAnsi="Times"/>
        </w:rPr>
        <w:t xml:space="preserve"> [1989] 1 S.C.R 143 set the template for the SCC’s commitment to substantive equality—a template which subsequent decisions have enriched but never abandoned </w:t>
      </w:r>
    </w:p>
    <w:p w14:paraId="618AF875" w14:textId="77777777" w:rsidR="0082437F" w:rsidRPr="0082437F" w:rsidRDefault="0082437F" w:rsidP="0082437F">
      <w:pPr>
        <w:pStyle w:val="NoteLevel3"/>
        <w:rPr>
          <w:rFonts w:ascii="Times" w:hAnsi="Times"/>
        </w:rPr>
      </w:pPr>
      <w:r w:rsidRPr="0082437F">
        <w:rPr>
          <w:rFonts w:ascii="Times" w:hAnsi="Times"/>
        </w:rPr>
        <w:t xml:space="preserve">“Substantive equality, as contrasted with formal equality, is grounded in the idea that: “The promotion of equality entails the promotion of a society in which all are secure in the knowledge that they are recognized at law as human beings equally deserving of concern, respect and consideration”: </w:t>
      </w:r>
      <w:r w:rsidRPr="0082437F">
        <w:rPr>
          <w:rFonts w:ascii="Times" w:hAnsi="Times"/>
          <w:i/>
        </w:rPr>
        <w:t>Andrews</w:t>
      </w:r>
      <w:r w:rsidRPr="0082437F">
        <w:rPr>
          <w:rFonts w:ascii="Times" w:hAnsi="Times"/>
        </w:rPr>
        <w:t xml:space="preserve"> at p. 171, per McIntyre J., for the majority on the s.15 issue”</w:t>
      </w:r>
    </w:p>
    <w:p w14:paraId="2B6A93BF" w14:textId="77777777" w:rsidR="0082437F" w:rsidRPr="0082437F" w:rsidRDefault="0082437F" w:rsidP="0082437F">
      <w:pPr>
        <w:pStyle w:val="NoteLevel3"/>
        <w:rPr>
          <w:rFonts w:ascii="Times" w:hAnsi="Times"/>
        </w:rPr>
      </w:pPr>
      <w:r w:rsidRPr="0082437F">
        <w:rPr>
          <w:rFonts w:ascii="Times" w:hAnsi="Times"/>
        </w:rPr>
        <w:t xml:space="preserve">Pointing out that the concept of equality doesn’t necessarily mean identical treatment and that the formal “like treatment” model of discrimination may produce inequality, McIntyre added: </w:t>
      </w:r>
    </w:p>
    <w:p w14:paraId="32B2C7CD" w14:textId="77777777" w:rsidR="0082437F" w:rsidRPr="0082437F" w:rsidRDefault="0082437F" w:rsidP="0082437F">
      <w:pPr>
        <w:pStyle w:val="NoteLevel4"/>
        <w:rPr>
          <w:rFonts w:ascii="Times" w:hAnsi="Times"/>
        </w:rPr>
      </w:pPr>
      <w:r w:rsidRPr="0082437F">
        <w:rPr>
          <w:rFonts w:ascii="Times" w:hAnsi="Times"/>
        </w:rPr>
        <w:t xml:space="preserve">“To approach the ideal of full equality before and under the law—and in human affairs and approach is all that can be expected—the main consideration must be the impact of the law on the individual or the group concerned. Recognizing that there will always be an infinite variety of personal characteristics, capacities, entitlements and merits among those subject to a law, there must be accorded, as nearly as may be possible, an equality of benefit and protection and no more of the restrictions, penalties or burdens imposed upon one than the other. In other words, the admittedly unattainable ideal should be that a law expressed to bind all should not because of irrelevant personal differences have a more burdensome or less beneficial impact on one than another.” </w:t>
      </w:r>
    </w:p>
    <w:p w14:paraId="0FA7CCE8" w14:textId="77777777" w:rsidR="0082437F" w:rsidRPr="0082437F" w:rsidRDefault="0082437F" w:rsidP="0082437F">
      <w:pPr>
        <w:pStyle w:val="NoteLevel3"/>
        <w:rPr>
          <w:rFonts w:ascii="Times" w:hAnsi="Times"/>
        </w:rPr>
      </w:pPr>
      <w:r w:rsidRPr="0082437F">
        <w:rPr>
          <w:rFonts w:ascii="Times" w:hAnsi="Times"/>
        </w:rPr>
        <w:t xml:space="preserve">An insistence on substantive equality has remained central to the Court’s approach to equality claims </w:t>
      </w:r>
    </w:p>
    <w:p w14:paraId="336C940F" w14:textId="77777777" w:rsidR="0082437F" w:rsidRPr="0082437F" w:rsidRDefault="0082437F" w:rsidP="0082437F">
      <w:pPr>
        <w:pStyle w:val="NoteLevel2"/>
        <w:rPr>
          <w:rFonts w:ascii="Times" w:hAnsi="Times"/>
        </w:rPr>
      </w:pPr>
      <w:r w:rsidRPr="0082437F">
        <w:rPr>
          <w:rFonts w:ascii="Times" w:hAnsi="Times"/>
        </w:rPr>
        <w:t xml:space="preserve">Sections 15(2) &amp; 15(2) work together to promote the vision of substantive equality that underlines s.15 as a whole </w:t>
      </w:r>
    </w:p>
    <w:p w14:paraId="6778CAA1" w14:textId="77777777" w:rsidR="0082437F" w:rsidRPr="0082437F" w:rsidRDefault="0082437F" w:rsidP="0082437F">
      <w:pPr>
        <w:pStyle w:val="NoteLevel3"/>
        <w:rPr>
          <w:rFonts w:ascii="Times" w:hAnsi="Times"/>
        </w:rPr>
      </w:pPr>
      <w:r w:rsidRPr="0082437F">
        <w:rPr>
          <w:rFonts w:ascii="Times" w:hAnsi="Times"/>
        </w:rPr>
        <w:t xml:space="preserve">15(1) is aimed at preventing discriminatory distinctions that impact adversely on members of groups identified by the grounds enumerated in s.15 &amp; analogous grounds—this is only way of combatting discrimination </w:t>
      </w:r>
    </w:p>
    <w:p w14:paraId="200271C2" w14:textId="77777777" w:rsidR="0082437F" w:rsidRPr="0082437F" w:rsidRDefault="0082437F" w:rsidP="0082437F">
      <w:pPr>
        <w:pStyle w:val="NoteLevel3"/>
        <w:rPr>
          <w:rFonts w:ascii="Times" w:hAnsi="Times"/>
        </w:rPr>
      </w:pPr>
      <w:r w:rsidRPr="0082437F">
        <w:rPr>
          <w:rFonts w:ascii="Times" w:hAnsi="Times"/>
        </w:rPr>
        <w:t xml:space="preserve">15(2) preserves the right of governments to implement programs to help disadvantaged groups improve their situation w/o fear of challenge under s.15(1)—affirmative action </w:t>
      </w:r>
    </w:p>
    <w:p w14:paraId="18D2EF34" w14:textId="77777777" w:rsidR="0082437F" w:rsidRPr="0082437F" w:rsidRDefault="0082437F" w:rsidP="0082437F">
      <w:pPr>
        <w:pStyle w:val="NoteLevel2"/>
        <w:rPr>
          <w:rFonts w:ascii="Times" w:hAnsi="Times"/>
        </w:rPr>
      </w:pPr>
      <w:r w:rsidRPr="0082437F">
        <w:rPr>
          <w:rFonts w:ascii="Times" w:hAnsi="Times"/>
        </w:rPr>
        <w:t xml:space="preserve">The template in </w:t>
      </w:r>
      <w:r w:rsidRPr="0082437F">
        <w:rPr>
          <w:rFonts w:ascii="Times" w:hAnsi="Times"/>
          <w:i/>
        </w:rPr>
        <w:t>Andrews</w:t>
      </w:r>
      <w:r w:rsidRPr="0082437F">
        <w:rPr>
          <w:rFonts w:ascii="Times" w:hAnsi="Times"/>
        </w:rPr>
        <w:t xml:space="preserve">, as further developed in a series of cases (Nancy Law, Kapp) established in essence a 2-part test for showing discrimination under s.15(1): </w:t>
      </w:r>
    </w:p>
    <w:p w14:paraId="6F2F5B8E" w14:textId="77777777" w:rsidR="0082437F" w:rsidRPr="0082437F" w:rsidRDefault="0082437F" w:rsidP="00370225">
      <w:pPr>
        <w:pStyle w:val="NoteLevel3"/>
        <w:numPr>
          <w:ilvl w:val="0"/>
          <w:numId w:val="0"/>
        </w:numPr>
        <w:ind w:left="1800"/>
        <w:rPr>
          <w:rFonts w:ascii="Times" w:hAnsi="Times"/>
        </w:rPr>
      </w:pPr>
      <w:r w:rsidRPr="0082437F">
        <w:rPr>
          <w:rFonts w:ascii="Times" w:hAnsi="Times"/>
        </w:rPr>
        <w:t xml:space="preserve">1) Does the law create a distinction based on an enumerated or analogous ground? </w:t>
      </w:r>
    </w:p>
    <w:p w14:paraId="06D8433C" w14:textId="77777777" w:rsidR="0082437F" w:rsidRDefault="0082437F" w:rsidP="00370225">
      <w:pPr>
        <w:pStyle w:val="NoteLevel3"/>
        <w:numPr>
          <w:ilvl w:val="0"/>
          <w:numId w:val="0"/>
        </w:numPr>
        <w:ind w:left="1800"/>
        <w:rPr>
          <w:rFonts w:ascii="Times" w:hAnsi="Times"/>
        </w:rPr>
      </w:pPr>
      <w:r w:rsidRPr="0082437F">
        <w:rPr>
          <w:rFonts w:ascii="Times" w:hAnsi="Times"/>
        </w:rPr>
        <w:t xml:space="preserve">2) Does the distinction create a disadvantage by perpetuating prejudice or stereotyping? </w:t>
      </w:r>
    </w:p>
    <w:p w14:paraId="278D3CA5" w14:textId="16975C3C" w:rsidR="0082437F" w:rsidRDefault="0082437F" w:rsidP="00EA6D46">
      <w:pPr>
        <w:pStyle w:val="NoteLevel2"/>
        <w:rPr>
          <w:rFonts w:ascii="Times" w:hAnsi="Times"/>
        </w:rPr>
      </w:pPr>
      <w:r>
        <w:rPr>
          <w:rFonts w:ascii="Times" w:hAnsi="Times"/>
        </w:rPr>
        <w:t xml:space="preserve">In </w:t>
      </w:r>
      <w:r>
        <w:rPr>
          <w:rFonts w:ascii="Times" w:hAnsi="Times"/>
          <w:i/>
        </w:rPr>
        <w:t>Andrews,</w:t>
      </w:r>
      <w:r>
        <w:rPr>
          <w:rFonts w:ascii="Times" w:hAnsi="Times"/>
        </w:rPr>
        <w:t xml:space="preserve"> McIntyre J. viewed discriminatory impact through the lens of two concepts:</w:t>
      </w:r>
      <w:r w:rsidR="00EA6D46">
        <w:rPr>
          <w:rFonts w:ascii="Times" w:hAnsi="Times"/>
        </w:rPr>
        <w:t xml:space="preserve"> </w:t>
      </w:r>
      <w:r w:rsidRPr="00EA6D46">
        <w:rPr>
          <w:rFonts w:ascii="Times" w:hAnsi="Times"/>
        </w:rPr>
        <w:t>1) The perpetuation of pr</w:t>
      </w:r>
      <w:r w:rsidR="00EA6D46">
        <w:rPr>
          <w:rFonts w:ascii="Times" w:hAnsi="Times"/>
        </w:rPr>
        <w:t xml:space="preserve">ejudice or disadvantage to members of a group on the basis of personal characteristics identified in the enumerated and analogous grounds; 2) stereotyping on the basis of these grounds that results in a decision that does not correspond to a claimant or group’s actual circumstances and characteristics </w:t>
      </w:r>
    </w:p>
    <w:p w14:paraId="47BA255D" w14:textId="4D080EEF" w:rsidR="00EA6D46" w:rsidRDefault="00EA6D46" w:rsidP="00EA6D46">
      <w:pPr>
        <w:pStyle w:val="NoteLevel3"/>
        <w:rPr>
          <w:rFonts w:ascii="Times" w:hAnsi="Times"/>
        </w:rPr>
      </w:pPr>
      <w:r>
        <w:rPr>
          <w:rFonts w:ascii="Times" w:hAnsi="Times"/>
        </w:rPr>
        <w:t xml:space="preserve">McIntyre J. emphasized that a finding of discrimination might be grounded in  the fact that the impact of a particular law or program was to perpetuate the disadvantage of a group defined by enumerated or analogous s.. 15 grounds </w:t>
      </w:r>
    </w:p>
    <w:p w14:paraId="4931CBC1" w14:textId="0B945992" w:rsidR="00EA6D46" w:rsidRDefault="00EA6D46" w:rsidP="00EA6D46">
      <w:pPr>
        <w:pStyle w:val="NoteLevel4"/>
        <w:rPr>
          <w:rFonts w:ascii="Times" w:hAnsi="Times"/>
        </w:rPr>
      </w:pPr>
      <w:r>
        <w:rPr>
          <w:rFonts w:ascii="Times" w:hAnsi="Times"/>
        </w:rPr>
        <w:t>“I would say then that discrimination may be described as a distinction</w:t>
      </w:r>
      <w:r w:rsidR="00393EA9">
        <w:rPr>
          <w:rFonts w:ascii="Times" w:hAnsi="Times"/>
        </w:rPr>
        <w:t>, whether intentional or not but</w:t>
      </w:r>
      <w:r>
        <w:rPr>
          <w:rFonts w:ascii="Times" w:hAnsi="Times"/>
        </w:rPr>
        <w:t xml:space="preserve"> based on grounds relating to personal characteristics of the individual or group, which has the effect of imposing burdens, obligations, or disadvantages on such individual or group not imposed upon others, or which withholds or limits access to opportunities, benefits, and advantages available to other members of society” </w:t>
      </w:r>
    </w:p>
    <w:p w14:paraId="298969F9" w14:textId="1438EE03" w:rsidR="00EA6D46" w:rsidRDefault="004F7C01" w:rsidP="00EA6D46">
      <w:pPr>
        <w:pStyle w:val="NoteLevel2"/>
        <w:rPr>
          <w:rFonts w:ascii="Times" w:hAnsi="Times"/>
        </w:rPr>
      </w:pPr>
      <w:r>
        <w:rPr>
          <w:rFonts w:ascii="Times" w:hAnsi="Times"/>
        </w:rPr>
        <w:t xml:space="preserve">10 years later, in </w:t>
      </w:r>
      <w:r>
        <w:rPr>
          <w:rFonts w:ascii="Times" w:hAnsi="Times"/>
          <w:i/>
        </w:rPr>
        <w:t>Law</w:t>
      </w:r>
      <w:r>
        <w:rPr>
          <w:rFonts w:ascii="Times" w:hAnsi="Times"/>
        </w:rPr>
        <w:t xml:space="preserve">, the SCC suggested that discrimination should be defined in terms of the impact of the law or program on the “human dignity” of members of the claimant group, having regard to four contextual factors: </w:t>
      </w:r>
    </w:p>
    <w:p w14:paraId="670FABA0" w14:textId="32FA9140" w:rsidR="004F7C01" w:rsidRDefault="00370225" w:rsidP="00370225">
      <w:pPr>
        <w:pStyle w:val="NoteLevel3"/>
        <w:numPr>
          <w:ilvl w:val="0"/>
          <w:numId w:val="0"/>
        </w:numPr>
        <w:ind w:left="1800"/>
        <w:rPr>
          <w:rFonts w:ascii="Times" w:hAnsi="Times"/>
        </w:rPr>
      </w:pPr>
      <w:r>
        <w:rPr>
          <w:rFonts w:ascii="Times" w:hAnsi="Times"/>
        </w:rPr>
        <w:t>1) Pre-existing disadvantage, if any, of the claimant group</w:t>
      </w:r>
    </w:p>
    <w:p w14:paraId="7A3A8B2F" w14:textId="0CED0B9C" w:rsidR="00370225" w:rsidRDefault="00370225" w:rsidP="00370225">
      <w:pPr>
        <w:pStyle w:val="NoteLevel3"/>
        <w:numPr>
          <w:ilvl w:val="0"/>
          <w:numId w:val="0"/>
        </w:numPr>
        <w:ind w:left="1800"/>
        <w:rPr>
          <w:rFonts w:ascii="Times" w:hAnsi="Times"/>
        </w:rPr>
      </w:pPr>
      <w:r>
        <w:rPr>
          <w:rFonts w:ascii="Times" w:hAnsi="Times"/>
        </w:rPr>
        <w:t>2) Degree of correspondence between the differential treatment and the claimant group’s reality</w:t>
      </w:r>
    </w:p>
    <w:p w14:paraId="716A0FCC" w14:textId="2EA76760" w:rsidR="00370225" w:rsidRDefault="00370225" w:rsidP="00370225">
      <w:pPr>
        <w:pStyle w:val="NoteLevel3"/>
        <w:numPr>
          <w:ilvl w:val="0"/>
          <w:numId w:val="0"/>
        </w:numPr>
        <w:ind w:left="1800"/>
        <w:rPr>
          <w:rFonts w:ascii="Times" w:hAnsi="Times"/>
        </w:rPr>
      </w:pPr>
      <w:r>
        <w:rPr>
          <w:rFonts w:ascii="Times" w:hAnsi="Times"/>
        </w:rPr>
        <w:t>3) Whether the law or program has an ameliorative purpose or effect</w:t>
      </w:r>
    </w:p>
    <w:p w14:paraId="7CE314F1" w14:textId="75CC3F5B" w:rsidR="00370225" w:rsidRDefault="00370225" w:rsidP="00370225">
      <w:pPr>
        <w:pStyle w:val="NoteLevel3"/>
        <w:numPr>
          <w:ilvl w:val="0"/>
          <w:numId w:val="0"/>
        </w:numPr>
        <w:ind w:left="1800"/>
        <w:rPr>
          <w:rFonts w:ascii="Times" w:hAnsi="Times"/>
        </w:rPr>
      </w:pPr>
      <w:r>
        <w:rPr>
          <w:rFonts w:ascii="Times" w:hAnsi="Times"/>
        </w:rPr>
        <w:t xml:space="preserve">4) The nature of the interest of the affected </w:t>
      </w:r>
    </w:p>
    <w:p w14:paraId="0D118FF4" w14:textId="5BEAA528" w:rsidR="00370225" w:rsidRDefault="00370225" w:rsidP="00370225">
      <w:pPr>
        <w:pStyle w:val="NoteLevel3"/>
        <w:rPr>
          <w:rFonts w:ascii="Times" w:hAnsi="Times"/>
        </w:rPr>
      </w:pPr>
      <w:r>
        <w:rPr>
          <w:rFonts w:ascii="Times" w:hAnsi="Times"/>
          <w:i/>
        </w:rPr>
        <w:t>Law</w:t>
      </w:r>
      <w:r>
        <w:rPr>
          <w:rFonts w:ascii="Times" w:hAnsi="Times"/>
        </w:rPr>
        <w:t xml:space="preserve"> confirmed the </w:t>
      </w:r>
      <w:r>
        <w:rPr>
          <w:rFonts w:ascii="Times" w:hAnsi="Times"/>
          <w:i/>
        </w:rPr>
        <w:t>Andrews</w:t>
      </w:r>
      <w:r>
        <w:rPr>
          <w:rFonts w:ascii="Times" w:hAnsi="Times"/>
        </w:rPr>
        <w:t xml:space="preserve">’ interpretation of s.15 as a guarantee of substantive equality, and not just formal equality </w:t>
      </w:r>
    </w:p>
    <w:p w14:paraId="40438491" w14:textId="71FDA7F5" w:rsidR="00FC52DA" w:rsidRDefault="00FF135B" w:rsidP="00EE2C68">
      <w:pPr>
        <w:pStyle w:val="NoteLevel2"/>
        <w:rPr>
          <w:rFonts w:ascii="Times" w:hAnsi="Times"/>
        </w:rPr>
      </w:pPr>
      <w:r>
        <w:rPr>
          <w:rFonts w:ascii="Times" w:hAnsi="Times"/>
        </w:rPr>
        <w:t>Difficulties</w:t>
      </w:r>
      <w:r w:rsidR="00EE2C68">
        <w:rPr>
          <w:rFonts w:ascii="Times" w:hAnsi="Times"/>
        </w:rPr>
        <w:t xml:space="preserve"> have arisen from the attempt in </w:t>
      </w:r>
      <w:r w:rsidR="00EE2C68">
        <w:rPr>
          <w:rFonts w:ascii="Times" w:hAnsi="Times"/>
          <w:i/>
        </w:rPr>
        <w:t>Law</w:t>
      </w:r>
      <w:r w:rsidR="00EE2C68">
        <w:rPr>
          <w:rFonts w:ascii="Times" w:hAnsi="Times"/>
        </w:rPr>
        <w:t xml:space="preserve"> to employ human dignity </w:t>
      </w:r>
      <w:r w:rsidR="00EE2C68">
        <w:rPr>
          <w:rFonts w:ascii="Times" w:hAnsi="Times"/>
          <w:i/>
        </w:rPr>
        <w:t>as a legal test</w:t>
      </w:r>
    </w:p>
    <w:p w14:paraId="23712E24" w14:textId="759FD154" w:rsidR="00E164BB" w:rsidRDefault="00E164BB" w:rsidP="00E164BB">
      <w:pPr>
        <w:pStyle w:val="NoteLevel3"/>
        <w:rPr>
          <w:rFonts w:ascii="Times" w:hAnsi="Times"/>
        </w:rPr>
      </w:pPr>
      <w:r>
        <w:rPr>
          <w:rFonts w:ascii="Times" w:hAnsi="Times"/>
        </w:rPr>
        <w:t>Human dignity is an abstract and subjective notion that, even with the guidance of 4 contextual factors, cannot only become confusing &amp; difficult to apply, but has been shown to put an additional burden on equality claimants, rather than the philosophical enhancement it was intended to</w:t>
      </w:r>
    </w:p>
    <w:p w14:paraId="5A8684C1" w14:textId="06018EFF" w:rsidR="00E164BB" w:rsidRDefault="00B5749E" w:rsidP="00B5749E">
      <w:pPr>
        <w:pStyle w:val="NoteLevel2"/>
        <w:rPr>
          <w:rFonts w:ascii="Times" w:hAnsi="Times"/>
        </w:rPr>
      </w:pPr>
      <w:r>
        <w:rPr>
          <w:rFonts w:ascii="Times" w:hAnsi="Times"/>
        </w:rPr>
        <w:t xml:space="preserve">The 4 factors cited in </w:t>
      </w:r>
      <w:r>
        <w:rPr>
          <w:rFonts w:ascii="Times" w:hAnsi="Times"/>
          <w:i/>
        </w:rPr>
        <w:t>Law</w:t>
      </w:r>
      <w:r>
        <w:rPr>
          <w:rFonts w:ascii="Times" w:hAnsi="Times"/>
        </w:rPr>
        <w:t xml:space="preserve"> are based on and relate to the identification in </w:t>
      </w:r>
      <w:r>
        <w:rPr>
          <w:rFonts w:ascii="Times" w:hAnsi="Times"/>
          <w:i/>
        </w:rPr>
        <w:t>Andrews</w:t>
      </w:r>
      <w:r>
        <w:rPr>
          <w:rFonts w:ascii="Times" w:hAnsi="Times"/>
        </w:rPr>
        <w:t xml:space="preserve"> of perpetuation of disadvantage and stereotyping as the primary indicators of discrimination </w:t>
      </w:r>
    </w:p>
    <w:p w14:paraId="7FCAAD0C" w14:textId="51E43D46" w:rsidR="005637F2" w:rsidRDefault="005637F2" w:rsidP="005637F2">
      <w:pPr>
        <w:pStyle w:val="NoteLevel3"/>
        <w:rPr>
          <w:rFonts w:ascii="Times" w:hAnsi="Times"/>
        </w:rPr>
      </w:pPr>
      <w:r>
        <w:rPr>
          <w:rFonts w:ascii="Times" w:hAnsi="Times"/>
        </w:rPr>
        <w:t xml:space="preserve">The pre-existing disadvantage and the nature of the interest affected (factors 1&amp;4 in </w:t>
      </w:r>
      <w:r>
        <w:rPr>
          <w:rFonts w:ascii="Times" w:hAnsi="Times"/>
          <w:i/>
        </w:rPr>
        <w:t>Law</w:t>
      </w:r>
      <w:r>
        <w:rPr>
          <w:rFonts w:ascii="Times" w:hAnsi="Times"/>
        </w:rPr>
        <w:t>) go to perpetuation of disadvantage &amp; prejudice, while the 2</w:t>
      </w:r>
      <w:r w:rsidRPr="005637F2">
        <w:rPr>
          <w:rFonts w:ascii="Times" w:hAnsi="Times"/>
          <w:vertAlign w:val="superscript"/>
        </w:rPr>
        <w:t>nd</w:t>
      </w:r>
      <w:r>
        <w:rPr>
          <w:rFonts w:ascii="Times" w:hAnsi="Times"/>
        </w:rPr>
        <w:t xml:space="preserve"> factor deals w/ stereotyping </w:t>
      </w:r>
    </w:p>
    <w:p w14:paraId="687996BA" w14:textId="6ECAF7A5" w:rsidR="005637F2" w:rsidRDefault="005637F2" w:rsidP="005637F2">
      <w:pPr>
        <w:pStyle w:val="NoteLevel3"/>
        <w:rPr>
          <w:rFonts w:ascii="Times" w:hAnsi="Times"/>
        </w:rPr>
      </w:pPr>
      <w:r>
        <w:rPr>
          <w:rFonts w:ascii="Times" w:hAnsi="Times"/>
        </w:rPr>
        <w:t>The ameliorative purpose or effect of a law or program (3</w:t>
      </w:r>
      <w:r w:rsidRPr="005637F2">
        <w:rPr>
          <w:rFonts w:ascii="Times" w:hAnsi="Times"/>
          <w:vertAlign w:val="superscript"/>
        </w:rPr>
        <w:t>rd</w:t>
      </w:r>
      <w:r>
        <w:rPr>
          <w:rFonts w:ascii="Times" w:hAnsi="Times"/>
        </w:rPr>
        <w:t xml:space="preserve"> factor in </w:t>
      </w:r>
      <w:r>
        <w:rPr>
          <w:rFonts w:ascii="Times" w:hAnsi="Times"/>
          <w:i/>
        </w:rPr>
        <w:t>Law</w:t>
      </w:r>
      <w:r>
        <w:rPr>
          <w:rFonts w:ascii="Times" w:hAnsi="Times"/>
        </w:rPr>
        <w:t xml:space="preserve">) goes to whether the purpose is remedial w/n the meaning of s.15(2) </w:t>
      </w:r>
    </w:p>
    <w:p w14:paraId="3C0F78A0" w14:textId="7FFC75DF" w:rsidR="004733E9" w:rsidRDefault="004733E9" w:rsidP="005637F2">
      <w:pPr>
        <w:pStyle w:val="NoteLevel3"/>
        <w:rPr>
          <w:rFonts w:ascii="Times" w:hAnsi="Times"/>
        </w:rPr>
      </w:pPr>
      <w:r>
        <w:rPr>
          <w:rFonts w:ascii="Times" w:hAnsi="Times"/>
        </w:rPr>
        <w:t xml:space="preserve">Viewed this way, </w:t>
      </w:r>
      <w:r>
        <w:rPr>
          <w:rFonts w:ascii="Times" w:hAnsi="Times"/>
          <w:i/>
        </w:rPr>
        <w:t>Law</w:t>
      </w:r>
      <w:r>
        <w:rPr>
          <w:rFonts w:ascii="Times" w:hAnsi="Times"/>
        </w:rPr>
        <w:t xml:space="preserve"> doesn’t impose a new &amp; distinctive test for discrimination, but affirms the approach to substantive equality under s.15 set out in </w:t>
      </w:r>
      <w:r>
        <w:rPr>
          <w:rFonts w:ascii="Times" w:hAnsi="Times"/>
          <w:i/>
        </w:rPr>
        <w:t>Andrews</w:t>
      </w:r>
      <w:r>
        <w:rPr>
          <w:rFonts w:ascii="Times" w:hAnsi="Times"/>
        </w:rPr>
        <w:t xml:space="preserve"> and developed in a number of subsequent cases</w:t>
      </w:r>
    </w:p>
    <w:p w14:paraId="05FE1872" w14:textId="05E5294A" w:rsidR="004733E9" w:rsidRDefault="00EA43BF" w:rsidP="005637F2">
      <w:pPr>
        <w:pStyle w:val="NoteLevel3"/>
        <w:rPr>
          <w:rFonts w:ascii="Times" w:hAnsi="Times"/>
        </w:rPr>
      </w:pPr>
      <w:r>
        <w:rPr>
          <w:rFonts w:ascii="Times" w:hAnsi="Times"/>
        </w:rPr>
        <w:t xml:space="preserve">The factors in </w:t>
      </w:r>
      <w:r>
        <w:rPr>
          <w:rFonts w:ascii="Times" w:hAnsi="Times"/>
          <w:i/>
        </w:rPr>
        <w:t>Law</w:t>
      </w:r>
      <w:r>
        <w:rPr>
          <w:rFonts w:ascii="Times" w:hAnsi="Times"/>
        </w:rPr>
        <w:t xml:space="preserve"> should not be read literally as if they were legislative dispositions, but as a way of focusing on the central concern of s.15 identified din </w:t>
      </w:r>
      <w:r>
        <w:rPr>
          <w:rFonts w:ascii="Times" w:hAnsi="Times"/>
          <w:i/>
        </w:rPr>
        <w:t>Andrews</w:t>
      </w:r>
      <w:r>
        <w:rPr>
          <w:rFonts w:ascii="Times" w:hAnsi="Times"/>
        </w:rPr>
        <w:t xml:space="preserve">—combatting discrimination, defined in terms of perpetuating disadvantage and stereotyping </w:t>
      </w:r>
    </w:p>
    <w:p w14:paraId="3922062A" w14:textId="3B320891" w:rsidR="00AB0D09" w:rsidRDefault="00AB0D09" w:rsidP="00AB0D09">
      <w:pPr>
        <w:pStyle w:val="NoteLevel2"/>
        <w:rPr>
          <w:rFonts w:ascii="Times" w:hAnsi="Times"/>
        </w:rPr>
      </w:pPr>
      <w:r>
        <w:rPr>
          <w:rFonts w:ascii="Times" w:hAnsi="Times"/>
        </w:rPr>
        <w:t>The central purpose of combatting discrimination, as discussed, underlies both s.15(1) and s. 15(2)</w:t>
      </w:r>
    </w:p>
    <w:p w14:paraId="6953495B" w14:textId="3FF0C17B" w:rsidR="00AB0D09" w:rsidRDefault="00AB0D09" w:rsidP="00AB0D09">
      <w:pPr>
        <w:pStyle w:val="NoteLevel3"/>
        <w:rPr>
          <w:rFonts w:ascii="Times" w:hAnsi="Times"/>
        </w:rPr>
      </w:pPr>
      <w:r>
        <w:rPr>
          <w:rFonts w:ascii="Times" w:hAnsi="Times"/>
        </w:rPr>
        <w:t xml:space="preserve">Under 15(1), the focus is on preventing gov’ts from making distinctions based on the enumerated or analogous grounds that: have the effect of perpetuating group disadvantage and prejudice; or impose disadvantage on the basis of stereotyping </w:t>
      </w:r>
    </w:p>
    <w:p w14:paraId="20964564" w14:textId="7766D219" w:rsidR="00AB0D09" w:rsidRDefault="00AB0D09" w:rsidP="00AB0D09">
      <w:pPr>
        <w:pStyle w:val="NoteLevel3"/>
        <w:rPr>
          <w:rFonts w:ascii="Times" w:hAnsi="Times"/>
        </w:rPr>
      </w:pPr>
      <w:r>
        <w:rPr>
          <w:rFonts w:ascii="Times" w:hAnsi="Times"/>
        </w:rPr>
        <w:t>Under 15(2), the focus is on enabling gov’ts to pro-actively combat existing discrimination through affirmative</w:t>
      </w:r>
      <w:r w:rsidR="00FA16F4">
        <w:rPr>
          <w:rFonts w:ascii="Times" w:hAnsi="Times"/>
        </w:rPr>
        <w:t xml:space="preserve"> measures </w:t>
      </w:r>
    </w:p>
    <w:p w14:paraId="76883BB7" w14:textId="77777777" w:rsidR="008C7544" w:rsidRDefault="008C7544" w:rsidP="008C7544">
      <w:pPr>
        <w:pStyle w:val="NoteLevel1"/>
        <w:rPr>
          <w:rFonts w:ascii="Times" w:hAnsi="Times"/>
        </w:rPr>
      </w:pPr>
    </w:p>
    <w:p w14:paraId="4705F41C" w14:textId="1CD54B1D" w:rsidR="006930E3" w:rsidRPr="006930E3" w:rsidRDefault="006930E3" w:rsidP="00BE0910">
      <w:pPr>
        <w:pStyle w:val="NoteLevel1"/>
        <w:rPr>
          <w:rFonts w:ascii="Times" w:hAnsi="Times"/>
        </w:rPr>
      </w:pPr>
      <w:bookmarkStart w:id="8" w:name="_GoBack"/>
      <w:bookmarkEnd w:id="8"/>
    </w:p>
    <w:sectPr w:rsidR="006930E3" w:rsidRPr="006930E3" w:rsidSect="00BE0910">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DF1C73" w14:textId="77777777" w:rsidR="00BE0910" w:rsidRDefault="00BE0910" w:rsidP="00180B4B">
      <w:r>
        <w:separator/>
      </w:r>
    </w:p>
  </w:endnote>
  <w:endnote w:type="continuationSeparator" w:id="0">
    <w:p w14:paraId="41F7DCD9" w14:textId="77777777" w:rsidR="00BE0910" w:rsidRDefault="00BE0910" w:rsidP="00180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C5CAA3" w14:textId="77777777" w:rsidR="00BE0910" w:rsidRDefault="00BE0910" w:rsidP="00180B4B">
      <w:r>
        <w:separator/>
      </w:r>
    </w:p>
  </w:footnote>
  <w:footnote w:type="continuationSeparator" w:id="0">
    <w:p w14:paraId="3B38B64C" w14:textId="77777777" w:rsidR="00BE0910" w:rsidRDefault="00BE0910" w:rsidP="00180B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11279" w14:textId="77777777" w:rsidR="00BE0910" w:rsidRPr="006050ED" w:rsidRDefault="00BE0910" w:rsidP="00180B4B">
    <w:pPr>
      <w:pStyle w:val="Header"/>
      <w:tabs>
        <w:tab w:val="clear" w:pos="4320"/>
        <w:tab w:val="clear" w:pos="8640"/>
        <w:tab w:val="right" w:pos="9720"/>
      </w:tabs>
      <w:ind w:left="-360"/>
      <w:rPr>
        <w:rFonts w:ascii="Times" w:hAnsi="Times"/>
        <w:b/>
        <w:sz w:val="40"/>
        <w:szCs w:val="40"/>
      </w:rPr>
    </w:pPr>
    <w:bookmarkStart w:id="0" w:name="_WNSectionTitle"/>
    <w:bookmarkStart w:id="1" w:name="_WNTabType_0"/>
    <w:r w:rsidRPr="006050ED">
      <w:rPr>
        <w:rFonts w:ascii="Times" w:hAnsi="Times"/>
        <w:b/>
        <w:sz w:val="40"/>
        <w:szCs w:val="40"/>
      </w:rPr>
      <w:t xml:space="preserve">Laws 3509 Charter of Rights Topics: Reading Notes </w:t>
    </w:r>
  </w:p>
  <w:p w14:paraId="6FAE6679" w14:textId="3E31AB08" w:rsidR="00BE0910" w:rsidRPr="006050ED" w:rsidRDefault="00BE0910" w:rsidP="00180B4B">
    <w:pPr>
      <w:pStyle w:val="Header"/>
      <w:tabs>
        <w:tab w:val="clear" w:pos="4320"/>
        <w:tab w:val="clear" w:pos="8640"/>
        <w:tab w:val="right" w:pos="9720"/>
      </w:tabs>
      <w:ind w:left="-360"/>
      <w:rPr>
        <w:rFonts w:ascii="Times" w:hAnsi="Times"/>
        <w:sz w:val="40"/>
        <w:szCs w:val="40"/>
      </w:rPr>
    </w:pPr>
    <w:r>
      <w:rPr>
        <w:rFonts w:ascii="Times" w:hAnsi="Times"/>
        <w:sz w:val="36"/>
        <w:szCs w:val="36"/>
      </w:rPr>
      <w:t xml:space="preserve">Introductory Lecture </w:t>
    </w:r>
    <w:r>
      <w:rPr>
        <w:rFonts w:ascii="Verdana" w:hAnsi="Verdana"/>
        <w:sz w:val="36"/>
        <w:szCs w:val="36"/>
      </w:rPr>
      <w:tab/>
    </w:r>
    <w:r>
      <w:rPr>
        <w:rFonts w:ascii="Times" w:hAnsi="Times"/>
        <w:sz w:val="22"/>
        <w:szCs w:val="22"/>
      </w:rPr>
      <w:fldChar w:fldCharType="begin"/>
    </w:r>
    <w:r w:rsidRPr="006050ED">
      <w:rPr>
        <w:rFonts w:ascii="Times" w:hAnsi="Times"/>
      </w:rPr>
      <w:instrText xml:space="preserve"> SAVEDATE </w:instrText>
    </w:r>
    <w:r>
      <w:rPr>
        <w:rFonts w:ascii="Times" w:hAnsi="Times"/>
        <w:sz w:val="22"/>
        <w:szCs w:val="22"/>
      </w:rPr>
      <w:fldChar w:fldCharType="separate"/>
    </w:r>
    <w:r w:rsidR="00F3353E">
      <w:rPr>
        <w:rFonts w:ascii="Times" w:hAnsi="Times"/>
        <w:noProof/>
      </w:rPr>
      <w:t>14-04-09 1:11 PM</w:t>
    </w:r>
    <w:r>
      <w:rPr>
        <w:rFonts w:ascii="Times" w:hAnsi="Times"/>
        <w:sz w:val="22"/>
        <w:szCs w:val="22"/>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DE4FC0" w14:textId="0A4BEA80" w:rsidR="00BE0910" w:rsidRPr="009F6862" w:rsidRDefault="00BE0910">
    <w:pPr>
      <w:pStyle w:val="Header"/>
      <w:tabs>
        <w:tab w:val="clear" w:pos="4320"/>
        <w:tab w:val="clear" w:pos="8640"/>
        <w:tab w:val="right" w:pos="9720"/>
      </w:tabs>
      <w:ind w:left="-360"/>
      <w:rPr>
        <w:rFonts w:ascii="Times" w:hAnsi="Times"/>
        <w:sz w:val="22"/>
        <w:szCs w:val="22"/>
      </w:rPr>
    </w:pPr>
    <w:bookmarkStart w:id="2" w:name="_WNSectionTitle_2"/>
    <w:bookmarkStart w:id="3" w:name="_WNTabType_1"/>
    <w:r>
      <w:rPr>
        <w:rFonts w:ascii="Times" w:hAnsi="Times"/>
        <w:sz w:val="36"/>
        <w:szCs w:val="36"/>
      </w:rPr>
      <w:t xml:space="preserve">Lecture Two: Application of the </w:t>
    </w:r>
    <w:r>
      <w:rPr>
        <w:rFonts w:ascii="Times" w:hAnsi="Times"/>
        <w:i/>
        <w:sz w:val="36"/>
        <w:szCs w:val="36"/>
      </w:rPr>
      <w:t>Charter</w:t>
    </w:r>
    <w:r>
      <w:rPr>
        <w:rFonts w:ascii="Times" w:hAnsi="Times"/>
        <w:sz w:val="36"/>
        <w:szCs w:val="36"/>
      </w:rPr>
      <w:t xml:space="preserve"> and the Notwithstanding Clause </w:t>
    </w:r>
    <w:r>
      <w:rPr>
        <w:rFonts w:ascii="Verdana" w:hAnsi="Verdana"/>
        <w:sz w:val="36"/>
        <w:szCs w:val="36"/>
      </w:rPr>
      <w:tab/>
    </w:r>
    <w:r>
      <w:rPr>
        <w:rFonts w:ascii="Verdana" w:hAnsi="Verdana"/>
        <w:sz w:val="36"/>
        <w:szCs w:val="36"/>
      </w:rPr>
      <w:fldChar w:fldCharType="begin"/>
    </w:r>
    <w:r w:rsidRPr="009F6862">
      <w:rPr>
        <w:rFonts w:ascii="Times" w:hAnsi="Times"/>
      </w:rPr>
      <w:instrText xml:space="preserve"> SAVEDATE </w:instrText>
    </w:r>
    <w:r>
      <w:rPr>
        <w:rFonts w:ascii="Verdana" w:hAnsi="Verdana"/>
        <w:sz w:val="36"/>
        <w:szCs w:val="36"/>
      </w:rPr>
      <w:fldChar w:fldCharType="separate"/>
    </w:r>
    <w:r w:rsidR="00F3353E">
      <w:rPr>
        <w:rFonts w:ascii="Times" w:hAnsi="Times"/>
        <w:noProof/>
      </w:rPr>
      <w:t>14-04-09 1:11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4F600" w14:textId="42195A7E" w:rsidR="00BE0910" w:rsidRPr="00E31ED5" w:rsidRDefault="00BE0910">
    <w:pPr>
      <w:pStyle w:val="Header"/>
      <w:tabs>
        <w:tab w:val="clear" w:pos="4320"/>
        <w:tab w:val="clear" w:pos="8640"/>
        <w:tab w:val="right" w:pos="9720"/>
      </w:tabs>
      <w:ind w:left="-360"/>
      <w:rPr>
        <w:rFonts w:ascii="Times" w:hAnsi="Times"/>
        <w:sz w:val="22"/>
        <w:szCs w:val="22"/>
      </w:rPr>
    </w:pPr>
    <w:bookmarkStart w:id="4" w:name="_WNSectionTitle_3"/>
    <w:bookmarkStart w:id="5" w:name="_WNTabType_2"/>
    <w:r>
      <w:rPr>
        <w:rFonts w:ascii="Times" w:hAnsi="Times"/>
        <w:sz w:val="36"/>
        <w:szCs w:val="36"/>
      </w:rPr>
      <w:t xml:space="preserve">Lecture Three: Limitation Clause (Justification) and Constitutional Remedies </w:t>
    </w:r>
    <w:r>
      <w:rPr>
        <w:rFonts w:ascii="Verdana" w:hAnsi="Verdana"/>
        <w:sz w:val="36"/>
        <w:szCs w:val="36"/>
      </w:rPr>
      <w:tab/>
    </w:r>
    <w:r w:rsidRPr="00E31ED5">
      <w:rPr>
        <w:rFonts w:ascii="Times" w:hAnsi="Times"/>
        <w:sz w:val="22"/>
        <w:szCs w:val="22"/>
      </w:rPr>
      <w:fldChar w:fldCharType="begin"/>
    </w:r>
    <w:r w:rsidRPr="00E31ED5">
      <w:rPr>
        <w:rFonts w:ascii="Times" w:hAnsi="Times"/>
        <w:sz w:val="22"/>
        <w:szCs w:val="22"/>
      </w:rPr>
      <w:instrText xml:space="preserve"> SAVEDATE </w:instrText>
    </w:r>
    <w:r w:rsidRPr="00E31ED5">
      <w:rPr>
        <w:rFonts w:ascii="Times" w:hAnsi="Times"/>
        <w:sz w:val="22"/>
        <w:szCs w:val="22"/>
      </w:rPr>
      <w:fldChar w:fldCharType="separate"/>
    </w:r>
    <w:r w:rsidR="00F3353E">
      <w:rPr>
        <w:rFonts w:ascii="Times" w:hAnsi="Times"/>
        <w:noProof/>
        <w:sz w:val="22"/>
        <w:szCs w:val="22"/>
      </w:rPr>
      <w:t>14-04-09 1:11 PM</w:t>
    </w:r>
    <w:r w:rsidRPr="00E31ED5">
      <w:rPr>
        <w:rFonts w:ascii="Times" w:hAnsi="Times"/>
        <w:sz w:val="22"/>
        <w:szCs w:val="22"/>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98693" w14:textId="410CE3C9" w:rsidR="00BE0910" w:rsidRDefault="00BE0910">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CD0B8B">
      <w:rPr>
        <w:rFonts w:ascii="Times" w:hAnsi="Times"/>
        <w:sz w:val="36"/>
        <w:szCs w:val="36"/>
      </w:rPr>
      <w:t>Lecture Four: The Purposive and Contextual Approach to Equality</w:t>
    </w:r>
    <w:r>
      <w:rPr>
        <w:rFonts w:ascii="Verdana" w:hAnsi="Verdana"/>
        <w:sz w:val="36"/>
        <w:szCs w:val="36"/>
      </w:rPr>
      <w:t xml:space="preserve"> </w:t>
    </w:r>
    <w:r>
      <w:rPr>
        <w:rFonts w:ascii="Verdana" w:hAnsi="Verdana"/>
        <w:sz w:val="36"/>
        <w:szCs w:val="36"/>
      </w:rPr>
      <w:tab/>
    </w:r>
    <w:r w:rsidRPr="00CD0B8B">
      <w:rPr>
        <w:rFonts w:ascii="Times" w:hAnsi="Times"/>
        <w:sz w:val="22"/>
        <w:szCs w:val="22"/>
      </w:rPr>
      <w:fldChar w:fldCharType="begin"/>
    </w:r>
    <w:r w:rsidRPr="00CD0B8B">
      <w:rPr>
        <w:rFonts w:ascii="Times" w:hAnsi="Times"/>
        <w:sz w:val="22"/>
        <w:szCs w:val="22"/>
      </w:rPr>
      <w:instrText xml:space="preserve"> SAVEDATE </w:instrText>
    </w:r>
    <w:r w:rsidRPr="00CD0B8B">
      <w:rPr>
        <w:rFonts w:ascii="Times" w:hAnsi="Times"/>
        <w:sz w:val="22"/>
        <w:szCs w:val="22"/>
      </w:rPr>
      <w:fldChar w:fldCharType="separate"/>
    </w:r>
    <w:r w:rsidR="00F3353E">
      <w:rPr>
        <w:rFonts w:ascii="Times" w:hAnsi="Times"/>
        <w:noProof/>
        <w:sz w:val="22"/>
        <w:szCs w:val="22"/>
      </w:rPr>
      <w:t>14-04-09 1:11 PM</w:t>
    </w:r>
    <w:r w:rsidRPr="00CD0B8B">
      <w:rPr>
        <w:rFonts w:ascii="Times" w:hAnsi="Times"/>
        <w:sz w:val="22"/>
        <w:szCs w:val="22"/>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0CDC4E" w14:textId="77777777" w:rsidR="00BE0910" w:rsidRDefault="00BE0910">
    <w:pPr>
      <w:pStyle w:val="Header"/>
      <w:tabs>
        <w:tab w:val="clear" w:pos="4320"/>
        <w:tab w:val="clear" w:pos="8640"/>
        <w:tab w:val="right" w:pos="9720"/>
      </w:tabs>
      <w:ind w:left="-360"/>
      <w:rPr>
        <w:rFonts w:ascii="Times" w:hAnsi="Times"/>
        <w:sz w:val="36"/>
        <w:szCs w:val="36"/>
      </w:rPr>
    </w:pPr>
    <w:bookmarkStart w:id="9" w:name="_WNSectionTitle_5"/>
    <w:bookmarkStart w:id="10" w:name="_WNTabType_4"/>
    <w:r>
      <w:rPr>
        <w:rFonts w:ascii="Times" w:hAnsi="Times"/>
        <w:sz w:val="36"/>
        <w:szCs w:val="36"/>
      </w:rPr>
      <w:t xml:space="preserve">The Purposive and Contextual Approach to Equality Re-Defined </w:t>
    </w:r>
  </w:p>
  <w:p w14:paraId="2155F37E" w14:textId="5B6CA215" w:rsidR="00BE0910" w:rsidRPr="00A21F3C" w:rsidRDefault="00BE0910">
    <w:pPr>
      <w:pStyle w:val="Header"/>
      <w:tabs>
        <w:tab w:val="clear" w:pos="4320"/>
        <w:tab w:val="clear" w:pos="8640"/>
        <w:tab w:val="right" w:pos="9720"/>
      </w:tabs>
      <w:ind w:left="-360"/>
      <w:rPr>
        <w:rFonts w:ascii="Times" w:hAnsi="Times"/>
        <w:sz w:val="22"/>
        <w:szCs w:val="22"/>
      </w:rPr>
    </w:pPr>
    <w:r>
      <w:rPr>
        <w:rFonts w:ascii="Verdana" w:hAnsi="Verdana"/>
        <w:sz w:val="36"/>
        <w:szCs w:val="36"/>
      </w:rPr>
      <w:tab/>
    </w:r>
    <w:r w:rsidRPr="00A21F3C">
      <w:rPr>
        <w:rFonts w:ascii="Times" w:hAnsi="Times"/>
        <w:sz w:val="22"/>
        <w:szCs w:val="22"/>
      </w:rPr>
      <w:fldChar w:fldCharType="begin"/>
    </w:r>
    <w:r w:rsidRPr="00A21F3C">
      <w:rPr>
        <w:rFonts w:ascii="Times" w:hAnsi="Times"/>
        <w:sz w:val="22"/>
        <w:szCs w:val="22"/>
      </w:rPr>
      <w:instrText xml:space="preserve"> SAVEDATE </w:instrText>
    </w:r>
    <w:r w:rsidRPr="00A21F3C">
      <w:rPr>
        <w:rFonts w:ascii="Times" w:hAnsi="Times"/>
        <w:sz w:val="22"/>
        <w:szCs w:val="22"/>
      </w:rPr>
      <w:fldChar w:fldCharType="separate"/>
    </w:r>
    <w:r w:rsidR="00F3353E">
      <w:rPr>
        <w:rFonts w:ascii="Times" w:hAnsi="Times"/>
        <w:noProof/>
        <w:sz w:val="22"/>
        <w:szCs w:val="22"/>
      </w:rPr>
      <w:t>14-04-09 1:11 PM</w:t>
    </w:r>
    <w:r w:rsidRPr="00A21F3C">
      <w:rPr>
        <w:rFonts w:ascii="Times" w:hAnsi="Times"/>
        <w:sz w:val="22"/>
        <w:szCs w:val="22"/>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63EC6D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E2E363D"/>
    <w:multiLevelType w:val="hybridMultilevel"/>
    <w:tmpl w:val="02CEF358"/>
    <w:lvl w:ilvl="0" w:tplc="A9C46312">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1052F8D"/>
    <w:multiLevelType w:val="hybridMultilevel"/>
    <w:tmpl w:val="C55E1E34"/>
    <w:lvl w:ilvl="0" w:tplc="C67636C0">
      <w:start w:val="4"/>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540EC7"/>
    <w:multiLevelType w:val="hybridMultilevel"/>
    <w:tmpl w:val="897E4DDA"/>
    <w:lvl w:ilvl="0" w:tplc="5E9AC524">
      <w:start w:val="1"/>
      <w:numFmt w:val="decimal"/>
      <w:lvlText w:val="%1)"/>
      <w:lvlJc w:val="left"/>
      <w:pPr>
        <w:ind w:left="1800" w:firstLine="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2E4B2D1F"/>
    <w:multiLevelType w:val="hybridMultilevel"/>
    <w:tmpl w:val="2D3EF422"/>
    <w:lvl w:ilvl="0" w:tplc="76422984">
      <w:start w:val="1"/>
      <w:numFmt w:val="decimal"/>
      <w:lvlText w:val="%1)"/>
      <w:lvlJc w:val="left"/>
      <w:pPr>
        <w:ind w:left="1800" w:firstLine="0"/>
      </w:pPr>
      <w:rPr>
        <w:rFonts w:hint="default"/>
        <w:b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2F451617"/>
    <w:multiLevelType w:val="hybridMultilevel"/>
    <w:tmpl w:val="D50A852A"/>
    <w:lvl w:ilvl="0" w:tplc="16F04E8C">
      <w:start w:val="1"/>
      <w:numFmt w:val="decimal"/>
      <w:lvlText w:val="%1)"/>
      <w:lvlJc w:val="left"/>
      <w:pPr>
        <w:ind w:left="3600" w:hanging="1800"/>
      </w:pPr>
      <w:rPr>
        <w:rFonts w:hint="default"/>
        <w:b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399421C8"/>
    <w:multiLevelType w:val="hybridMultilevel"/>
    <w:tmpl w:val="00E0D4F8"/>
    <w:lvl w:ilvl="0" w:tplc="EBD278B4">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9640BD9"/>
    <w:multiLevelType w:val="hybridMultilevel"/>
    <w:tmpl w:val="6C4C0836"/>
    <w:lvl w:ilvl="0" w:tplc="4E046E50">
      <w:start w:val="1"/>
      <w:numFmt w:val="lowerLetter"/>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63207BAC"/>
    <w:multiLevelType w:val="hybridMultilevel"/>
    <w:tmpl w:val="480C414A"/>
    <w:lvl w:ilvl="0" w:tplc="624ECBE2">
      <w:numFmt w:val="bullet"/>
      <w:lvlText w:val="-"/>
      <w:lvlJc w:val="left"/>
      <w:pPr>
        <w:ind w:left="360" w:firstLine="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9B27AF"/>
    <w:multiLevelType w:val="hybridMultilevel"/>
    <w:tmpl w:val="396A1282"/>
    <w:lvl w:ilvl="0" w:tplc="44AE151C">
      <w:start w:val="1"/>
      <w:numFmt w:val="decimal"/>
      <w:lvlText w:val="%1)"/>
      <w:lvlJc w:val="left"/>
      <w:pPr>
        <w:ind w:left="3600" w:hanging="180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E4056DD"/>
    <w:multiLevelType w:val="hybridMultilevel"/>
    <w:tmpl w:val="5CA24DF0"/>
    <w:lvl w:ilvl="0" w:tplc="DA6ACE34">
      <w:start w:val="1"/>
      <w:numFmt w:val="lowerLetter"/>
      <w:lvlText w:val="%1)"/>
      <w:lvlJc w:val="left"/>
      <w:pPr>
        <w:ind w:left="3600" w:hanging="180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7"/>
  </w:num>
  <w:num w:numId="3">
    <w:abstractNumId w:val="9"/>
  </w:num>
  <w:num w:numId="4">
    <w:abstractNumId w:val="3"/>
  </w:num>
  <w:num w:numId="5">
    <w:abstractNumId w:val="10"/>
  </w:num>
  <w:num w:numId="6">
    <w:abstractNumId w:val="1"/>
  </w:num>
  <w:num w:numId="7">
    <w:abstractNumId w:val="2"/>
  </w:num>
  <w:num w:numId="8">
    <w:abstractNumId w:val="6"/>
  </w:num>
  <w:num w:numId="9">
    <w:abstractNumId w:val="8"/>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9"/>
    <w:docVar w:name="_WNSectionTitle" w:val="Sept. 9th"/>
    <w:docVar w:name="_WNSectionTitle_2" w:val="Sept. 16th"/>
    <w:docVar w:name="_WNSectionTitle_3" w:val="Sept. 23rd"/>
    <w:docVar w:name="_WNSectionTitle_4" w:val="Sept. 30th"/>
    <w:docVar w:name="_WNSectionTitle_5" w:val="Oct. 7th"/>
    <w:docVar w:name="_WNSectionTitle_6" w:val="Section 6"/>
    <w:docVar w:name="_WNTabType_0" w:val="0"/>
    <w:docVar w:name="_WNTabType_1" w:val="1"/>
    <w:docVar w:name="_WNTabType_2" w:val="3"/>
    <w:docVar w:name="_WNTabType_3" w:val="4"/>
    <w:docVar w:name="_WNTabType_4" w:val="5"/>
    <w:docVar w:name="_WNTabType_5" w:val="2"/>
    <w:docVar w:name="EnableWordNotes" w:val="0"/>
  </w:docVars>
  <w:rsids>
    <w:rsidRoot w:val="00180B4B"/>
    <w:rsid w:val="00001A59"/>
    <w:rsid w:val="000B105C"/>
    <w:rsid w:val="000B106D"/>
    <w:rsid w:val="000B6E20"/>
    <w:rsid w:val="000B6F74"/>
    <w:rsid w:val="000C43AB"/>
    <w:rsid w:val="000D7A36"/>
    <w:rsid w:val="000E0EBF"/>
    <w:rsid w:val="000E173B"/>
    <w:rsid w:val="000F7F05"/>
    <w:rsid w:val="0011585A"/>
    <w:rsid w:val="0011597C"/>
    <w:rsid w:val="00144D0A"/>
    <w:rsid w:val="00180B4B"/>
    <w:rsid w:val="00190295"/>
    <w:rsid w:val="001A2F03"/>
    <w:rsid w:val="001B17E3"/>
    <w:rsid w:val="001C6D95"/>
    <w:rsid w:val="001E367F"/>
    <w:rsid w:val="001E601D"/>
    <w:rsid w:val="002062A6"/>
    <w:rsid w:val="00207228"/>
    <w:rsid w:val="00214DF3"/>
    <w:rsid w:val="0022056A"/>
    <w:rsid w:val="00226D38"/>
    <w:rsid w:val="002312F9"/>
    <w:rsid w:val="00233DA4"/>
    <w:rsid w:val="0026664B"/>
    <w:rsid w:val="00273920"/>
    <w:rsid w:val="00297A64"/>
    <w:rsid w:val="002A2E53"/>
    <w:rsid w:val="002A6889"/>
    <w:rsid w:val="002C4F7B"/>
    <w:rsid w:val="002E3FE0"/>
    <w:rsid w:val="00351F04"/>
    <w:rsid w:val="003524A3"/>
    <w:rsid w:val="003549D5"/>
    <w:rsid w:val="00360DB1"/>
    <w:rsid w:val="0036430B"/>
    <w:rsid w:val="00370225"/>
    <w:rsid w:val="0037052E"/>
    <w:rsid w:val="00393EA9"/>
    <w:rsid w:val="003B229D"/>
    <w:rsid w:val="003F2BC2"/>
    <w:rsid w:val="00412B44"/>
    <w:rsid w:val="004220FD"/>
    <w:rsid w:val="0044712D"/>
    <w:rsid w:val="004478FC"/>
    <w:rsid w:val="004733E9"/>
    <w:rsid w:val="004C172E"/>
    <w:rsid w:val="004D3CB9"/>
    <w:rsid w:val="004F5F7B"/>
    <w:rsid w:val="004F6BF0"/>
    <w:rsid w:val="004F7C01"/>
    <w:rsid w:val="00501899"/>
    <w:rsid w:val="0052060E"/>
    <w:rsid w:val="005637F2"/>
    <w:rsid w:val="0058504A"/>
    <w:rsid w:val="00586ED2"/>
    <w:rsid w:val="005B44C7"/>
    <w:rsid w:val="005F62DB"/>
    <w:rsid w:val="005F77BF"/>
    <w:rsid w:val="006026AD"/>
    <w:rsid w:val="006050ED"/>
    <w:rsid w:val="00636160"/>
    <w:rsid w:val="006445CF"/>
    <w:rsid w:val="0065126F"/>
    <w:rsid w:val="00666412"/>
    <w:rsid w:val="006713BB"/>
    <w:rsid w:val="0068245A"/>
    <w:rsid w:val="00691451"/>
    <w:rsid w:val="006930E3"/>
    <w:rsid w:val="006A1ED0"/>
    <w:rsid w:val="006D604B"/>
    <w:rsid w:val="006E14F9"/>
    <w:rsid w:val="006E3545"/>
    <w:rsid w:val="006F004D"/>
    <w:rsid w:val="006F1E5F"/>
    <w:rsid w:val="006F732C"/>
    <w:rsid w:val="00702043"/>
    <w:rsid w:val="00716B75"/>
    <w:rsid w:val="007454F7"/>
    <w:rsid w:val="00752413"/>
    <w:rsid w:val="007559BA"/>
    <w:rsid w:val="007B4455"/>
    <w:rsid w:val="007C4C12"/>
    <w:rsid w:val="007D14D1"/>
    <w:rsid w:val="007E39E3"/>
    <w:rsid w:val="007E6AC0"/>
    <w:rsid w:val="00814C1F"/>
    <w:rsid w:val="0082437F"/>
    <w:rsid w:val="00842C6D"/>
    <w:rsid w:val="00862FFB"/>
    <w:rsid w:val="008648B6"/>
    <w:rsid w:val="008652E4"/>
    <w:rsid w:val="0087436B"/>
    <w:rsid w:val="00884E00"/>
    <w:rsid w:val="008C6992"/>
    <w:rsid w:val="008C7544"/>
    <w:rsid w:val="008D48AB"/>
    <w:rsid w:val="008E16AB"/>
    <w:rsid w:val="008F1EDC"/>
    <w:rsid w:val="00910846"/>
    <w:rsid w:val="00910DA5"/>
    <w:rsid w:val="009215C1"/>
    <w:rsid w:val="0092354A"/>
    <w:rsid w:val="009337C2"/>
    <w:rsid w:val="00951D95"/>
    <w:rsid w:val="00960159"/>
    <w:rsid w:val="00973291"/>
    <w:rsid w:val="00973EE1"/>
    <w:rsid w:val="0097733F"/>
    <w:rsid w:val="009822F7"/>
    <w:rsid w:val="00985C91"/>
    <w:rsid w:val="00990A8D"/>
    <w:rsid w:val="00993DAB"/>
    <w:rsid w:val="009A3168"/>
    <w:rsid w:val="009B3447"/>
    <w:rsid w:val="009F6862"/>
    <w:rsid w:val="00A01715"/>
    <w:rsid w:val="00A061C6"/>
    <w:rsid w:val="00A21F3C"/>
    <w:rsid w:val="00A34983"/>
    <w:rsid w:val="00A637E6"/>
    <w:rsid w:val="00A85451"/>
    <w:rsid w:val="00A902FD"/>
    <w:rsid w:val="00A906ED"/>
    <w:rsid w:val="00A95057"/>
    <w:rsid w:val="00A96AE3"/>
    <w:rsid w:val="00AB0D09"/>
    <w:rsid w:val="00AB5983"/>
    <w:rsid w:val="00AC0223"/>
    <w:rsid w:val="00AD26D3"/>
    <w:rsid w:val="00B04EEB"/>
    <w:rsid w:val="00B16F63"/>
    <w:rsid w:val="00B21936"/>
    <w:rsid w:val="00B33D8C"/>
    <w:rsid w:val="00B47AA4"/>
    <w:rsid w:val="00B56FAF"/>
    <w:rsid w:val="00B5749E"/>
    <w:rsid w:val="00B63E63"/>
    <w:rsid w:val="00B746FF"/>
    <w:rsid w:val="00B75D73"/>
    <w:rsid w:val="00B76705"/>
    <w:rsid w:val="00B81172"/>
    <w:rsid w:val="00B83A9B"/>
    <w:rsid w:val="00B938C4"/>
    <w:rsid w:val="00B95AA0"/>
    <w:rsid w:val="00BA2398"/>
    <w:rsid w:val="00BB2994"/>
    <w:rsid w:val="00BC731F"/>
    <w:rsid w:val="00BD0D68"/>
    <w:rsid w:val="00BE0910"/>
    <w:rsid w:val="00BF1493"/>
    <w:rsid w:val="00C305A4"/>
    <w:rsid w:val="00C51AB3"/>
    <w:rsid w:val="00C639D3"/>
    <w:rsid w:val="00CA5BA8"/>
    <w:rsid w:val="00CC2A3B"/>
    <w:rsid w:val="00CD0B8B"/>
    <w:rsid w:val="00CF0BD4"/>
    <w:rsid w:val="00CF2001"/>
    <w:rsid w:val="00D02A55"/>
    <w:rsid w:val="00D0482D"/>
    <w:rsid w:val="00D152EF"/>
    <w:rsid w:val="00D341B2"/>
    <w:rsid w:val="00D35C49"/>
    <w:rsid w:val="00D36258"/>
    <w:rsid w:val="00D4251F"/>
    <w:rsid w:val="00D75A97"/>
    <w:rsid w:val="00D91079"/>
    <w:rsid w:val="00DA00B7"/>
    <w:rsid w:val="00DB53F3"/>
    <w:rsid w:val="00DD6900"/>
    <w:rsid w:val="00DE24B7"/>
    <w:rsid w:val="00DF261D"/>
    <w:rsid w:val="00E05518"/>
    <w:rsid w:val="00E1297D"/>
    <w:rsid w:val="00E164BB"/>
    <w:rsid w:val="00E2229B"/>
    <w:rsid w:val="00E250F0"/>
    <w:rsid w:val="00E31ED5"/>
    <w:rsid w:val="00E43BD3"/>
    <w:rsid w:val="00E6006F"/>
    <w:rsid w:val="00E754C2"/>
    <w:rsid w:val="00E82C30"/>
    <w:rsid w:val="00EA130E"/>
    <w:rsid w:val="00EA43BF"/>
    <w:rsid w:val="00EA6D46"/>
    <w:rsid w:val="00EC15C0"/>
    <w:rsid w:val="00EE2C68"/>
    <w:rsid w:val="00EF3251"/>
    <w:rsid w:val="00F14725"/>
    <w:rsid w:val="00F3353E"/>
    <w:rsid w:val="00F33860"/>
    <w:rsid w:val="00F366D9"/>
    <w:rsid w:val="00F42792"/>
    <w:rsid w:val="00F50FAF"/>
    <w:rsid w:val="00F578DA"/>
    <w:rsid w:val="00F86033"/>
    <w:rsid w:val="00FA16F4"/>
    <w:rsid w:val="00FC52D8"/>
    <w:rsid w:val="00FC52DA"/>
    <w:rsid w:val="00FD0B61"/>
    <w:rsid w:val="00FF077E"/>
    <w:rsid w:val="00FF13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F0B2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0B4B"/>
    <w:pPr>
      <w:keepNext/>
      <w:numPr>
        <w:numId w:val="1"/>
      </w:numPr>
      <w:contextualSpacing/>
      <w:outlineLvl w:val="0"/>
    </w:pPr>
    <w:rPr>
      <w:rFonts w:ascii="Verdana" w:hAnsi="Verdana"/>
    </w:rPr>
  </w:style>
  <w:style w:type="paragraph" w:styleId="NoteLevel2">
    <w:name w:val="Note Level 2"/>
    <w:basedOn w:val="Normal"/>
    <w:uiPriority w:val="99"/>
    <w:unhideWhenUsed/>
    <w:rsid w:val="00180B4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80B4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80B4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80B4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80B4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80B4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80B4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80B4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80B4B"/>
    <w:pPr>
      <w:tabs>
        <w:tab w:val="center" w:pos="4320"/>
        <w:tab w:val="right" w:pos="8640"/>
      </w:tabs>
    </w:pPr>
  </w:style>
  <w:style w:type="character" w:customStyle="1" w:styleId="HeaderChar">
    <w:name w:val="Header Char"/>
    <w:basedOn w:val="DefaultParagraphFont"/>
    <w:link w:val="Header"/>
    <w:uiPriority w:val="99"/>
    <w:rsid w:val="00180B4B"/>
  </w:style>
  <w:style w:type="character" w:styleId="Hyperlink">
    <w:name w:val="Hyperlink"/>
    <w:basedOn w:val="DefaultParagraphFont"/>
    <w:uiPriority w:val="99"/>
    <w:unhideWhenUsed/>
    <w:rsid w:val="009F6862"/>
    <w:rPr>
      <w:color w:val="0000FF" w:themeColor="hyperlink"/>
      <w:u w:val="single"/>
    </w:rPr>
  </w:style>
  <w:style w:type="character" w:styleId="FollowedHyperlink">
    <w:name w:val="FollowedHyperlink"/>
    <w:basedOn w:val="DefaultParagraphFont"/>
    <w:uiPriority w:val="99"/>
    <w:semiHidden/>
    <w:unhideWhenUsed/>
    <w:rsid w:val="009F6862"/>
    <w:rPr>
      <w:color w:val="800080" w:themeColor="followedHyperlink"/>
      <w:u w:val="single"/>
    </w:rPr>
  </w:style>
  <w:style w:type="character" w:styleId="Strong">
    <w:name w:val="Strong"/>
    <w:basedOn w:val="DefaultParagraphFont"/>
    <w:uiPriority w:val="22"/>
    <w:qFormat/>
    <w:rsid w:val="0022056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0B4B"/>
    <w:pPr>
      <w:keepNext/>
      <w:numPr>
        <w:numId w:val="1"/>
      </w:numPr>
      <w:contextualSpacing/>
      <w:outlineLvl w:val="0"/>
    </w:pPr>
    <w:rPr>
      <w:rFonts w:ascii="Verdana" w:hAnsi="Verdana"/>
    </w:rPr>
  </w:style>
  <w:style w:type="paragraph" w:styleId="NoteLevel2">
    <w:name w:val="Note Level 2"/>
    <w:basedOn w:val="Normal"/>
    <w:uiPriority w:val="99"/>
    <w:unhideWhenUsed/>
    <w:rsid w:val="00180B4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80B4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80B4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80B4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80B4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80B4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80B4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80B4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80B4B"/>
    <w:pPr>
      <w:tabs>
        <w:tab w:val="center" w:pos="4320"/>
        <w:tab w:val="right" w:pos="8640"/>
      </w:tabs>
    </w:pPr>
  </w:style>
  <w:style w:type="character" w:customStyle="1" w:styleId="HeaderChar">
    <w:name w:val="Header Char"/>
    <w:basedOn w:val="DefaultParagraphFont"/>
    <w:link w:val="Header"/>
    <w:uiPriority w:val="99"/>
    <w:rsid w:val="00180B4B"/>
  </w:style>
  <w:style w:type="character" w:styleId="Hyperlink">
    <w:name w:val="Hyperlink"/>
    <w:basedOn w:val="DefaultParagraphFont"/>
    <w:uiPriority w:val="99"/>
    <w:unhideWhenUsed/>
    <w:rsid w:val="009F6862"/>
    <w:rPr>
      <w:color w:val="0000FF" w:themeColor="hyperlink"/>
      <w:u w:val="single"/>
    </w:rPr>
  </w:style>
  <w:style w:type="character" w:styleId="FollowedHyperlink">
    <w:name w:val="FollowedHyperlink"/>
    <w:basedOn w:val="DefaultParagraphFont"/>
    <w:uiPriority w:val="99"/>
    <w:semiHidden/>
    <w:unhideWhenUsed/>
    <w:rsid w:val="009F6862"/>
    <w:rPr>
      <w:color w:val="800080" w:themeColor="followedHyperlink"/>
      <w:u w:val="single"/>
    </w:rPr>
  </w:style>
  <w:style w:type="character" w:styleId="Strong">
    <w:name w:val="Strong"/>
    <w:basedOn w:val="DefaultParagraphFont"/>
    <w:uiPriority w:val="22"/>
    <w:qFormat/>
    <w:rsid w:val="002205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257588">
      <w:bodyDiv w:val="1"/>
      <w:marLeft w:val="0"/>
      <w:marRight w:val="0"/>
      <w:marTop w:val="0"/>
      <w:marBottom w:val="0"/>
      <w:divBdr>
        <w:top w:val="none" w:sz="0" w:space="0" w:color="auto"/>
        <w:left w:val="none" w:sz="0" w:space="0" w:color="auto"/>
        <w:bottom w:val="none" w:sz="0" w:space="0" w:color="auto"/>
        <w:right w:val="none" w:sz="0" w:space="0" w:color="auto"/>
      </w:divBdr>
    </w:div>
    <w:div w:id="10300316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yperlink" Target="http://scc.lexum.org/decisia-scc-csc/scc-csc/scc-csc/en/item/407/index.do" TargetMode="External"/><Relationship Id="rId13" Type="http://schemas.openxmlformats.org/officeDocument/2006/relationships/hyperlink" Target="http://scc.lexum.org/decisia-scc-csc/scc-csc/scc-csc/en/item/1691/index.do" TargetMode="External"/><Relationship Id="rId14" Type="http://schemas.openxmlformats.org/officeDocument/2006/relationships/header" Target="header4.xml"/><Relationship Id="rId15" Type="http://schemas.openxmlformats.org/officeDocument/2006/relationships/hyperlink" Target="http://csc.lexum.org/en/2008/2008scc41/2008scc41.html" TargetMode="External"/><Relationship Id="rId16" Type="http://schemas.openxmlformats.org/officeDocument/2006/relationships/header" Target="header5.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yperlink" Target="http://scc.lexum.org/en/1998/1998rcs1-493/1998rcs1-49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620</TotalTime>
  <Pages>6</Pages>
  <Words>8559</Words>
  <Characters>48791</Characters>
  <Application>Microsoft Macintosh Word</Application>
  <DocSecurity>0</DocSecurity>
  <Lines>406</Lines>
  <Paragraphs>114</Paragraphs>
  <ScaleCrop>false</ScaleCrop>
  <Company/>
  <LinksUpToDate>false</LinksUpToDate>
  <CharactersWithSpaces>57236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Eckland</dc:creator>
  <cp:keywords/>
  <dc:description/>
  <cp:lastModifiedBy>Leslie Eckland</cp:lastModifiedBy>
  <cp:revision>143</cp:revision>
  <dcterms:created xsi:type="dcterms:W3CDTF">2013-09-14T16:43:00Z</dcterms:created>
  <dcterms:modified xsi:type="dcterms:W3CDTF">2014-04-09T17:11:00Z</dcterms:modified>
</cp:coreProperties>
</file>