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C1D5EC" w14:textId="77777777" w:rsidR="004E3C3A" w:rsidRPr="004E3C3A" w:rsidRDefault="004E3C3A">
      <w:pPr>
        <w:pStyle w:val="NoteLevel1"/>
      </w:pPr>
      <w:r>
        <w:rPr>
          <w:rFonts w:ascii="Times" w:hAnsi="Times"/>
        </w:rPr>
        <w:t>- Overview of course outline</w:t>
      </w:r>
    </w:p>
    <w:p w14:paraId="7D38A5FB" w14:textId="77777777" w:rsidR="004E3C3A" w:rsidRPr="004E3C3A" w:rsidRDefault="004E3C3A">
      <w:pPr>
        <w:pStyle w:val="NoteLevel1"/>
      </w:pPr>
      <w:r>
        <w:rPr>
          <w:rFonts w:ascii="Times" w:hAnsi="Times"/>
        </w:rPr>
        <w:t>- Brief discussion of materials</w:t>
      </w:r>
    </w:p>
    <w:p w14:paraId="014499EE" w14:textId="77777777" w:rsidR="004E3C3A" w:rsidRDefault="004E3C3A">
      <w:pPr>
        <w:pStyle w:val="NoteLevel1"/>
      </w:pPr>
      <w:r>
        <w:rPr>
          <w:rFonts w:ascii="Times" w:hAnsi="Times"/>
        </w:rPr>
        <w:t xml:space="preserve">- McKinney, Eldridge, Douglas College </w:t>
      </w:r>
    </w:p>
    <w:p w14:paraId="3FD1E9CC" w14:textId="77777777" w:rsidR="004E3C3A" w:rsidRDefault="004E3C3A">
      <w:pPr>
        <w:pStyle w:val="NoteLevel1"/>
        <w:sectPr w:rsidR="004E3C3A" w:rsidSect="004E3C3A">
          <w:headerReference w:type="first" r:id="rId8"/>
          <w:pgSz w:w="12240" w:h="15840"/>
          <w:pgMar w:top="1440" w:right="1440" w:bottom="1440" w:left="1440" w:header="708" w:footer="708" w:gutter="0"/>
          <w:cols w:space="708"/>
          <w:titlePg/>
          <w:docGrid w:type="lines" w:linePitch="360"/>
        </w:sectPr>
      </w:pPr>
    </w:p>
    <w:p w14:paraId="2817AEFA" w14:textId="2FA0628C" w:rsidR="00F94AA4" w:rsidRPr="00F94AA4" w:rsidRDefault="00F94AA4">
      <w:pPr>
        <w:pStyle w:val="NoteLevel1"/>
        <w:rPr>
          <w:rFonts w:ascii="Times" w:hAnsi="Times"/>
        </w:rPr>
      </w:pPr>
      <w:r w:rsidRPr="00F94AA4">
        <w:rPr>
          <w:rFonts w:ascii="Times" w:hAnsi="Times"/>
          <w:u w:val="single"/>
        </w:rPr>
        <w:t xml:space="preserve">Notwithstanding Clause </w:t>
      </w:r>
    </w:p>
    <w:p w14:paraId="730302A3" w14:textId="4604254C" w:rsidR="004E3C3A" w:rsidRPr="00673DDC" w:rsidRDefault="00673DDC">
      <w:pPr>
        <w:pStyle w:val="NoteLevel1"/>
      </w:pPr>
      <w:r>
        <w:rPr>
          <w:rFonts w:ascii="Times" w:hAnsi="Times"/>
        </w:rPr>
        <w:t>Notwithstanding Clause has been enacted three times</w:t>
      </w:r>
    </w:p>
    <w:p w14:paraId="4469B2DF" w14:textId="5C372541" w:rsidR="00673DDC" w:rsidRDefault="00673DDC" w:rsidP="00673DDC">
      <w:pPr>
        <w:pStyle w:val="NoteLevel2"/>
        <w:rPr>
          <w:rFonts w:ascii="Times" w:hAnsi="Times"/>
        </w:rPr>
      </w:pPr>
      <w:r>
        <w:rPr>
          <w:rFonts w:ascii="Times" w:hAnsi="Times"/>
        </w:rPr>
        <w:t>Quebec—Bill 101, language bill</w:t>
      </w:r>
    </w:p>
    <w:p w14:paraId="53CCD314" w14:textId="19344AD3" w:rsidR="00673DDC" w:rsidRDefault="00673DDC" w:rsidP="00673DDC">
      <w:pPr>
        <w:pStyle w:val="NoteLevel2"/>
        <w:rPr>
          <w:rFonts w:ascii="Times" w:hAnsi="Times"/>
        </w:rPr>
      </w:pPr>
      <w:r>
        <w:rPr>
          <w:rFonts w:ascii="Times" w:hAnsi="Times"/>
        </w:rPr>
        <w:t>Saskatchewan--</w:t>
      </w:r>
    </w:p>
    <w:p w14:paraId="3AE09AA3" w14:textId="2881DE27" w:rsidR="00673DDC" w:rsidRDefault="00673DDC" w:rsidP="00673DDC">
      <w:pPr>
        <w:pStyle w:val="NoteLevel2"/>
        <w:rPr>
          <w:rFonts w:ascii="Times" w:hAnsi="Times"/>
        </w:rPr>
      </w:pPr>
      <w:r>
        <w:rPr>
          <w:rFonts w:ascii="Times" w:hAnsi="Times"/>
        </w:rPr>
        <w:t xml:space="preserve">Alberta—for an area of law they had no control over in the first place </w:t>
      </w:r>
    </w:p>
    <w:p w14:paraId="4A9D211A" w14:textId="17DDAFF9" w:rsidR="00673DDC" w:rsidRDefault="00876622" w:rsidP="00673DDC">
      <w:pPr>
        <w:pStyle w:val="NoteLevel1"/>
        <w:rPr>
          <w:rFonts w:ascii="Times" w:hAnsi="Times"/>
        </w:rPr>
      </w:pPr>
      <w:r>
        <w:rPr>
          <w:rFonts w:ascii="Times" w:hAnsi="Times"/>
        </w:rPr>
        <w:t xml:space="preserve">- </w:t>
      </w:r>
      <w:r w:rsidR="00A678FE">
        <w:rPr>
          <w:rFonts w:ascii="Times" w:hAnsi="Times"/>
        </w:rPr>
        <w:t>How someone normally challenges a provincial or federal piece</w:t>
      </w:r>
    </w:p>
    <w:p w14:paraId="7727BFA6" w14:textId="7EAFF765" w:rsidR="00A678FE" w:rsidRDefault="00A678FE" w:rsidP="00A678FE">
      <w:pPr>
        <w:pStyle w:val="NoteLevel2"/>
        <w:rPr>
          <w:rFonts w:ascii="Times" w:hAnsi="Times"/>
        </w:rPr>
      </w:pPr>
      <w:r>
        <w:rPr>
          <w:rFonts w:ascii="Times" w:hAnsi="Times"/>
        </w:rPr>
        <w:t>That branch of gov’t doesn’t have jurisdiction in that area</w:t>
      </w:r>
    </w:p>
    <w:p w14:paraId="2D5706E3" w14:textId="4C9864B2" w:rsidR="00A678FE" w:rsidRPr="003D048C" w:rsidRDefault="00A678FE" w:rsidP="00A678FE">
      <w:pPr>
        <w:pStyle w:val="NoteLevel2"/>
        <w:rPr>
          <w:rFonts w:ascii="Times" w:hAnsi="Times"/>
          <w:i/>
        </w:rPr>
      </w:pPr>
      <w:r w:rsidRPr="003D048C">
        <w:rPr>
          <w:rFonts w:ascii="Times" w:hAnsi="Times"/>
          <w:i/>
        </w:rPr>
        <w:t>The Charter</w:t>
      </w:r>
    </w:p>
    <w:p w14:paraId="3FB2E217" w14:textId="34478298" w:rsidR="00A678FE" w:rsidRDefault="003D048C" w:rsidP="00A678FE">
      <w:pPr>
        <w:pStyle w:val="NoteLevel1"/>
        <w:rPr>
          <w:rFonts w:ascii="Times" w:hAnsi="Times"/>
        </w:rPr>
      </w:pPr>
      <w:r>
        <w:rPr>
          <w:rFonts w:ascii="Times" w:hAnsi="Times"/>
        </w:rPr>
        <w:t xml:space="preserve">- </w:t>
      </w:r>
      <w:r w:rsidR="003C6FAF">
        <w:rPr>
          <w:rFonts w:ascii="Times" w:hAnsi="Times"/>
        </w:rPr>
        <w:t xml:space="preserve">This course is about Section 15, and the objective is for us to be able to make a s. 15 claim or dissect a s.15 claim </w:t>
      </w:r>
    </w:p>
    <w:p w14:paraId="2839E5E9" w14:textId="6847A59D" w:rsidR="004933CB" w:rsidRDefault="004933CB" w:rsidP="00A678FE">
      <w:pPr>
        <w:pStyle w:val="NoteLevel1"/>
        <w:rPr>
          <w:rFonts w:ascii="Times" w:hAnsi="Times"/>
        </w:rPr>
      </w:pPr>
    </w:p>
    <w:p w14:paraId="1FA95F97" w14:textId="3FC4D861" w:rsidR="00D6120B" w:rsidRDefault="00D6120B" w:rsidP="00A678FE">
      <w:pPr>
        <w:pStyle w:val="NoteLevel1"/>
        <w:rPr>
          <w:rFonts w:ascii="Times" w:hAnsi="Times"/>
        </w:rPr>
      </w:pPr>
      <w:r>
        <w:rPr>
          <w:rFonts w:ascii="Times" w:hAnsi="Times"/>
          <w:u w:val="single"/>
        </w:rPr>
        <w:t>Justification</w:t>
      </w:r>
    </w:p>
    <w:p w14:paraId="13A02A16" w14:textId="1BAB0628" w:rsidR="00D6120B" w:rsidRDefault="00D6120B" w:rsidP="00D6120B">
      <w:pPr>
        <w:pStyle w:val="NoteLevel1"/>
        <w:rPr>
          <w:rFonts w:ascii="Times" w:hAnsi="Times"/>
        </w:rPr>
      </w:pPr>
      <w:r>
        <w:rPr>
          <w:rFonts w:ascii="Times" w:hAnsi="Times"/>
        </w:rPr>
        <w:t xml:space="preserve">- Found in section 1 of the </w:t>
      </w:r>
      <w:r>
        <w:rPr>
          <w:rFonts w:ascii="Times" w:hAnsi="Times"/>
          <w:i/>
        </w:rPr>
        <w:t>Charter</w:t>
      </w:r>
    </w:p>
    <w:p w14:paraId="0B17E3C2" w14:textId="75B37FB3" w:rsidR="00D6120B" w:rsidRDefault="0033469C" w:rsidP="00D6120B">
      <w:pPr>
        <w:pStyle w:val="NoteLevel1"/>
        <w:rPr>
          <w:rFonts w:ascii="Times" w:hAnsi="Times"/>
        </w:rPr>
      </w:pPr>
      <w:r>
        <w:rPr>
          <w:rFonts w:ascii="Times" w:hAnsi="Times"/>
        </w:rPr>
        <w:t>-</w:t>
      </w:r>
      <w:r w:rsidRPr="0033469C">
        <w:rPr>
          <w:rFonts w:ascii="Times" w:hAnsi="Times"/>
          <w:i/>
        </w:rPr>
        <w:t xml:space="preserve"> </w:t>
      </w:r>
      <w:r w:rsidR="00900B2D">
        <w:rPr>
          <w:rFonts w:ascii="Times" w:hAnsi="Times"/>
          <w:i/>
        </w:rPr>
        <w:t xml:space="preserve">R. v. </w:t>
      </w:r>
      <w:r w:rsidRPr="0033469C">
        <w:rPr>
          <w:rFonts w:ascii="Times" w:hAnsi="Times"/>
          <w:i/>
        </w:rPr>
        <w:t>Oakes</w:t>
      </w:r>
      <w:r w:rsidR="0075007D">
        <w:rPr>
          <w:rFonts w:ascii="Times" w:hAnsi="Times"/>
          <w:i/>
        </w:rPr>
        <w:t xml:space="preserve"> </w:t>
      </w:r>
      <w:r w:rsidR="0075007D">
        <w:rPr>
          <w:rFonts w:ascii="Times" w:hAnsi="Times"/>
        </w:rPr>
        <w:t>(</w:t>
      </w:r>
      <w:r w:rsidR="00900B2D">
        <w:rPr>
          <w:rFonts w:ascii="Times" w:hAnsi="Times"/>
        </w:rPr>
        <w:t>**</w:t>
      </w:r>
      <w:r w:rsidR="0075007D">
        <w:rPr>
          <w:rFonts w:ascii="Times" w:hAnsi="Times"/>
        </w:rPr>
        <w:t xml:space="preserve">Oakes Test) </w:t>
      </w:r>
    </w:p>
    <w:p w14:paraId="124CE02E" w14:textId="6DE73792" w:rsidR="0033469C" w:rsidRDefault="0033469C" w:rsidP="0033469C">
      <w:pPr>
        <w:pStyle w:val="NoteLevel2"/>
        <w:rPr>
          <w:rFonts w:ascii="Times" w:hAnsi="Times"/>
        </w:rPr>
      </w:pPr>
      <w:r>
        <w:rPr>
          <w:rFonts w:ascii="Times" w:hAnsi="Times"/>
        </w:rPr>
        <w:t>First case in which s.  1 was involved</w:t>
      </w:r>
    </w:p>
    <w:p w14:paraId="1D15F1BA" w14:textId="42474D04" w:rsidR="0033469C" w:rsidRDefault="003820B2" w:rsidP="0033469C">
      <w:pPr>
        <w:pStyle w:val="NoteLevel2"/>
        <w:rPr>
          <w:rFonts w:ascii="Times" w:hAnsi="Times"/>
        </w:rPr>
      </w:pPr>
      <w:r>
        <w:rPr>
          <w:rFonts w:ascii="Times" w:hAnsi="Times"/>
        </w:rPr>
        <w:t xml:space="preserve">Had a piece of legislation that went too far in the sense that if a person was convicted for the purposes of possession of a controlled substance, regardless of the quantity, that person was presumed to also possess it for the purposes of trafficking </w:t>
      </w:r>
    </w:p>
    <w:p w14:paraId="6A184B5E" w14:textId="1678EA8E" w:rsidR="00F92580" w:rsidRDefault="00F92580" w:rsidP="0033469C">
      <w:pPr>
        <w:pStyle w:val="NoteLevel2"/>
        <w:rPr>
          <w:rFonts w:ascii="Times" w:hAnsi="Times"/>
        </w:rPr>
      </w:pPr>
      <w:r>
        <w:rPr>
          <w:rFonts w:ascii="Times" w:hAnsi="Times"/>
        </w:rPr>
        <w:t xml:space="preserve">The legislation didn’t make any distinction between possession and trafficking </w:t>
      </w:r>
    </w:p>
    <w:p w14:paraId="4BCD1A5B" w14:textId="7C515BD6" w:rsidR="00F92580" w:rsidRDefault="005813BA" w:rsidP="0033469C">
      <w:pPr>
        <w:pStyle w:val="NoteLevel2"/>
        <w:rPr>
          <w:rFonts w:ascii="Times" w:hAnsi="Times"/>
        </w:rPr>
      </w:pPr>
      <w:r>
        <w:rPr>
          <w:rFonts w:ascii="Times" w:hAnsi="Times"/>
        </w:rPr>
        <w:t>Usually the onus is on the prosecution to show that the accused has committed the crime</w:t>
      </w:r>
      <w:r w:rsidR="00723309">
        <w:rPr>
          <w:rFonts w:ascii="Times" w:hAnsi="Times"/>
        </w:rPr>
        <w:t>; however, this legislation took away the presumption of innocence, therefore the burden of proof is on the accused person to prove themselves innocent</w:t>
      </w:r>
    </w:p>
    <w:p w14:paraId="30F32EA6" w14:textId="39A1D2A1" w:rsidR="00723309" w:rsidRDefault="00723309" w:rsidP="00723309">
      <w:pPr>
        <w:pStyle w:val="NoteLevel3"/>
        <w:rPr>
          <w:rFonts w:ascii="Times" w:hAnsi="Times"/>
        </w:rPr>
      </w:pPr>
      <w:r>
        <w:rPr>
          <w:rFonts w:ascii="Times" w:hAnsi="Times"/>
        </w:rPr>
        <w:t xml:space="preserve">Reverse Onus: from innocent until proven guilty, it became guilty until they could prove themselves innocent; the burden of proof shifted </w:t>
      </w:r>
    </w:p>
    <w:p w14:paraId="583D1029" w14:textId="00ECBBB0" w:rsidR="00723309" w:rsidRDefault="00877C7B" w:rsidP="00723309">
      <w:pPr>
        <w:pStyle w:val="NoteLevel2"/>
        <w:rPr>
          <w:rFonts w:ascii="Times" w:hAnsi="Times"/>
        </w:rPr>
      </w:pPr>
      <w:r>
        <w:rPr>
          <w:rFonts w:ascii="Times" w:hAnsi="Times"/>
        </w:rPr>
        <w:t xml:space="preserve">This component was tested as to whether or not it was constitutional </w:t>
      </w:r>
    </w:p>
    <w:p w14:paraId="3D289E52" w14:textId="2DC5529A" w:rsidR="00645CC2" w:rsidRDefault="00B90D0F" w:rsidP="00723309">
      <w:pPr>
        <w:pStyle w:val="NoteLevel2"/>
        <w:rPr>
          <w:rFonts w:ascii="Times" w:hAnsi="Times"/>
        </w:rPr>
      </w:pPr>
      <w:r>
        <w:rPr>
          <w:rFonts w:ascii="Times" w:hAnsi="Times"/>
        </w:rPr>
        <w:t xml:space="preserve">The Constitution should not concerned itself with the tiny, minute details of every day life, rather it needs to stand the test of time; it is supposed to be a framework </w:t>
      </w:r>
    </w:p>
    <w:p w14:paraId="05FEACEC" w14:textId="60BB09C5" w:rsidR="00B90D0F" w:rsidRDefault="00B90D0F" w:rsidP="00B90D0F">
      <w:pPr>
        <w:pStyle w:val="NoteLevel3"/>
        <w:rPr>
          <w:rFonts w:ascii="Times" w:hAnsi="Times"/>
        </w:rPr>
      </w:pPr>
      <w:r>
        <w:rPr>
          <w:rFonts w:ascii="Times" w:hAnsi="Times"/>
        </w:rPr>
        <w:t xml:space="preserve">The more detail you have in a Constitution, the more you’re setting yourself up for failure </w:t>
      </w:r>
    </w:p>
    <w:p w14:paraId="6B8BE651" w14:textId="3F0EAEDB" w:rsidR="008C64E5" w:rsidRDefault="008C64E5" w:rsidP="008C64E5">
      <w:pPr>
        <w:pStyle w:val="NoteLevel2"/>
        <w:rPr>
          <w:rFonts w:ascii="Times" w:hAnsi="Times"/>
        </w:rPr>
      </w:pPr>
      <w:r>
        <w:rPr>
          <w:rFonts w:ascii="Times" w:hAnsi="Times"/>
        </w:rPr>
        <w:t xml:space="preserve">The </w:t>
      </w:r>
      <w:r>
        <w:rPr>
          <w:rFonts w:ascii="Times" w:hAnsi="Times"/>
          <w:i/>
        </w:rPr>
        <w:t>Charter</w:t>
      </w:r>
      <w:r>
        <w:rPr>
          <w:rFonts w:ascii="Times" w:hAnsi="Times"/>
        </w:rPr>
        <w:t xml:space="preserve"> was intended to compliment the Constitution to provide some rights which otherwise may not have existed in the Consti</w:t>
      </w:r>
      <w:r w:rsidR="00A73971">
        <w:rPr>
          <w:rFonts w:ascii="Times" w:hAnsi="Times"/>
        </w:rPr>
        <w:t xml:space="preserve">tution; codifies some rights that existed but were not written down, and some which did not exist </w:t>
      </w:r>
    </w:p>
    <w:p w14:paraId="4915511C" w14:textId="284AB180" w:rsidR="00AA77D7" w:rsidRDefault="001B14DA" w:rsidP="008C64E5">
      <w:pPr>
        <w:pStyle w:val="NoteLevel2"/>
        <w:rPr>
          <w:rFonts w:ascii="Times" w:hAnsi="Times"/>
        </w:rPr>
      </w:pPr>
      <w:r>
        <w:rPr>
          <w:rFonts w:ascii="Times" w:hAnsi="Times"/>
        </w:rPr>
        <w:t>In this case, the Supreme Court was asked to define what “demonstrably justified in a free and democratic society”</w:t>
      </w:r>
      <w:r w:rsidR="00C93941">
        <w:rPr>
          <w:rFonts w:ascii="Times" w:hAnsi="Times"/>
        </w:rPr>
        <w:t xml:space="preserve"> meant </w:t>
      </w:r>
    </w:p>
    <w:p w14:paraId="60F831AD" w14:textId="235A4DE1" w:rsidR="00C93941" w:rsidRDefault="003C58CF" w:rsidP="00C93941">
      <w:pPr>
        <w:pStyle w:val="NoteLevel3"/>
        <w:rPr>
          <w:rFonts w:ascii="Times" w:hAnsi="Times"/>
        </w:rPr>
      </w:pPr>
      <w:r>
        <w:rPr>
          <w:rFonts w:ascii="Times" w:hAnsi="Times"/>
        </w:rPr>
        <w:t>Free speech is an example: you can only say so much under the Constitution before you’re infringing on this right; acts as a line in the sign</w:t>
      </w:r>
    </w:p>
    <w:p w14:paraId="7506DD07" w14:textId="5A1FBD72" w:rsidR="003C58CF" w:rsidRDefault="003C58CF" w:rsidP="00C93941">
      <w:pPr>
        <w:pStyle w:val="NoteLevel3"/>
        <w:rPr>
          <w:rFonts w:ascii="Times" w:hAnsi="Times"/>
        </w:rPr>
      </w:pPr>
      <w:r>
        <w:rPr>
          <w:rFonts w:ascii="Times" w:hAnsi="Times"/>
        </w:rPr>
        <w:t>The first thing that the Gov’t has to answer in defining this is why is what you’re going so important, pressing &amp; substantial, in a way that the Court is convinced that you’re doing something good</w:t>
      </w:r>
      <w:r w:rsidR="00AD7B33">
        <w:rPr>
          <w:rFonts w:ascii="Times" w:hAnsi="Times"/>
        </w:rPr>
        <w:t>—what goal are you trying to achieve</w:t>
      </w:r>
    </w:p>
    <w:p w14:paraId="658D9954" w14:textId="01C68CAF" w:rsidR="00151B4F" w:rsidRDefault="00AD7B33" w:rsidP="00C93941">
      <w:pPr>
        <w:pStyle w:val="NoteLevel3"/>
        <w:rPr>
          <w:rFonts w:ascii="Times" w:hAnsi="Times"/>
        </w:rPr>
      </w:pPr>
      <w:r>
        <w:rPr>
          <w:rFonts w:ascii="Times" w:hAnsi="Times"/>
        </w:rPr>
        <w:t>The next thing is to prove proportionality—what you’re doing isn’t reaching a point of overkill, but that it is proportional to the rights in question—the steps you’re taking are rationally connected to what you’re doing and what you’re trying to achiev</w:t>
      </w:r>
      <w:r w:rsidR="00E2695F">
        <w:rPr>
          <w:rFonts w:ascii="Times" w:hAnsi="Times"/>
        </w:rPr>
        <w:t>e</w:t>
      </w:r>
    </w:p>
    <w:p w14:paraId="4D77A375" w14:textId="3B19092A" w:rsidR="00E2695F" w:rsidRDefault="00E2695F" w:rsidP="00E2695F">
      <w:pPr>
        <w:pStyle w:val="NoteLevel4"/>
        <w:rPr>
          <w:rFonts w:ascii="Times" w:hAnsi="Times"/>
        </w:rPr>
      </w:pPr>
      <w:r>
        <w:rPr>
          <w:rFonts w:ascii="Times" w:hAnsi="Times"/>
        </w:rPr>
        <w:t>Example: walking to campus from Sunnyside/Bank in 20 minutes is an achievable goal, whereas walking from Cornwall before sunset is not reasonable—walking being the means in which you’re achieving this goal</w:t>
      </w:r>
    </w:p>
    <w:p w14:paraId="10EBA4AC" w14:textId="75434547" w:rsidR="00E2695F" w:rsidRDefault="006149E0" w:rsidP="004015F0">
      <w:pPr>
        <w:pStyle w:val="NoteLevel2"/>
        <w:rPr>
          <w:rFonts w:ascii="Times" w:hAnsi="Times"/>
        </w:rPr>
      </w:pPr>
      <w:r>
        <w:rPr>
          <w:rFonts w:ascii="Times" w:hAnsi="Times"/>
        </w:rPr>
        <w:t>In this case, controlling trafficking and controlling drug use, is a pressing and substantial objective—there is no problem with that—but in this case, they had to prove how controlling somebody who had a very small amount of substance, would achieve the major goal of controlling trafficking and drug use</w:t>
      </w:r>
    </w:p>
    <w:p w14:paraId="367D055B" w14:textId="1E61863E" w:rsidR="006149E0" w:rsidRDefault="006149E0" w:rsidP="006149E0">
      <w:pPr>
        <w:pStyle w:val="NoteLevel3"/>
        <w:rPr>
          <w:rFonts w:ascii="Times" w:hAnsi="Times"/>
        </w:rPr>
      </w:pPr>
      <w:r>
        <w:rPr>
          <w:rFonts w:ascii="Times" w:hAnsi="Times"/>
        </w:rPr>
        <w:t>The second aspect was that now that the objective was seen, you have to show why the road you’ve taken isn’t intrusive, in that it takes away more rights than necessary—you need to demonstrate to the court that you’ve only</w:t>
      </w:r>
      <w:r w:rsidR="00DA57F5">
        <w:rPr>
          <w:rFonts w:ascii="Times" w:hAnsi="Times"/>
        </w:rPr>
        <w:t xml:space="preserve"> impaired as little as possible—what you’re trying to achieve and how you’re trying to achieve</w:t>
      </w:r>
      <w:r w:rsidR="000046CF">
        <w:rPr>
          <w:rFonts w:ascii="Times" w:hAnsi="Times"/>
        </w:rPr>
        <w:t xml:space="preserve"> it is not overreaching</w:t>
      </w:r>
      <w:r w:rsidR="00A44AFB">
        <w:rPr>
          <w:rFonts w:ascii="Times" w:hAnsi="Times"/>
        </w:rPr>
        <w:t>—could you have done it in any other way?</w:t>
      </w:r>
    </w:p>
    <w:p w14:paraId="6265D653" w14:textId="6CA01008" w:rsidR="00A44AFB" w:rsidRDefault="00DA57F5" w:rsidP="00A44AFB">
      <w:pPr>
        <w:pStyle w:val="NoteLevel2"/>
        <w:rPr>
          <w:rFonts w:ascii="Times" w:hAnsi="Times"/>
        </w:rPr>
      </w:pPr>
      <w:r>
        <w:rPr>
          <w:rFonts w:ascii="Times" w:hAnsi="Times"/>
        </w:rPr>
        <w:t>1) Pressing &amp; Substantial</w:t>
      </w:r>
      <w:r w:rsidR="00B327AA">
        <w:rPr>
          <w:rFonts w:ascii="Times" w:hAnsi="Times"/>
        </w:rPr>
        <w:t xml:space="preserve"> O</w:t>
      </w:r>
      <w:r>
        <w:rPr>
          <w:rFonts w:ascii="Times" w:hAnsi="Times"/>
        </w:rPr>
        <w:t xml:space="preserve">bjective, 2) </w:t>
      </w:r>
      <w:r w:rsidR="00A44AFB">
        <w:rPr>
          <w:rFonts w:ascii="Times" w:hAnsi="Times"/>
        </w:rPr>
        <w:t>Proportionality</w:t>
      </w:r>
      <w:r w:rsidR="00A44AFB" w:rsidRPr="00A44AFB">
        <w:rPr>
          <w:rFonts w:ascii="Times" w:hAnsi="Times"/>
        </w:rPr>
        <w:sym w:font="Wingdings" w:char="F0E0"/>
      </w:r>
      <w:r w:rsidR="002F24A4">
        <w:rPr>
          <w:rFonts w:ascii="Times" w:hAnsi="Times"/>
        </w:rPr>
        <w:t xml:space="preserve"> Rights must connect to the aim</w:t>
      </w:r>
      <w:r w:rsidR="00A44AFB">
        <w:rPr>
          <w:rFonts w:ascii="Times" w:hAnsi="Times"/>
        </w:rPr>
        <w:t>, minimum i</w:t>
      </w:r>
      <w:r w:rsidR="00FC25CE">
        <w:rPr>
          <w:rFonts w:ascii="Times" w:hAnsi="Times"/>
        </w:rPr>
        <w:t>mpairment</w:t>
      </w:r>
      <w:r w:rsidR="00A44AFB">
        <w:rPr>
          <w:rFonts w:ascii="Times" w:hAnsi="Times"/>
        </w:rPr>
        <w:t xml:space="preserve">, your goal outweighs the negative aspect of taking away people’s rights </w:t>
      </w:r>
    </w:p>
    <w:p w14:paraId="36F15167" w14:textId="18ACE30E" w:rsidR="00F94AA4" w:rsidRDefault="00F94AA4" w:rsidP="00DC2C65">
      <w:pPr>
        <w:pStyle w:val="NoteLevel1"/>
        <w:numPr>
          <w:ilvl w:val="0"/>
          <w:numId w:val="0"/>
        </w:numPr>
        <w:rPr>
          <w:rFonts w:ascii="Times" w:hAnsi="Times"/>
        </w:rPr>
      </w:pPr>
    </w:p>
    <w:p w14:paraId="3CAC0CDA" w14:textId="6CD0DCCE" w:rsidR="00522D04" w:rsidRDefault="00522D04" w:rsidP="00522D04">
      <w:pPr>
        <w:pStyle w:val="NoteLevel1"/>
        <w:numPr>
          <w:ilvl w:val="0"/>
          <w:numId w:val="0"/>
        </w:numPr>
        <w:rPr>
          <w:rFonts w:ascii="Times" w:hAnsi="Times"/>
        </w:rPr>
      </w:pPr>
      <w:r>
        <w:rPr>
          <w:rFonts w:ascii="Times" w:hAnsi="Times"/>
          <w:i/>
        </w:rPr>
        <w:t xml:space="preserve">- </w:t>
      </w:r>
      <w:r w:rsidRPr="00522D04">
        <w:rPr>
          <w:rFonts w:ascii="Times" w:hAnsi="Times"/>
          <w:i/>
        </w:rPr>
        <w:t xml:space="preserve">Egan </w:t>
      </w:r>
    </w:p>
    <w:p w14:paraId="4F1BD6CA" w14:textId="64171A8B" w:rsidR="00522D04" w:rsidRDefault="00522D04" w:rsidP="00522D04">
      <w:pPr>
        <w:pStyle w:val="NoteLevel2"/>
        <w:rPr>
          <w:rFonts w:ascii="Times" w:hAnsi="Times"/>
        </w:rPr>
      </w:pPr>
      <w:r>
        <w:rPr>
          <w:rFonts w:ascii="Times" w:hAnsi="Times"/>
        </w:rPr>
        <w:t xml:space="preserve">Old Age Pension when over 65, and after being in Canada for 10+ years </w:t>
      </w:r>
    </w:p>
    <w:p w14:paraId="36FB5C77" w14:textId="204978EC" w:rsidR="00522D04" w:rsidRDefault="00850FEF" w:rsidP="00522D04">
      <w:pPr>
        <w:pStyle w:val="NoteLevel2"/>
        <w:rPr>
          <w:rFonts w:ascii="Times" w:hAnsi="Times"/>
        </w:rPr>
      </w:pPr>
      <w:r>
        <w:rPr>
          <w:rFonts w:ascii="Times" w:hAnsi="Times"/>
        </w:rPr>
        <w:t>If your spouse is between 60-65, they’ll get spousal allowance, but in the mid-90s during the time this legislation was active, the spousal allowance only applied to heterosexual couples</w:t>
      </w:r>
    </w:p>
    <w:p w14:paraId="4C2771E7" w14:textId="60671E60" w:rsidR="00850FEF" w:rsidRDefault="002022BE" w:rsidP="00522D04">
      <w:pPr>
        <w:pStyle w:val="NoteLevel2"/>
        <w:rPr>
          <w:rFonts w:ascii="Times" w:hAnsi="Times"/>
        </w:rPr>
      </w:pPr>
      <w:r>
        <w:rPr>
          <w:rFonts w:ascii="Times" w:hAnsi="Times"/>
        </w:rPr>
        <w:t xml:space="preserve">Egan’s spouse was between 60-65, but because they were of the same sex (male), it would not be paid to his spouse </w:t>
      </w:r>
    </w:p>
    <w:p w14:paraId="28555BBE" w14:textId="1C44B725" w:rsidR="00CC7A7F" w:rsidRDefault="00884E2E" w:rsidP="00522D04">
      <w:pPr>
        <w:pStyle w:val="NoteLevel2"/>
        <w:rPr>
          <w:rFonts w:ascii="Times" w:hAnsi="Times"/>
        </w:rPr>
      </w:pPr>
      <w:r>
        <w:rPr>
          <w:rFonts w:ascii="Times" w:hAnsi="Times"/>
        </w:rPr>
        <w:t xml:space="preserve">5 out of 9 judges found that there was  discrimination—the next step was to determine if this discrimination was justifiable using the Oakes test </w:t>
      </w:r>
    </w:p>
    <w:p w14:paraId="2CA8C722" w14:textId="4D9BDD87" w:rsidR="00884E2E" w:rsidRDefault="00884E2E" w:rsidP="00522D04">
      <w:pPr>
        <w:pStyle w:val="NoteLevel2"/>
        <w:rPr>
          <w:rFonts w:ascii="Times" w:hAnsi="Times"/>
        </w:rPr>
      </w:pPr>
      <w:r>
        <w:rPr>
          <w:rFonts w:ascii="Times" w:hAnsi="Times"/>
        </w:rPr>
        <w:t>1 of the 5</w:t>
      </w:r>
      <w:r w:rsidR="00DB17D8">
        <w:rPr>
          <w:rFonts w:ascii="Times" w:hAnsi="Times"/>
        </w:rPr>
        <w:t xml:space="preserve"> that found the discrimination then</w:t>
      </w:r>
      <w:r>
        <w:rPr>
          <w:rFonts w:ascii="Times" w:hAnsi="Times"/>
        </w:rPr>
        <w:t xml:space="preserve"> determined that the</w:t>
      </w:r>
      <w:r w:rsidR="008345D8">
        <w:rPr>
          <w:rFonts w:ascii="Times" w:hAnsi="Times"/>
        </w:rPr>
        <w:t xml:space="preserve"> discrimination was justifiable—therefore, it was Constitutional </w:t>
      </w:r>
    </w:p>
    <w:p w14:paraId="0F90A2C9" w14:textId="508C8CE4" w:rsidR="00A65F41" w:rsidRDefault="00C63494" w:rsidP="00522D04">
      <w:pPr>
        <w:pStyle w:val="NoteLevel2"/>
        <w:rPr>
          <w:rFonts w:ascii="Times" w:hAnsi="Times"/>
        </w:rPr>
      </w:pPr>
      <w:r>
        <w:rPr>
          <w:rFonts w:ascii="Times" w:hAnsi="Times"/>
        </w:rPr>
        <w:t xml:space="preserve">There may be discrimination, but at this point in time, it was considered justifiable in a free and democratic society </w:t>
      </w:r>
    </w:p>
    <w:p w14:paraId="78328F8E" w14:textId="77777777" w:rsidR="004972AC" w:rsidRDefault="004972AC" w:rsidP="00F77232">
      <w:pPr>
        <w:pStyle w:val="NoteLevel1"/>
        <w:rPr>
          <w:rFonts w:ascii="Times" w:hAnsi="Times"/>
        </w:rPr>
      </w:pPr>
    </w:p>
    <w:p w14:paraId="194FCE26" w14:textId="710367DA" w:rsidR="007A1698" w:rsidRDefault="007A1698" w:rsidP="007A1698">
      <w:pPr>
        <w:pStyle w:val="NoteLevel1"/>
        <w:numPr>
          <w:ilvl w:val="0"/>
          <w:numId w:val="0"/>
        </w:numPr>
        <w:rPr>
          <w:rFonts w:ascii="Times" w:hAnsi="Times"/>
        </w:rPr>
      </w:pPr>
      <w:r>
        <w:rPr>
          <w:rFonts w:ascii="Times" w:hAnsi="Times"/>
        </w:rPr>
        <w:t xml:space="preserve">- </w:t>
      </w:r>
      <w:r w:rsidRPr="00887758">
        <w:rPr>
          <w:rFonts w:ascii="Times" w:hAnsi="Times"/>
          <w:i/>
        </w:rPr>
        <w:t>Vr</w:t>
      </w:r>
      <w:r w:rsidR="00887758" w:rsidRPr="00887758">
        <w:rPr>
          <w:rFonts w:ascii="Times" w:hAnsi="Times"/>
          <w:i/>
        </w:rPr>
        <w:t>i</w:t>
      </w:r>
      <w:r w:rsidRPr="00887758">
        <w:rPr>
          <w:rFonts w:ascii="Times" w:hAnsi="Times"/>
          <w:i/>
        </w:rPr>
        <w:t>end</w:t>
      </w:r>
      <w:r w:rsidR="00887758" w:rsidRPr="00887758">
        <w:rPr>
          <w:rFonts w:ascii="Times" w:hAnsi="Times"/>
          <w:i/>
        </w:rPr>
        <w:t xml:space="preserve"> v. Alberta</w:t>
      </w:r>
      <w:r w:rsidR="00887758">
        <w:rPr>
          <w:rFonts w:ascii="Times" w:hAnsi="Times"/>
        </w:rPr>
        <w:t xml:space="preserve"> </w:t>
      </w:r>
      <w:r w:rsidR="00BE65EE">
        <w:rPr>
          <w:rFonts w:ascii="Times" w:hAnsi="Times"/>
        </w:rPr>
        <w:t xml:space="preserve"> (Vrend Test—1992)</w:t>
      </w:r>
    </w:p>
    <w:p w14:paraId="455C717A" w14:textId="3F4CA5E0" w:rsidR="001C4553" w:rsidRDefault="00BE65EE" w:rsidP="00E23132">
      <w:pPr>
        <w:pStyle w:val="NoteLevel2"/>
        <w:rPr>
          <w:rFonts w:ascii="Times" w:hAnsi="Times"/>
        </w:rPr>
      </w:pPr>
      <w:r>
        <w:rPr>
          <w:rFonts w:ascii="Times" w:hAnsi="Times"/>
        </w:rPr>
        <w:t xml:space="preserve">**Did an assignment on this last year </w:t>
      </w:r>
    </w:p>
    <w:p w14:paraId="0FF2EEA1" w14:textId="64A18A94" w:rsidR="00BE65EE" w:rsidRDefault="00BE65EE" w:rsidP="00BE65EE">
      <w:pPr>
        <w:pStyle w:val="NoteLevel2"/>
        <w:rPr>
          <w:rFonts w:ascii="Times" w:hAnsi="Times"/>
        </w:rPr>
      </w:pPr>
      <w:r>
        <w:rPr>
          <w:rFonts w:ascii="Times" w:hAnsi="Times"/>
        </w:rPr>
        <w:t>Lab technician at a private College in Albert</w:t>
      </w:r>
      <w:r w:rsidR="007A5091">
        <w:rPr>
          <w:rFonts w:ascii="Times" w:hAnsi="Times"/>
        </w:rPr>
        <w:t>a due to the fact that he was homosexual</w:t>
      </w:r>
      <w:r w:rsidR="002D3A5A">
        <w:rPr>
          <w:rFonts w:ascii="Times" w:hAnsi="Times"/>
        </w:rPr>
        <w:t xml:space="preserve">, but the issue in this case was not wrongful termination, it was that the IRPA (Individual Rights Protection Act) did not protect homosexuals from discrimination—that Alberta’s human rights legislation did not protect everybody </w:t>
      </w:r>
    </w:p>
    <w:p w14:paraId="3BC5B961" w14:textId="73AF91E2" w:rsidR="003011F1" w:rsidRDefault="00BE65EE" w:rsidP="002B3D36">
      <w:pPr>
        <w:pStyle w:val="NoteLevel2"/>
        <w:rPr>
          <w:rFonts w:ascii="Times" w:hAnsi="Times"/>
        </w:rPr>
      </w:pPr>
      <w:r>
        <w:rPr>
          <w:rFonts w:ascii="Times" w:hAnsi="Times"/>
        </w:rPr>
        <w:t>Under s. 15, because of the words ‘in particular’, they can interpret as time p</w:t>
      </w:r>
      <w:r w:rsidR="003011F1">
        <w:rPr>
          <w:rFonts w:ascii="Times" w:hAnsi="Times"/>
        </w:rPr>
        <w:t>asses what else may be included—down the road, by virtue of these words, sexual orientation is now included</w:t>
      </w:r>
    </w:p>
    <w:p w14:paraId="19D1FD7D" w14:textId="2D923E72" w:rsidR="002B3D36" w:rsidRDefault="002B3D36" w:rsidP="002B3D36">
      <w:pPr>
        <w:pStyle w:val="NoteLevel2"/>
        <w:rPr>
          <w:rFonts w:ascii="Times" w:hAnsi="Times"/>
        </w:rPr>
      </w:pPr>
      <w:r>
        <w:rPr>
          <w:rFonts w:ascii="Times" w:hAnsi="Times"/>
        </w:rPr>
        <w:t>The Human Rights legislation for the province of Alberta does not have the ‘in particular’ clause, it lists the complete items upon which there shall be no discrimination</w:t>
      </w:r>
    </w:p>
    <w:p w14:paraId="23BE77A8" w14:textId="01E40163" w:rsidR="00891527" w:rsidRDefault="00891527" w:rsidP="002B3D36">
      <w:pPr>
        <w:pStyle w:val="NoteLevel2"/>
        <w:rPr>
          <w:rFonts w:ascii="Times" w:hAnsi="Times"/>
        </w:rPr>
      </w:pPr>
      <w:r>
        <w:rPr>
          <w:rFonts w:ascii="Times" w:hAnsi="Times"/>
        </w:rPr>
        <w:t>All 9 judges d</w:t>
      </w:r>
      <w:r w:rsidR="007A5091">
        <w:rPr>
          <w:rFonts w:ascii="Times" w:hAnsi="Times"/>
        </w:rPr>
        <w:t xml:space="preserve">ecided there was discrimination, and it was not justifiable </w:t>
      </w:r>
    </w:p>
    <w:p w14:paraId="01A38303" w14:textId="75BF41A1" w:rsidR="00E53801" w:rsidRPr="00E53801" w:rsidRDefault="00E53801" w:rsidP="00E53801">
      <w:pPr>
        <w:pStyle w:val="NoteLevel2"/>
        <w:rPr>
          <w:rFonts w:ascii="Times" w:hAnsi="Times"/>
        </w:rPr>
      </w:pPr>
      <w:r w:rsidRPr="00E53801">
        <w:rPr>
          <w:rFonts w:ascii="Times" w:hAnsi="Times"/>
        </w:rPr>
        <w:t>Para 110, 111…. 114, 116, 118</w:t>
      </w:r>
      <w:r w:rsidR="00283E8D">
        <w:rPr>
          <w:rFonts w:ascii="Times" w:hAnsi="Times"/>
        </w:rPr>
        <w:t xml:space="preserve">, 119, 123 </w:t>
      </w:r>
    </w:p>
    <w:p w14:paraId="0824AA3C" w14:textId="1930839E" w:rsidR="00E53801" w:rsidRDefault="00E53801" w:rsidP="002B3D36">
      <w:pPr>
        <w:pStyle w:val="NoteLevel2"/>
        <w:rPr>
          <w:rFonts w:ascii="Times" w:hAnsi="Times"/>
        </w:rPr>
      </w:pPr>
      <w:r>
        <w:rPr>
          <w:rFonts w:ascii="Times" w:hAnsi="Times"/>
        </w:rPr>
        <w:t xml:space="preserve">It was antithetical to the goal of a HR code to discriminate against </w:t>
      </w:r>
      <w:r w:rsidR="00C14C3A">
        <w:rPr>
          <w:rFonts w:ascii="Times" w:hAnsi="Times"/>
        </w:rPr>
        <w:t xml:space="preserve">homosexuals </w:t>
      </w:r>
    </w:p>
    <w:p w14:paraId="335F4383" w14:textId="77777777" w:rsidR="00ED23F9" w:rsidRDefault="00ED23F9" w:rsidP="00ED23F9">
      <w:pPr>
        <w:pStyle w:val="NoteLevel1"/>
        <w:rPr>
          <w:rFonts w:ascii="Times" w:hAnsi="Times"/>
        </w:rPr>
      </w:pPr>
    </w:p>
    <w:p w14:paraId="68ADC936" w14:textId="04E71AB2" w:rsidR="00ED23F9" w:rsidRDefault="00ED23F9" w:rsidP="00ED23F9">
      <w:pPr>
        <w:pStyle w:val="NoteLevel1"/>
        <w:rPr>
          <w:rFonts w:ascii="Times" w:hAnsi="Times"/>
        </w:rPr>
      </w:pPr>
      <w:r>
        <w:rPr>
          <w:rFonts w:ascii="Times" w:hAnsi="Times"/>
        </w:rPr>
        <w:t>- Eldridge</w:t>
      </w:r>
    </w:p>
    <w:p w14:paraId="6E0D078A" w14:textId="16BA8618" w:rsidR="00ED23F9" w:rsidRDefault="00ED23F9" w:rsidP="00ED23F9">
      <w:pPr>
        <w:pStyle w:val="NoteLevel2"/>
        <w:rPr>
          <w:rFonts w:ascii="Times" w:hAnsi="Times"/>
        </w:rPr>
      </w:pPr>
      <w:r>
        <w:rPr>
          <w:rFonts w:ascii="Times" w:hAnsi="Times"/>
        </w:rPr>
        <w:t xml:space="preserve">Hospital in BC doesn’t offer services for deaf—the door is open, but you need to bring your own interpreter </w:t>
      </w:r>
    </w:p>
    <w:p w14:paraId="0D4E0D7E" w14:textId="303CBBE9" w:rsidR="0045452D" w:rsidRDefault="0045452D" w:rsidP="00ED23F9">
      <w:pPr>
        <w:pStyle w:val="NoteLevel2"/>
        <w:rPr>
          <w:rFonts w:ascii="Times" w:hAnsi="Times"/>
        </w:rPr>
      </w:pPr>
      <w:r>
        <w:rPr>
          <w:rFonts w:ascii="Times" w:hAnsi="Times"/>
        </w:rPr>
        <w:t>On the face this is neutral, but in operation/in effect, it’s adverse—draws a negative impact on people</w:t>
      </w:r>
    </w:p>
    <w:p w14:paraId="5735A45E" w14:textId="5BD7FD7E" w:rsidR="00E53801" w:rsidRPr="00E53801" w:rsidRDefault="0045452D" w:rsidP="00E53801">
      <w:pPr>
        <w:pStyle w:val="NoteLevel2"/>
        <w:rPr>
          <w:rFonts w:ascii="Times" w:hAnsi="Times"/>
        </w:rPr>
      </w:pPr>
      <w:r>
        <w:rPr>
          <w:rFonts w:ascii="Times" w:hAnsi="Times"/>
        </w:rPr>
        <w:t xml:space="preserve">This is another kind of legislation that is subject to Charter </w:t>
      </w:r>
      <w:r w:rsidR="00052901">
        <w:rPr>
          <w:rFonts w:ascii="Times" w:hAnsi="Times"/>
        </w:rPr>
        <w:t>scrutiny</w:t>
      </w:r>
      <w:r>
        <w:rPr>
          <w:rFonts w:ascii="Times" w:hAnsi="Times"/>
        </w:rPr>
        <w:t xml:space="preserve">—it’s not always about what you do, but it can be about what you </w:t>
      </w:r>
      <w:r>
        <w:rPr>
          <w:rFonts w:ascii="Times" w:hAnsi="Times"/>
          <w:i/>
        </w:rPr>
        <w:t>don’t</w:t>
      </w:r>
      <w:r>
        <w:rPr>
          <w:rFonts w:ascii="Times" w:hAnsi="Times"/>
        </w:rPr>
        <w:t xml:space="preserve"> do.</w:t>
      </w:r>
    </w:p>
    <w:p w14:paraId="52B5BDC8" w14:textId="77777777" w:rsidR="00C74A7B" w:rsidRDefault="00C74A7B" w:rsidP="00AC3124">
      <w:pPr>
        <w:pStyle w:val="NoteLevel1"/>
        <w:rPr>
          <w:rFonts w:ascii="Times" w:hAnsi="Times"/>
        </w:rPr>
      </w:pPr>
    </w:p>
    <w:p w14:paraId="70381C80" w14:textId="77777777" w:rsidR="00330654" w:rsidRPr="00522D04" w:rsidRDefault="00330654" w:rsidP="00C63494">
      <w:pPr>
        <w:pStyle w:val="NoteLevel1"/>
        <w:rPr>
          <w:rFonts w:ascii="Times" w:hAnsi="Times"/>
        </w:rPr>
      </w:pPr>
    </w:p>
    <w:p w14:paraId="586C4642" w14:textId="77777777" w:rsidR="00522D04" w:rsidRPr="00522D04" w:rsidRDefault="00522D04" w:rsidP="00522D04">
      <w:pPr>
        <w:pStyle w:val="NoteLevel1"/>
        <w:numPr>
          <w:ilvl w:val="0"/>
          <w:numId w:val="0"/>
        </w:numPr>
        <w:ind w:left="360"/>
        <w:rPr>
          <w:rFonts w:ascii="Times" w:hAnsi="Times"/>
        </w:rPr>
      </w:pPr>
    </w:p>
    <w:p w14:paraId="5589101D" w14:textId="77777777" w:rsidR="004E3C3A" w:rsidRDefault="004E3C3A">
      <w:pPr>
        <w:pStyle w:val="NoteLevel1"/>
        <w:sectPr w:rsidR="004E3C3A" w:rsidSect="004E3C3A">
          <w:headerReference w:type="first" r:id="rId9"/>
          <w:pgSz w:w="12240" w:h="15840"/>
          <w:pgMar w:top="1440" w:right="1440" w:bottom="1440" w:left="1440" w:header="708" w:footer="708" w:gutter="0"/>
          <w:cols w:space="708"/>
          <w:titlePg/>
          <w:docGrid w:type="lines" w:linePitch="360"/>
        </w:sectPr>
      </w:pPr>
    </w:p>
    <w:p w14:paraId="5237FCCD" w14:textId="77777777" w:rsidR="006A6373" w:rsidRPr="006A6373" w:rsidRDefault="006A6373" w:rsidP="006A6373">
      <w:pPr>
        <w:pStyle w:val="NoteLevel1"/>
        <w:rPr>
          <w:rFonts w:ascii="Times" w:hAnsi="Times"/>
          <w:u w:val="single"/>
          <w:lang w:val="en-CA"/>
        </w:rPr>
      </w:pPr>
      <w:r w:rsidRPr="006A6373">
        <w:rPr>
          <w:rFonts w:ascii="Times" w:hAnsi="Times"/>
          <w:u w:val="single"/>
          <w:lang w:val="en-CA"/>
        </w:rPr>
        <w:t>1</w:t>
      </w:r>
      <w:r w:rsidRPr="006A6373">
        <w:rPr>
          <w:rFonts w:ascii="Times" w:hAnsi="Times"/>
          <w:u w:val="single"/>
          <w:vertAlign w:val="superscript"/>
          <w:lang w:val="en-CA"/>
        </w:rPr>
        <w:t>st</w:t>
      </w:r>
      <w:r w:rsidRPr="006A6373">
        <w:rPr>
          <w:rFonts w:ascii="Times" w:hAnsi="Times"/>
          <w:u w:val="single"/>
          <w:lang w:val="en-CA"/>
        </w:rPr>
        <w:t xml:space="preserve"> take home assignment: </w:t>
      </w:r>
    </w:p>
    <w:p w14:paraId="48EA2548" w14:textId="6AD0C3C1" w:rsidR="006A6373" w:rsidRPr="006A6373" w:rsidRDefault="006A6373" w:rsidP="006A6373">
      <w:pPr>
        <w:pStyle w:val="NoteLevel1"/>
        <w:rPr>
          <w:rFonts w:ascii="Times" w:hAnsi="Times"/>
          <w:lang w:val="en-CA"/>
        </w:rPr>
      </w:pPr>
      <w:r>
        <w:rPr>
          <w:rFonts w:ascii="Times" w:hAnsi="Times"/>
          <w:lang w:val="en-CA"/>
        </w:rPr>
        <w:t xml:space="preserve">- </w:t>
      </w:r>
      <w:r w:rsidRPr="006A6373">
        <w:rPr>
          <w:rFonts w:ascii="Times" w:hAnsi="Times"/>
          <w:lang w:val="en-CA"/>
        </w:rPr>
        <w:t>Marked only as pass/fail</w:t>
      </w:r>
    </w:p>
    <w:p w14:paraId="59A508B5" w14:textId="65F2C363" w:rsidR="006A6373" w:rsidRPr="006A6373" w:rsidRDefault="006A6373" w:rsidP="006A6373">
      <w:pPr>
        <w:pStyle w:val="NoteLevel1"/>
        <w:rPr>
          <w:rFonts w:ascii="Times" w:hAnsi="Times"/>
          <w:lang w:val="en-CA"/>
        </w:rPr>
      </w:pPr>
      <w:r>
        <w:rPr>
          <w:rFonts w:ascii="Times" w:hAnsi="Times"/>
          <w:lang w:val="en-CA"/>
        </w:rPr>
        <w:t xml:space="preserve">- </w:t>
      </w:r>
      <w:r w:rsidRPr="006A6373">
        <w:rPr>
          <w:rFonts w:ascii="Times" w:hAnsi="Times"/>
          <w:lang w:val="en-CA"/>
        </w:rPr>
        <w:t>Follow instructions in question</w:t>
      </w:r>
    </w:p>
    <w:p w14:paraId="2B4BE185" w14:textId="2D3EABF8" w:rsidR="006A6373" w:rsidRPr="006A6373" w:rsidRDefault="006A6373" w:rsidP="006A6373">
      <w:pPr>
        <w:pStyle w:val="NoteLevel1"/>
        <w:rPr>
          <w:rFonts w:ascii="Times" w:hAnsi="Times"/>
          <w:lang w:val="en-CA"/>
        </w:rPr>
      </w:pPr>
      <w:r>
        <w:rPr>
          <w:rFonts w:ascii="Times" w:hAnsi="Times"/>
          <w:lang w:val="en-CA"/>
        </w:rPr>
        <w:t xml:space="preserve">- </w:t>
      </w:r>
      <w:r w:rsidRPr="006A6373">
        <w:rPr>
          <w:rFonts w:ascii="Times" w:hAnsi="Times"/>
          <w:lang w:val="en-CA"/>
        </w:rPr>
        <w:t xml:space="preserve">Will allow us to learn what to expect from him on exam: </w:t>
      </w:r>
    </w:p>
    <w:p w14:paraId="19177606" w14:textId="58581E5C" w:rsidR="006A6373" w:rsidRPr="006A6373" w:rsidRDefault="006A6373" w:rsidP="006A6373">
      <w:pPr>
        <w:pStyle w:val="NoteLevel1"/>
        <w:rPr>
          <w:rFonts w:ascii="Times" w:hAnsi="Times"/>
          <w:lang w:val="en-CA"/>
        </w:rPr>
      </w:pPr>
      <w:r>
        <w:rPr>
          <w:rFonts w:ascii="Times" w:hAnsi="Times"/>
          <w:lang w:val="en-CA"/>
        </w:rPr>
        <w:t xml:space="preserve">- </w:t>
      </w:r>
      <w:r w:rsidRPr="006A6373">
        <w:rPr>
          <w:rFonts w:ascii="Times" w:hAnsi="Times"/>
          <w:lang w:val="en-CA"/>
        </w:rPr>
        <w:t>“Mention” = 1 line/sentence, generally ½ to 1 mark each.</w:t>
      </w:r>
    </w:p>
    <w:p w14:paraId="34177B54" w14:textId="0DAFDEFA" w:rsidR="006A6373" w:rsidRPr="006A6373" w:rsidRDefault="006A6373" w:rsidP="006A6373">
      <w:pPr>
        <w:pStyle w:val="NoteLevel1"/>
        <w:numPr>
          <w:ilvl w:val="0"/>
          <w:numId w:val="0"/>
        </w:numPr>
        <w:rPr>
          <w:rFonts w:ascii="Times" w:hAnsi="Times"/>
          <w:lang w:val="en-CA"/>
        </w:rPr>
      </w:pPr>
      <w:r>
        <w:rPr>
          <w:rFonts w:ascii="Times" w:hAnsi="Times"/>
          <w:lang w:val="en-CA"/>
        </w:rPr>
        <w:t xml:space="preserve">- </w:t>
      </w:r>
      <w:r w:rsidRPr="006A6373">
        <w:rPr>
          <w:rFonts w:ascii="Times" w:hAnsi="Times"/>
          <w:lang w:val="en-CA"/>
        </w:rPr>
        <w:t>“Indicate in detail” =  involves analysis/application, generally 1</w:t>
      </w:r>
      <w:r>
        <w:rPr>
          <w:rFonts w:ascii="Times" w:hAnsi="Times"/>
          <w:lang w:val="en-CA"/>
        </w:rPr>
        <w:t xml:space="preserve">-2 paragraphs each  on the four </w:t>
      </w:r>
      <w:r w:rsidRPr="006A6373">
        <w:rPr>
          <w:rFonts w:ascii="Times" w:hAnsi="Times"/>
          <w:lang w:val="en-CA"/>
        </w:rPr>
        <w:t>factors.</w:t>
      </w:r>
    </w:p>
    <w:p w14:paraId="03E3135F" w14:textId="2F09D82A" w:rsidR="006A6373" w:rsidRPr="006A6373" w:rsidRDefault="006A6373" w:rsidP="006A6373">
      <w:pPr>
        <w:pStyle w:val="NoteLevel1"/>
        <w:rPr>
          <w:rFonts w:ascii="Times" w:hAnsi="Times"/>
          <w:lang w:val="en-CA"/>
        </w:rPr>
      </w:pPr>
      <w:r>
        <w:rPr>
          <w:rFonts w:ascii="Times" w:hAnsi="Times"/>
          <w:lang w:val="en-CA"/>
        </w:rPr>
        <w:t xml:space="preserve">- </w:t>
      </w:r>
      <w:r w:rsidRPr="006A6373">
        <w:rPr>
          <w:rFonts w:ascii="Times" w:hAnsi="Times"/>
          <w:lang w:val="en-CA"/>
        </w:rPr>
        <w:t>Single/double spaced: “doesn’t care” but doesn’t want single.</w:t>
      </w:r>
    </w:p>
    <w:p w14:paraId="396ACC6C" w14:textId="27B697B4" w:rsidR="006A6373" w:rsidRPr="006A6373" w:rsidRDefault="006A6373" w:rsidP="006A6373">
      <w:pPr>
        <w:pStyle w:val="NoteLevel1"/>
        <w:rPr>
          <w:rFonts w:ascii="Times" w:hAnsi="Times"/>
          <w:lang w:val="en-CA"/>
        </w:rPr>
      </w:pPr>
      <w:r>
        <w:rPr>
          <w:rFonts w:ascii="Times" w:hAnsi="Times"/>
          <w:lang w:val="en-CA"/>
        </w:rPr>
        <w:t xml:space="preserve">- </w:t>
      </w:r>
      <w:r w:rsidRPr="006A6373">
        <w:rPr>
          <w:rFonts w:ascii="Times" w:hAnsi="Times"/>
          <w:lang w:val="en-CA"/>
        </w:rPr>
        <w:t>No pinpoint references or citations needed.</w:t>
      </w:r>
    </w:p>
    <w:p w14:paraId="51312BD1" w14:textId="77777777" w:rsidR="006A6373" w:rsidRPr="006A6373" w:rsidRDefault="006A6373" w:rsidP="006A6373">
      <w:pPr>
        <w:pStyle w:val="NoteLevel1"/>
        <w:rPr>
          <w:rFonts w:ascii="Times" w:hAnsi="Times"/>
          <w:lang w:val="en-CA"/>
        </w:rPr>
      </w:pPr>
    </w:p>
    <w:p w14:paraId="13B529CF" w14:textId="77777777" w:rsidR="006A6373" w:rsidRPr="006A6373" w:rsidRDefault="006A6373" w:rsidP="006A6373">
      <w:pPr>
        <w:pStyle w:val="NoteLevel1"/>
        <w:rPr>
          <w:rFonts w:ascii="Times" w:hAnsi="Times"/>
          <w:lang w:val="en-CA"/>
        </w:rPr>
      </w:pPr>
      <w:r w:rsidRPr="006A6373">
        <w:rPr>
          <w:rFonts w:ascii="Times" w:hAnsi="Times"/>
          <w:u w:val="single"/>
          <w:lang w:val="en-CA"/>
        </w:rPr>
        <w:t xml:space="preserve">Continuation of Justification (s1 Oakes test): </w:t>
      </w:r>
    </w:p>
    <w:p w14:paraId="2811A146" w14:textId="5873B011" w:rsidR="006A6373" w:rsidRPr="006A6373" w:rsidRDefault="006A6373" w:rsidP="006A6373">
      <w:pPr>
        <w:pStyle w:val="NoteLevel1"/>
        <w:rPr>
          <w:rFonts w:ascii="Times" w:hAnsi="Times"/>
          <w:lang w:val="en-CA"/>
        </w:rPr>
      </w:pPr>
      <w:r>
        <w:rPr>
          <w:rFonts w:ascii="Times" w:hAnsi="Times"/>
          <w:lang w:val="en-CA"/>
        </w:rPr>
        <w:t xml:space="preserve">- </w:t>
      </w:r>
      <w:r w:rsidRPr="006A6373">
        <w:rPr>
          <w:rFonts w:ascii="Times" w:hAnsi="Times"/>
          <w:lang w:val="en-CA"/>
        </w:rPr>
        <w:t>Pressing and substantial objective</w:t>
      </w:r>
    </w:p>
    <w:p w14:paraId="4764C150" w14:textId="69366124" w:rsidR="006A6373" w:rsidRPr="006A6373" w:rsidRDefault="006A6373" w:rsidP="006A6373">
      <w:pPr>
        <w:pStyle w:val="NoteLevel1"/>
        <w:rPr>
          <w:rFonts w:ascii="Times" w:hAnsi="Times"/>
          <w:lang w:val="en-CA"/>
        </w:rPr>
      </w:pPr>
      <w:r>
        <w:rPr>
          <w:rFonts w:ascii="Times" w:hAnsi="Times"/>
          <w:lang w:val="en-CA"/>
        </w:rPr>
        <w:t xml:space="preserve">- </w:t>
      </w:r>
      <w:r w:rsidRPr="006A6373">
        <w:rPr>
          <w:rFonts w:ascii="Times" w:hAnsi="Times"/>
          <w:lang w:val="en-CA"/>
        </w:rPr>
        <w:t>Rational connection between objective and way to get there</w:t>
      </w:r>
    </w:p>
    <w:p w14:paraId="7F58ED74" w14:textId="103FE09F" w:rsidR="006A6373" w:rsidRPr="006A6373" w:rsidRDefault="006A6373" w:rsidP="006A6373">
      <w:pPr>
        <w:pStyle w:val="NoteLevel1"/>
        <w:rPr>
          <w:rFonts w:ascii="Times" w:hAnsi="Times"/>
          <w:lang w:val="en-CA"/>
        </w:rPr>
      </w:pPr>
      <w:r>
        <w:rPr>
          <w:rFonts w:ascii="Times" w:hAnsi="Times"/>
          <w:lang w:val="en-CA"/>
        </w:rPr>
        <w:t>-</w:t>
      </w:r>
      <w:r w:rsidRPr="006A6373">
        <w:rPr>
          <w:rFonts w:ascii="Times" w:hAnsi="Times"/>
          <w:lang w:val="en-CA"/>
        </w:rPr>
        <w:t>Minimal impairment (was there any other method where objectiv</w:t>
      </w:r>
      <w:r>
        <w:rPr>
          <w:rFonts w:ascii="Times" w:hAnsi="Times"/>
          <w:lang w:val="en-CA"/>
        </w:rPr>
        <w:t xml:space="preserve">e could have been achieved </w:t>
      </w:r>
      <w:r w:rsidRPr="006A6373">
        <w:rPr>
          <w:rFonts w:ascii="Times" w:hAnsi="Times"/>
          <w:lang w:val="en-CA"/>
        </w:rPr>
        <w:t>with less harm/minimal impairment to right)</w:t>
      </w:r>
    </w:p>
    <w:p w14:paraId="119A81B7" w14:textId="6CC98DE4" w:rsidR="006A6373" w:rsidRPr="006A6373" w:rsidRDefault="006A6373" w:rsidP="006A6373">
      <w:pPr>
        <w:pStyle w:val="NoteLevel1"/>
        <w:rPr>
          <w:rFonts w:ascii="Times" w:hAnsi="Times"/>
          <w:lang w:val="en-CA"/>
        </w:rPr>
      </w:pPr>
      <w:r>
        <w:rPr>
          <w:rFonts w:ascii="Times" w:hAnsi="Times"/>
          <w:lang w:val="en-CA"/>
        </w:rPr>
        <w:t xml:space="preserve">- </w:t>
      </w:r>
      <w:r w:rsidRPr="006A6373">
        <w:rPr>
          <w:rFonts w:ascii="Times" w:hAnsi="Times"/>
          <w:lang w:val="en-CA"/>
        </w:rPr>
        <w:t>Justified in a free and dem</w:t>
      </w:r>
      <w:r>
        <w:rPr>
          <w:rFonts w:ascii="Times" w:hAnsi="Times"/>
          <w:lang w:val="en-CA"/>
        </w:rPr>
        <w:t>o</w:t>
      </w:r>
      <w:r w:rsidRPr="006A6373">
        <w:rPr>
          <w:rFonts w:ascii="Times" w:hAnsi="Times"/>
          <w:lang w:val="en-CA"/>
        </w:rPr>
        <w:t>cratic society</w:t>
      </w:r>
    </w:p>
    <w:p w14:paraId="6F6F05A5" w14:textId="0FCF2427" w:rsidR="006A6373" w:rsidRPr="006A6373" w:rsidRDefault="006A6373" w:rsidP="006A6373">
      <w:pPr>
        <w:pStyle w:val="NoteLevel1"/>
        <w:numPr>
          <w:ilvl w:val="0"/>
          <w:numId w:val="0"/>
        </w:numPr>
        <w:rPr>
          <w:rFonts w:ascii="Times" w:hAnsi="Times"/>
          <w:lang w:val="en-CA"/>
        </w:rPr>
      </w:pPr>
      <w:r>
        <w:rPr>
          <w:rFonts w:ascii="Times" w:hAnsi="Times"/>
          <w:lang w:val="en-CA"/>
        </w:rPr>
        <w:t xml:space="preserve">- </w:t>
      </w:r>
      <w:r w:rsidRPr="006A6373">
        <w:rPr>
          <w:rFonts w:ascii="Times" w:hAnsi="Times"/>
          <w:lang w:val="en-CA"/>
        </w:rPr>
        <w:t>(Looked at pressing and substantial objective and rationale connection last week)</w:t>
      </w:r>
    </w:p>
    <w:p w14:paraId="113885AD" w14:textId="77777777" w:rsidR="006A6373" w:rsidRPr="006A6373" w:rsidRDefault="006A6373" w:rsidP="006A6373">
      <w:pPr>
        <w:pStyle w:val="NoteLevel1"/>
        <w:rPr>
          <w:rFonts w:ascii="Times" w:hAnsi="Times"/>
          <w:lang w:val="en-CA"/>
        </w:rPr>
      </w:pPr>
    </w:p>
    <w:p w14:paraId="406D05B4" w14:textId="77777777" w:rsidR="006A6373" w:rsidRPr="006A6373" w:rsidRDefault="006A6373" w:rsidP="006A6373">
      <w:pPr>
        <w:pStyle w:val="NoteLevel1"/>
        <w:rPr>
          <w:rFonts w:ascii="Times" w:hAnsi="Times"/>
          <w:u w:val="single"/>
          <w:lang w:val="en-CA"/>
        </w:rPr>
      </w:pPr>
      <w:r w:rsidRPr="006A6373">
        <w:rPr>
          <w:rFonts w:ascii="Times" w:hAnsi="Times"/>
          <w:u w:val="single"/>
          <w:lang w:val="en-CA"/>
        </w:rPr>
        <w:t xml:space="preserve">Minimal Impairment: </w:t>
      </w:r>
    </w:p>
    <w:p w14:paraId="3180ABA6" w14:textId="0A4896E1" w:rsidR="006A6373" w:rsidRPr="006A6373" w:rsidRDefault="006A6373" w:rsidP="006A6373">
      <w:pPr>
        <w:pStyle w:val="NoteLevel1"/>
        <w:rPr>
          <w:rFonts w:ascii="Times" w:hAnsi="Times"/>
          <w:lang w:val="en-CA"/>
        </w:rPr>
      </w:pPr>
      <w:r>
        <w:rPr>
          <w:rFonts w:ascii="Times" w:hAnsi="Times"/>
          <w:lang w:val="en-CA"/>
        </w:rPr>
        <w:t xml:space="preserve">- </w:t>
      </w:r>
      <w:r w:rsidRPr="006A6373">
        <w:rPr>
          <w:rFonts w:ascii="Times" w:hAnsi="Times"/>
          <w:lang w:val="en-CA"/>
        </w:rPr>
        <w:t xml:space="preserve">In Vriend, the IRPA stopped short of protecting against sexual orientation being a protected ground.  Therefore, OK to discriminate based on </w:t>
      </w:r>
      <w:r w:rsidR="00504770">
        <w:rPr>
          <w:rFonts w:ascii="Times" w:hAnsi="Times"/>
          <w:lang w:val="en-CA"/>
        </w:rPr>
        <w:t>s.o</w:t>
      </w:r>
      <w:r w:rsidRPr="006A6373">
        <w:rPr>
          <w:rFonts w:ascii="Times" w:hAnsi="Times"/>
          <w:lang w:val="en-CA"/>
        </w:rPr>
        <w:t>. for housing, employment, services etc.</w:t>
      </w:r>
    </w:p>
    <w:p w14:paraId="3045D04E" w14:textId="58936777" w:rsidR="006A6373" w:rsidRPr="006A6373" w:rsidRDefault="00BA460F" w:rsidP="006A6373">
      <w:pPr>
        <w:pStyle w:val="NoteLevel1"/>
        <w:rPr>
          <w:rFonts w:ascii="Times" w:hAnsi="Times"/>
          <w:lang w:val="en-CA"/>
        </w:rPr>
      </w:pPr>
      <w:r>
        <w:rPr>
          <w:rFonts w:ascii="Times" w:hAnsi="Times"/>
          <w:lang w:val="en-CA"/>
        </w:rPr>
        <w:t xml:space="preserve">- </w:t>
      </w:r>
      <w:r w:rsidR="006A6373" w:rsidRPr="006A6373">
        <w:rPr>
          <w:rFonts w:ascii="Times" w:hAnsi="Times"/>
          <w:lang w:val="en-CA"/>
        </w:rPr>
        <w:t xml:space="preserve">Up to government to balance interests in society.  Interests are often competing (ie.  religion vs. same sex marriage).   Need to find balancing factor- include as much as possible but then allow some </w:t>
      </w:r>
      <w:r w:rsidR="00504770" w:rsidRPr="006A6373">
        <w:rPr>
          <w:rFonts w:ascii="Times" w:hAnsi="Times"/>
          <w:lang w:val="en-CA"/>
        </w:rPr>
        <w:t>exclusions</w:t>
      </w:r>
      <w:r w:rsidR="006A6373" w:rsidRPr="006A6373">
        <w:rPr>
          <w:rFonts w:ascii="Times" w:hAnsi="Times"/>
          <w:lang w:val="en-CA"/>
        </w:rPr>
        <w:t xml:space="preserve"> (ie. not applicable in Catholic churches/schools)</w:t>
      </w:r>
    </w:p>
    <w:p w14:paraId="01550161" w14:textId="2EBECEE1" w:rsidR="006A6373" w:rsidRPr="006A6373" w:rsidRDefault="00BA460F" w:rsidP="006A6373">
      <w:pPr>
        <w:pStyle w:val="NoteLevel1"/>
        <w:rPr>
          <w:rFonts w:ascii="Times" w:hAnsi="Times"/>
          <w:lang w:val="en-CA"/>
        </w:rPr>
      </w:pPr>
      <w:r>
        <w:rPr>
          <w:rFonts w:ascii="Times" w:hAnsi="Times"/>
          <w:lang w:val="en-CA"/>
        </w:rPr>
        <w:t xml:space="preserve">- </w:t>
      </w:r>
      <w:r w:rsidR="006A6373" w:rsidRPr="006A6373">
        <w:rPr>
          <w:rFonts w:ascii="Times" w:hAnsi="Times"/>
          <w:lang w:val="en-CA"/>
        </w:rPr>
        <w:t>In determining the balancing factor, look to who would be the most opposed to the inclusion in protection? Would be open to provide protection but not extend to religious institutions (they could still discriminate); some better than none at all (Vriend para 123).  Competing interests/freedoms: homosexuality and religious freedom.</w:t>
      </w:r>
    </w:p>
    <w:p w14:paraId="35228CD4" w14:textId="3F8CE2F2" w:rsidR="006A6373" w:rsidRPr="006A6373" w:rsidRDefault="00BA460F" w:rsidP="006A6373">
      <w:pPr>
        <w:pStyle w:val="NoteLevel1"/>
        <w:rPr>
          <w:rFonts w:ascii="Times" w:hAnsi="Times"/>
          <w:lang w:val="en-CA"/>
        </w:rPr>
      </w:pPr>
      <w:r>
        <w:rPr>
          <w:rFonts w:ascii="Times" w:hAnsi="Times"/>
          <w:lang w:val="en-CA"/>
        </w:rPr>
        <w:t xml:space="preserve">- </w:t>
      </w:r>
      <w:r w:rsidR="006A6373" w:rsidRPr="006A6373">
        <w:rPr>
          <w:rFonts w:ascii="Times" w:hAnsi="Times"/>
          <w:lang w:val="en-CA"/>
        </w:rPr>
        <w:t xml:space="preserve">Back up to Egan- the court found 5-4 in favour that discrimination existed; but then found 4-5 that it was justified.  Sopinka arguing for </w:t>
      </w:r>
      <w:r w:rsidR="006A6373" w:rsidRPr="00504770">
        <w:rPr>
          <w:rFonts w:ascii="Times" w:hAnsi="Times"/>
          <w:i/>
          <w:lang w:val="en-CA"/>
        </w:rPr>
        <w:t>judicial deference</w:t>
      </w:r>
      <w:r w:rsidR="006A6373" w:rsidRPr="006A6373">
        <w:rPr>
          <w:rFonts w:ascii="Times" w:hAnsi="Times"/>
          <w:lang w:val="en-CA"/>
        </w:rPr>
        <w:t xml:space="preserve"> (courts to respect the decisions made by the elected legislature).</w:t>
      </w:r>
    </w:p>
    <w:p w14:paraId="1AEB45EB" w14:textId="77777777" w:rsidR="00BA460F" w:rsidRPr="00BA460F" w:rsidRDefault="00BA460F" w:rsidP="006A6373">
      <w:pPr>
        <w:pStyle w:val="NoteLevel1"/>
        <w:rPr>
          <w:rFonts w:ascii="Times" w:hAnsi="Times"/>
          <w:u w:val="single"/>
          <w:lang w:val="en-CA"/>
        </w:rPr>
      </w:pPr>
    </w:p>
    <w:p w14:paraId="09816967" w14:textId="21D07D26" w:rsidR="006A6373" w:rsidRPr="00BA460F" w:rsidRDefault="00B55927" w:rsidP="006A6373">
      <w:pPr>
        <w:pStyle w:val="NoteLevel1"/>
        <w:rPr>
          <w:rFonts w:ascii="Times" w:hAnsi="Times"/>
          <w:u w:val="single"/>
          <w:lang w:val="en-CA"/>
        </w:rPr>
      </w:pPr>
      <w:r w:rsidRPr="00B55927">
        <w:rPr>
          <w:rFonts w:ascii="Times" w:hAnsi="Times"/>
          <w:i/>
          <w:u w:val="single"/>
          <w:lang w:val="en-CA"/>
        </w:rPr>
        <w:t>Vriend v. Alberta</w:t>
      </w:r>
      <w:r w:rsidRPr="00B55927">
        <w:rPr>
          <w:rFonts w:ascii="Times" w:hAnsi="Times"/>
          <w:u w:val="single"/>
          <w:lang w:val="en-CA"/>
        </w:rPr>
        <w:t>, [1998] 1 S.C.R. 493</w:t>
      </w:r>
      <w:r w:rsidR="006A6373" w:rsidRPr="00BA460F">
        <w:rPr>
          <w:rFonts w:ascii="Times" w:hAnsi="Times"/>
          <w:u w:val="single"/>
          <w:lang w:val="en-CA"/>
        </w:rPr>
        <w:t xml:space="preserve"> </w:t>
      </w:r>
    </w:p>
    <w:p w14:paraId="44B53EDD" w14:textId="132A7B02" w:rsidR="006A6373" w:rsidRPr="006A6373" w:rsidRDefault="00BA460F" w:rsidP="006A6373">
      <w:pPr>
        <w:pStyle w:val="NoteLevel1"/>
        <w:rPr>
          <w:rFonts w:ascii="Times" w:hAnsi="Times"/>
          <w:lang w:val="en-CA"/>
        </w:rPr>
      </w:pPr>
      <w:r>
        <w:rPr>
          <w:rFonts w:ascii="Times" w:hAnsi="Times"/>
          <w:lang w:val="en-CA"/>
        </w:rPr>
        <w:t xml:space="preserve">- Para 124: </w:t>
      </w:r>
      <w:r w:rsidR="006A6373" w:rsidRPr="006A6373">
        <w:rPr>
          <w:rFonts w:ascii="Times" w:hAnsi="Times"/>
          <w:lang w:val="en-CA"/>
        </w:rPr>
        <w:t>“IRPA provides internal mechanisms for balancing these rival concerns…”  i.e. discrimination can be justified (bona fide job requirement for health and safety, must wear hard hat instead of turban etc.)</w:t>
      </w:r>
    </w:p>
    <w:p w14:paraId="78398D72" w14:textId="5982F9B4" w:rsidR="006A6373" w:rsidRPr="006A6373" w:rsidRDefault="00BA460F" w:rsidP="00BA460F">
      <w:pPr>
        <w:pStyle w:val="NoteLevel1"/>
        <w:rPr>
          <w:rFonts w:ascii="Times" w:hAnsi="Times"/>
          <w:lang w:val="en-CA"/>
        </w:rPr>
      </w:pPr>
      <w:r>
        <w:rPr>
          <w:rFonts w:ascii="Times" w:hAnsi="Times"/>
          <w:lang w:val="en-CA"/>
        </w:rPr>
        <w:t xml:space="preserve">- Para 124: </w:t>
      </w:r>
      <w:r w:rsidR="006A6373" w:rsidRPr="006A6373">
        <w:rPr>
          <w:rFonts w:ascii="Times" w:hAnsi="Times"/>
          <w:lang w:val="en-CA"/>
        </w:rPr>
        <w:t xml:space="preserve"> “balancing provisions ensure no conferral of rights is absolute…no one right being automatically paramount to another.”</w:t>
      </w:r>
    </w:p>
    <w:p w14:paraId="52F438D0" w14:textId="2F8A1229" w:rsidR="006A6373" w:rsidRPr="006A6373" w:rsidRDefault="00BA460F" w:rsidP="006A6373">
      <w:pPr>
        <w:pStyle w:val="NoteLevel1"/>
        <w:rPr>
          <w:rFonts w:ascii="Times" w:hAnsi="Times"/>
          <w:lang w:val="en-CA"/>
        </w:rPr>
      </w:pPr>
      <w:r>
        <w:rPr>
          <w:rFonts w:ascii="Times" w:hAnsi="Times"/>
          <w:lang w:val="en-CA"/>
        </w:rPr>
        <w:t xml:space="preserve">- Para 125: </w:t>
      </w:r>
      <w:r w:rsidR="006A6373" w:rsidRPr="006A6373">
        <w:rPr>
          <w:rFonts w:ascii="Times" w:hAnsi="Times"/>
          <w:lang w:val="en-CA"/>
        </w:rPr>
        <w:t>“Thus…within the legislation”.  The complete exclusion is not OK, no balancing has been done.</w:t>
      </w:r>
    </w:p>
    <w:p w14:paraId="7E345AB3" w14:textId="7C77472F" w:rsidR="006A6373" w:rsidRPr="006A6373" w:rsidRDefault="00BA460F" w:rsidP="006A6373">
      <w:pPr>
        <w:pStyle w:val="NoteLevel1"/>
        <w:rPr>
          <w:rFonts w:ascii="Times" w:hAnsi="Times"/>
          <w:lang w:val="en-CA"/>
        </w:rPr>
      </w:pPr>
      <w:r>
        <w:rPr>
          <w:rFonts w:ascii="Times" w:hAnsi="Times"/>
          <w:lang w:val="en-CA"/>
        </w:rPr>
        <w:t>- Para 126:</w:t>
      </w:r>
      <w:r w:rsidR="006A6373" w:rsidRPr="006A6373">
        <w:rPr>
          <w:rFonts w:ascii="Times" w:hAnsi="Times"/>
          <w:lang w:val="en-CA"/>
        </w:rPr>
        <w:t xml:space="preserve"> Start talking about judicial deference.  Crt quoted paragraph from RJR McDonald re: Parliament’s role, but the courts also have a role.  Courts need to review whether a law is constitutional, and if it is they should defer to the legislature, but if not the court must intervene.</w:t>
      </w:r>
    </w:p>
    <w:p w14:paraId="39888EBF" w14:textId="3EC85FEF" w:rsidR="006A6373" w:rsidRPr="006A6373" w:rsidRDefault="00BA460F" w:rsidP="006A6373">
      <w:pPr>
        <w:pStyle w:val="NoteLevel1"/>
        <w:rPr>
          <w:rFonts w:ascii="Times" w:hAnsi="Times"/>
          <w:lang w:val="en-CA"/>
        </w:rPr>
      </w:pPr>
      <w:r>
        <w:rPr>
          <w:rFonts w:ascii="Times" w:hAnsi="Times"/>
          <w:lang w:val="en-CA"/>
        </w:rPr>
        <w:t>- Para 127:</w:t>
      </w:r>
      <w:r w:rsidR="006A6373" w:rsidRPr="006A6373">
        <w:rPr>
          <w:rFonts w:ascii="Times" w:hAnsi="Times"/>
          <w:lang w:val="en-CA"/>
        </w:rPr>
        <w:t xml:space="preserve"> “Failed to demonstrate…” Minimal impairment not achieved, constitutes total impairment, therefore judicial deference not appropriate.</w:t>
      </w:r>
    </w:p>
    <w:p w14:paraId="46D909D5" w14:textId="64F3B880" w:rsidR="006A6373" w:rsidRPr="006A6373" w:rsidRDefault="00BA460F" w:rsidP="006A6373">
      <w:pPr>
        <w:pStyle w:val="NoteLevel1"/>
        <w:rPr>
          <w:rFonts w:ascii="Times" w:hAnsi="Times"/>
          <w:lang w:val="en-CA"/>
        </w:rPr>
      </w:pPr>
      <w:r>
        <w:rPr>
          <w:rFonts w:ascii="Times" w:hAnsi="Times"/>
          <w:lang w:val="en-CA"/>
        </w:rPr>
        <w:t xml:space="preserve">- Para 128: </w:t>
      </w:r>
      <w:r w:rsidR="006A6373" w:rsidRPr="006A6373">
        <w:rPr>
          <w:rFonts w:ascii="Times" w:hAnsi="Times"/>
          <w:lang w:val="en-CA"/>
        </w:rPr>
        <w:t xml:space="preserve">Proportionality between effect “deleterious effects…failed to demonstrate…”, no positive effects and many negative effects.  </w:t>
      </w:r>
    </w:p>
    <w:p w14:paraId="0F5AFF0F" w14:textId="74F9FB3C" w:rsidR="006A6373" w:rsidRPr="006A6373" w:rsidRDefault="00BA460F" w:rsidP="006A6373">
      <w:pPr>
        <w:pStyle w:val="NoteLevel1"/>
        <w:rPr>
          <w:rFonts w:ascii="Times" w:hAnsi="Times"/>
          <w:lang w:val="en-CA"/>
        </w:rPr>
      </w:pPr>
      <w:r>
        <w:rPr>
          <w:rFonts w:ascii="Times" w:hAnsi="Times"/>
          <w:lang w:val="en-CA"/>
        </w:rPr>
        <w:t xml:space="preserve">- </w:t>
      </w:r>
      <w:r w:rsidR="006A6373" w:rsidRPr="006A6373">
        <w:rPr>
          <w:rFonts w:ascii="Times" w:hAnsi="Times"/>
          <w:lang w:val="en-CA"/>
        </w:rPr>
        <w:t>So, cannot be saved under s1.  So we have discrimination, and that discrimination cannot be saved under s1.  So now we have to determine a remedy.</w:t>
      </w:r>
    </w:p>
    <w:p w14:paraId="23A74923" w14:textId="01E6B2D8" w:rsidR="006A6373" w:rsidRPr="00BA460F" w:rsidRDefault="00BA460F" w:rsidP="00BA460F">
      <w:pPr>
        <w:pStyle w:val="NoteLevel1"/>
        <w:rPr>
          <w:rFonts w:ascii="Times" w:hAnsi="Times"/>
          <w:lang w:val="en-CA"/>
        </w:rPr>
      </w:pPr>
      <w:r>
        <w:rPr>
          <w:rFonts w:ascii="Times" w:hAnsi="Times"/>
          <w:lang w:val="en-CA"/>
        </w:rPr>
        <w:t xml:space="preserve">- </w:t>
      </w:r>
      <w:r w:rsidR="006A6373" w:rsidRPr="00B55927">
        <w:rPr>
          <w:rFonts w:ascii="Times" w:hAnsi="Times"/>
          <w:lang w:val="en-CA"/>
        </w:rPr>
        <w:t>Remedy</w:t>
      </w:r>
    </w:p>
    <w:p w14:paraId="63AD807B" w14:textId="473B8AF4" w:rsidR="006A6373" w:rsidRPr="00441C6A" w:rsidRDefault="00BA460F" w:rsidP="00BA460F">
      <w:pPr>
        <w:pStyle w:val="NoteLevel2"/>
        <w:rPr>
          <w:rFonts w:ascii="Times" w:hAnsi="Times"/>
          <w:color w:val="FF0000"/>
          <w:lang w:val="en-CA"/>
        </w:rPr>
      </w:pPr>
      <w:r>
        <w:rPr>
          <w:rFonts w:ascii="Times" w:hAnsi="Times"/>
          <w:lang w:val="en-CA"/>
        </w:rPr>
        <w:t>-</w:t>
      </w:r>
      <w:r w:rsidR="006A6373" w:rsidRPr="00441C6A">
        <w:rPr>
          <w:rFonts w:ascii="Times" w:hAnsi="Times"/>
          <w:color w:val="FF0000"/>
          <w:lang w:val="en-CA"/>
        </w:rPr>
        <w:t>S</w:t>
      </w:r>
      <w:r w:rsidR="00441C6A">
        <w:rPr>
          <w:rFonts w:ascii="Times" w:hAnsi="Times"/>
          <w:color w:val="FF0000"/>
          <w:lang w:val="en-CA"/>
        </w:rPr>
        <w:t xml:space="preserve">ection </w:t>
      </w:r>
      <w:r w:rsidR="006A6373" w:rsidRPr="00441C6A">
        <w:rPr>
          <w:rFonts w:ascii="Times" w:hAnsi="Times"/>
          <w:color w:val="FF0000"/>
          <w:lang w:val="en-CA"/>
        </w:rPr>
        <w:t>52(1) of Constitution Act “…supreme law of Canada, and any law that is inconsistent…</w:t>
      </w:r>
      <w:r w:rsidR="006A6373" w:rsidRPr="00441C6A">
        <w:rPr>
          <w:rFonts w:ascii="Times" w:hAnsi="Times"/>
          <w:i/>
          <w:color w:val="FF0000"/>
          <w:lang w:val="en-CA"/>
        </w:rPr>
        <w:t>to the extent of the inconsistency,</w:t>
      </w:r>
      <w:r w:rsidR="006A6373" w:rsidRPr="00441C6A">
        <w:rPr>
          <w:rFonts w:ascii="Times" w:hAnsi="Times"/>
          <w:color w:val="FF0000"/>
          <w:u w:val="single"/>
          <w:lang w:val="en-CA"/>
        </w:rPr>
        <w:t xml:space="preserve"> </w:t>
      </w:r>
      <w:r w:rsidR="006A6373" w:rsidRPr="00441C6A">
        <w:rPr>
          <w:rFonts w:ascii="Times" w:hAnsi="Times"/>
          <w:color w:val="FF0000"/>
          <w:lang w:val="en-CA"/>
        </w:rPr>
        <w:t>is of no force or effect.”</w:t>
      </w:r>
    </w:p>
    <w:p w14:paraId="1226D470" w14:textId="209AB18B" w:rsidR="006A6373" w:rsidRPr="006A6373" w:rsidRDefault="006A6373" w:rsidP="00BA460F">
      <w:pPr>
        <w:pStyle w:val="NoteLevel2"/>
        <w:rPr>
          <w:rFonts w:ascii="Times" w:hAnsi="Times"/>
          <w:lang w:val="en-CA"/>
        </w:rPr>
      </w:pPr>
      <w:r w:rsidRPr="006A6373">
        <w:rPr>
          <w:rFonts w:ascii="Times" w:hAnsi="Times"/>
          <w:lang w:val="en-CA"/>
        </w:rPr>
        <w:t>Need to determine a remedy that will allow Alberta to still have human rights legislation but make it constitutional.</w:t>
      </w:r>
    </w:p>
    <w:p w14:paraId="76B099C9" w14:textId="6527833D" w:rsidR="006A6373" w:rsidRPr="006A6373" w:rsidRDefault="006A6373" w:rsidP="00BA460F">
      <w:pPr>
        <w:pStyle w:val="NoteLevel2"/>
        <w:rPr>
          <w:rFonts w:ascii="Times" w:hAnsi="Times"/>
          <w:lang w:val="en-CA"/>
        </w:rPr>
      </w:pPr>
      <w:r w:rsidRPr="006A6373">
        <w:rPr>
          <w:rFonts w:ascii="Times" w:hAnsi="Times"/>
          <w:lang w:val="en-CA"/>
        </w:rPr>
        <w:t>“Charter Dialogue”- part of our reading (Chp4)- not a lot of time spend on this on exame, but it will often come up in case law.  If  law is “in the box” aka constitutional leave it alone, if “outside the box” the court then “speaks” and determines remedy.  This back and forth between courts and legislature is the “dialogue”.</w:t>
      </w:r>
    </w:p>
    <w:p w14:paraId="7008B0B3" w14:textId="37E2B2F9" w:rsidR="006A6373" w:rsidRPr="006A6373" w:rsidRDefault="006A6373" w:rsidP="00BA460F">
      <w:pPr>
        <w:pStyle w:val="NoteLevel2"/>
        <w:rPr>
          <w:rFonts w:ascii="Times" w:hAnsi="Times"/>
          <w:lang w:val="en-CA"/>
        </w:rPr>
      </w:pPr>
      <w:r w:rsidRPr="006A6373">
        <w:rPr>
          <w:rFonts w:ascii="Times" w:hAnsi="Times"/>
          <w:lang w:val="en-CA"/>
        </w:rPr>
        <w:t>Para 144-145- Sometimes the courts will tell the legislature what to do, but this is really going outside its parameters and is exceptional. It does happen though (and happened in Vriend) but parliament is not bound by the remedy dicated by the court.</w:t>
      </w:r>
    </w:p>
    <w:p w14:paraId="186FA676" w14:textId="0EF8BEF2" w:rsidR="006A6373" w:rsidRPr="006A6373" w:rsidRDefault="006A6373" w:rsidP="00BA460F">
      <w:pPr>
        <w:pStyle w:val="NoteLevel2"/>
        <w:rPr>
          <w:rFonts w:ascii="Times" w:hAnsi="Times"/>
          <w:lang w:val="en-CA"/>
        </w:rPr>
      </w:pPr>
      <w:r w:rsidRPr="006A6373">
        <w:rPr>
          <w:rFonts w:ascii="Times" w:hAnsi="Times"/>
          <w:lang w:val="en-CA"/>
        </w:rPr>
        <w:t>Several options for remedy: strike down the legislation entirely, sever  the “offending section” and strike that section down leaving the rest of the legislation intact (action is immediate), sever and strike down offending section with a temporary suspension of invalidity (give legislature X amount of time to fix), and reading in legislation (action is immediate).</w:t>
      </w:r>
    </w:p>
    <w:p w14:paraId="0E51B1D8" w14:textId="77C1FE23" w:rsidR="006A6373" w:rsidRPr="006A6373" w:rsidRDefault="006A6373" w:rsidP="00BA460F">
      <w:pPr>
        <w:pStyle w:val="NoteLevel2"/>
        <w:rPr>
          <w:rFonts w:ascii="Times" w:hAnsi="Times"/>
          <w:lang w:val="en-CA"/>
        </w:rPr>
      </w:pPr>
      <w:r w:rsidRPr="006A6373">
        <w:rPr>
          <w:rFonts w:ascii="Times" w:hAnsi="Times"/>
          <w:lang w:val="en-CA"/>
        </w:rPr>
        <w:t>Para 148- “Twin guiding principles”: respect parliament and respect the purposes of the Charter.</w:t>
      </w:r>
    </w:p>
    <w:p w14:paraId="6F206F0D" w14:textId="683F75B4" w:rsidR="006A6373" w:rsidRPr="006A6373" w:rsidRDefault="006A6373" w:rsidP="00BA460F">
      <w:pPr>
        <w:pStyle w:val="NoteLevel2"/>
        <w:rPr>
          <w:rFonts w:ascii="Times" w:hAnsi="Times"/>
          <w:lang w:val="en-CA"/>
        </w:rPr>
      </w:pPr>
      <w:r w:rsidRPr="006A6373">
        <w:rPr>
          <w:rFonts w:ascii="Times" w:hAnsi="Times"/>
          <w:lang w:val="en-CA"/>
        </w:rPr>
        <w:t>Para 149- “…go as far as require to protect rights, but no further”.  “Interference should be minimized”.</w:t>
      </w:r>
    </w:p>
    <w:p w14:paraId="4A513FC8" w14:textId="6593774B" w:rsidR="006A6373" w:rsidRPr="006A6373" w:rsidRDefault="006A6373" w:rsidP="00BA460F">
      <w:pPr>
        <w:pStyle w:val="NoteLevel2"/>
        <w:rPr>
          <w:rFonts w:ascii="Times" w:hAnsi="Times"/>
          <w:lang w:val="en-CA"/>
        </w:rPr>
      </w:pPr>
      <w:r w:rsidRPr="006A6373">
        <w:rPr>
          <w:rFonts w:ascii="Times" w:hAnsi="Times"/>
          <w:lang w:val="en-CA"/>
        </w:rPr>
        <w:t>Para 154- twin guiding principles only fulfilled if due consideration is given to four criteria: remedial precision, budgetary implications, effect on the thrust of the legislation, and interference with legislative objectives.</w:t>
      </w:r>
    </w:p>
    <w:p w14:paraId="2A08B173" w14:textId="65547094" w:rsidR="006A6373" w:rsidRPr="006A6373" w:rsidRDefault="006A6373" w:rsidP="00BA460F">
      <w:pPr>
        <w:pStyle w:val="NoteLevel2"/>
        <w:rPr>
          <w:rFonts w:ascii="Times" w:hAnsi="Times"/>
          <w:lang w:val="en-CA"/>
        </w:rPr>
      </w:pPr>
      <w:r w:rsidRPr="006A6373">
        <w:rPr>
          <w:rFonts w:ascii="Times" w:hAnsi="Times"/>
          <w:lang w:val="en-CA"/>
        </w:rPr>
        <w:t>Remedial precision: para 155- Insertion of s.o. into prohibited grounds of IRPA- this will ensure the validity of the legislation and remedy the constitutional wrong.</w:t>
      </w:r>
    </w:p>
    <w:p w14:paraId="2A8C61CB" w14:textId="736FD307" w:rsidR="006A6373" w:rsidRPr="006A6373" w:rsidRDefault="006A6373" w:rsidP="00BA460F">
      <w:pPr>
        <w:pStyle w:val="NoteLevel2"/>
        <w:rPr>
          <w:rFonts w:ascii="Times" w:hAnsi="Times"/>
          <w:lang w:val="en-CA"/>
        </w:rPr>
      </w:pPr>
      <w:r w:rsidRPr="006A6373">
        <w:rPr>
          <w:rFonts w:ascii="Times" w:hAnsi="Times"/>
          <w:lang w:val="en-CA"/>
        </w:rPr>
        <w:t>Budgetary reprecussions-: para 160- Not significant, mainly on Human Rights Commission (likely have to deal with more complaints).</w:t>
      </w:r>
    </w:p>
    <w:p w14:paraId="143C7A4C" w14:textId="77777777" w:rsidR="00BA460F" w:rsidRDefault="006A6373" w:rsidP="00BA460F">
      <w:pPr>
        <w:pStyle w:val="NoteLevel2"/>
        <w:rPr>
          <w:rFonts w:ascii="Times" w:hAnsi="Times"/>
          <w:lang w:val="en-CA"/>
        </w:rPr>
      </w:pPr>
      <w:r w:rsidRPr="006A6373">
        <w:rPr>
          <w:rFonts w:ascii="Times" w:hAnsi="Times"/>
          <w:lang w:val="en-CA"/>
        </w:rPr>
        <w:t>Thrust</w:t>
      </w:r>
      <w:r w:rsidR="00BA460F">
        <w:rPr>
          <w:rFonts w:ascii="Times" w:hAnsi="Times"/>
          <w:lang w:val="en-CA"/>
        </w:rPr>
        <w:t xml:space="preserve"> of legislation: Two questions</w:t>
      </w:r>
    </w:p>
    <w:p w14:paraId="161B9EEB" w14:textId="77777777" w:rsidR="00BA460F" w:rsidRDefault="006A6373" w:rsidP="00BA460F">
      <w:pPr>
        <w:pStyle w:val="NoteLevel3"/>
        <w:rPr>
          <w:rFonts w:ascii="Times" w:hAnsi="Times"/>
          <w:lang w:val="en-CA"/>
        </w:rPr>
      </w:pPr>
      <w:r w:rsidRPr="006A6373">
        <w:rPr>
          <w:rFonts w:ascii="Times" w:hAnsi="Times"/>
          <w:lang w:val="en-CA"/>
        </w:rPr>
        <w:t xml:space="preserve">1) Are we changing the legislation in such a way that parliament ultimately would have preferred to have no legislation at all rather than the changed legislation? If yes, thrust is too large, leave it alone, too much interference. </w:t>
      </w:r>
    </w:p>
    <w:p w14:paraId="66907A7E" w14:textId="3CAC4C0D" w:rsidR="006A6373" w:rsidRPr="006A6373" w:rsidRDefault="006A6373" w:rsidP="00BA460F">
      <w:pPr>
        <w:pStyle w:val="NoteLevel3"/>
        <w:rPr>
          <w:rFonts w:ascii="Times" w:hAnsi="Times"/>
          <w:lang w:val="en-CA"/>
        </w:rPr>
      </w:pPr>
      <w:r w:rsidRPr="006A6373">
        <w:rPr>
          <w:rFonts w:ascii="Times" w:hAnsi="Times"/>
          <w:lang w:val="en-CA"/>
        </w:rPr>
        <w:t>2) Size of the group to be added? If the group to be added is smaller that the group that originally benefited from the legislation, then the assumption would be that parliament would have had the legislation anyway is sound.  Para 161- Court found it was difficult to see any negative impact on thrust of legislation.  All persons that were protected by legislation will continue to be covered, it is reasonable to assume that if parliament had to choose between no IRPA or one that includes s.o., the latter would be chosen.</w:t>
      </w:r>
    </w:p>
    <w:p w14:paraId="385B972C" w14:textId="1F69888F" w:rsidR="00BA460F" w:rsidRDefault="00BA460F" w:rsidP="00BA460F">
      <w:pPr>
        <w:pStyle w:val="NoteLevel2"/>
        <w:rPr>
          <w:rFonts w:ascii="Times" w:hAnsi="Times"/>
          <w:lang w:val="en-CA"/>
        </w:rPr>
      </w:pPr>
      <w:r>
        <w:rPr>
          <w:rFonts w:ascii="Times" w:hAnsi="Times"/>
          <w:lang w:val="en-CA"/>
        </w:rPr>
        <w:t xml:space="preserve"> </w:t>
      </w:r>
      <w:r w:rsidR="006A6373" w:rsidRPr="006A6373">
        <w:rPr>
          <w:rFonts w:ascii="Times" w:hAnsi="Times"/>
          <w:lang w:val="en-CA"/>
        </w:rPr>
        <w:t xml:space="preserve">Interference with legislative objectives: </w:t>
      </w:r>
    </w:p>
    <w:p w14:paraId="4FB81421" w14:textId="2CC351D8" w:rsidR="006A6373" w:rsidRPr="006A6373" w:rsidRDefault="006A6373" w:rsidP="00BA460F">
      <w:pPr>
        <w:pStyle w:val="NoteLevel3"/>
        <w:rPr>
          <w:rFonts w:ascii="Times" w:hAnsi="Times"/>
          <w:lang w:val="en-CA"/>
        </w:rPr>
      </w:pPr>
      <w:r w:rsidRPr="006A6373">
        <w:rPr>
          <w:rFonts w:ascii="Times" w:hAnsi="Times"/>
          <w:lang w:val="en-CA"/>
        </w:rPr>
        <w:t>Carefully look at 1)purpose/objective of legislation, and 2) how that objective is achieved.</w:t>
      </w:r>
    </w:p>
    <w:p w14:paraId="63E92674" w14:textId="77777777" w:rsidR="006A6373" w:rsidRPr="006A6373" w:rsidRDefault="006A6373" w:rsidP="00BA460F">
      <w:pPr>
        <w:pStyle w:val="NoteLevel3"/>
        <w:rPr>
          <w:rFonts w:ascii="Times" w:hAnsi="Times"/>
          <w:lang w:val="en-CA"/>
        </w:rPr>
      </w:pPr>
      <w:r w:rsidRPr="006A6373">
        <w:rPr>
          <w:rFonts w:ascii="Times" w:hAnsi="Times"/>
          <w:lang w:val="en-CA"/>
        </w:rPr>
        <w:t>Court found that reading in would not interefere with the objective(1).  At first blush it seems that it might interfere with the means chosen though(2). P166- the legislature expressly intented to exclude s.o. (discussions in legislature), and reading in would unduly interfere with will of govt.  Read the opposed decision of McClung J. promoting judicial deference.</w:t>
      </w:r>
    </w:p>
    <w:p w14:paraId="027522A3" w14:textId="38EE6EC8" w:rsidR="006A6373" w:rsidRPr="006A6373" w:rsidRDefault="006A6373" w:rsidP="00BA460F">
      <w:pPr>
        <w:pStyle w:val="NoteLevel2"/>
        <w:rPr>
          <w:rFonts w:ascii="Times" w:hAnsi="Times"/>
          <w:lang w:val="en-CA"/>
        </w:rPr>
      </w:pPr>
      <w:r w:rsidRPr="006A6373">
        <w:rPr>
          <w:rFonts w:ascii="Times" w:hAnsi="Times"/>
          <w:lang w:val="en-CA"/>
        </w:rPr>
        <w:t>However, court found whether it was read in or the legislation was struck down, intent is always necessarily interfered with.  “Therefore…found unconstitutional.” 166.</w:t>
      </w:r>
    </w:p>
    <w:p w14:paraId="62BE694E" w14:textId="2E1CC340" w:rsidR="006A6373" w:rsidRPr="006A6373" w:rsidRDefault="006A6373" w:rsidP="00BA460F">
      <w:pPr>
        <w:pStyle w:val="NoteLevel2"/>
        <w:rPr>
          <w:rFonts w:ascii="Times" w:hAnsi="Times"/>
          <w:lang w:val="en-CA"/>
        </w:rPr>
      </w:pPr>
      <w:r w:rsidRPr="006A6373">
        <w:rPr>
          <w:rFonts w:ascii="Times" w:hAnsi="Times"/>
          <w:lang w:val="en-CA"/>
        </w:rPr>
        <w:t>Para 168- If all legislature has to do is show deliberate intent for exclusion it effectively ends reading in as a remedy- court found this to be an unacceptable result.</w:t>
      </w:r>
    </w:p>
    <w:p w14:paraId="3DDAC7FB" w14:textId="072F6FE4" w:rsidR="006A6373" w:rsidRPr="006A6373" w:rsidRDefault="00BA460F" w:rsidP="00BA460F">
      <w:pPr>
        <w:pStyle w:val="NoteLevel2"/>
        <w:rPr>
          <w:rFonts w:ascii="Times" w:hAnsi="Times"/>
          <w:lang w:val="en-CA"/>
        </w:rPr>
      </w:pPr>
      <w:r>
        <w:rPr>
          <w:rFonts w:ascii="Times" w:hAnsi="Times"/>
          <w:lang w:val="en-CA"/>
        </w:rPr>
        <w:t>P</w:t>
      </w:r>
      <w:r w:rsidR="006A6373" w:rsidRPr="006A6373">
        <w:rPr>
          <w:rFonts w:ascii="Times" w:hAnsi="Times"/>
          <w:lang w:val="en-CA"/>
        </w:rPr>
        <w:t>ara 169- Found exclusion of s.o. can hardly be described as integral to the scheme of the Act.</w:t>
      </w:r>
    </w:p>
    <w:p w14:paraId="05ECB251" w14:textId="41E4338D" w:rsidR="006A6373" w:rsidRPr="00BA460F" w:rsidRDefault="006A6373" w:rsidP="00BA460F">
      <w:pPr>
        <w:pStyle w:val="NoteLevel2"/>
        <w:rPr>
          <w:rFonts w:ascii="Times" w:hAnsi="Times"/>
          <w:lang w:val="en-CA"/>
        </w:rPr>
      </w:pPr>
      <w:r w:rsidRPr="00BA460F">
        <w:rPr>
          <w:rFonts w:ascii="Times" w:hAnsi="Times"/>
          <w:lang w:val="en-CA"/>
        </w:rPr>
        <w:t>One dissenting judge on remedy p195-196, 197.</w:t>
      </w:r>
    </w:p>
    <w:p w14:paraId="4625F5FA" w14:textId="6A9A8B20" w:rsidR="006A6373" w:rsidRPr="00BA460F" w:rsidRDefault="006A6373" w:rsidP="00BA460F">
      <w:pPr>
        <w:pStyle w:val="NoteLevel2"/>
        <w:rPr>
          <w:rFonts w:ascii="Times" w:hAnsi="Times"/>
          <w:lang w:val="en-CA"/>
        </w:rPr>
      </w:pPr>
      <w:r w:rsidRPr="00BA460F">
        <w:rPr>
          <w:rFonts w:ascii="Times" w:hAnsi="Times"/>
          <w:lang w:val="en-CA"/>
        </w:rPr>
        <w:t>So, can’t win on s15 without wining on s1 and getting the remedy you want.</w:t>
      </w:r>
    </w:p>
    <w:p w14:paraId="14628836" w14:textId="77777777" w:rsidR="00BA460F" w:rsidRDefault="00BA460F" w:rsidP="00BA460F">
      <w:pPr>
        <w:pStyle w:val="NoteLevel1"/>
        <w:rPr>
          <w:rFonts w:ascii="Times" w:hAnsi="Times"/>
          <w:lang w:val="en-CA"/>
        </w:rPr>
      </w:pPr>
    </w:p>
    <w:p w14:paraId="395A630B" w14:textId="23102E73" w:rsidR="006A6373" w:rsidRPr="006A6373" w:rsidRDefault="00BA460F" w:rsidP="00BA460F">
      <w:pPr>
        <w:pStyle w:val="NoteLevel1"/>
        <w:rPr>
          <w:rFonts w:ascii="Times" w:hAnsi="Times"/>
          <w:lang w:val="en-CA"/>
        </w:rPr>
      </w:pPr>
      <w:r>
        <w:rPr>
          <w:rFonts w:ascii="Times" w:hAnsi="Times"/>
          <w:lang w:val="en-CA"/>
        </w:rPr>
        <w:t xml:space="preserve">- </w:t>
      </w:r>
      <w:r w:rsidR="006A6373" w:rsidRPr="006A6373">
        <w:rPr>
          <w:rFonts w:ascii="Times" w:hAnsi="Times"/>
          <w:lang w:val="en-CA"/>
        </w:rPr>
        <w:t>From now until end of term will be discussing equality/discrimination, validating that there is discrimination in the first place.  The claimant has the onus to demonstrate the discrimination on the balance of probabilities.</w:t>
      </w:r>
    </w:p>
    <w:p w14:paraId="5B967410" w14:textId="5155460A" w:rsidR="006A6373" w:rsidRPr="006A6373" w:rsidRDefault="00BA460F" w:rsidP="006A6373">
      <w:pPr>
        <w:pStyle w:val="NoteLevel1"/>
        <w:rPr>
          <w:rFonts w:ascii="Times" w:hAnsi="Times"/>
          <w:lang w:val="en-CA"/>
        </w:rPr>
      </w:pPr>
      <w:r>
        <w:rPr>
          <w:rFonts w:ascii="Times" w:hAnsi="Times"/>
          <w:lang w:val="en-CA"/>
        </w:rPr>
        <w:t xml:space="preserve">- </w:t>
      </w:r>
      <w:r w:rsidR="006A6373" w:rsidRPr="006A6373">
        <w:rPr>
          <w:rFonts w:ascii="Times" w:hAnsi="Times"/>
          <w:lang w:val="en-CA"/>
        </w:rPr>
        <w:t>What does discrimination mean?  Class discussed what it meant to them, various definitions given.</w:t>
      </w:r>
    </w:p>
    <w:p w14:paraId="35EF6633" w14:textId="77777777" w:rsidR="006A6373" w:rsidRPr="006A6373" w:rsidRDefault="006A6373" w:rsidP="006A6373">
      <w:pPr>
        <w:pStyle w:val="NoteLevel1"/>
        <w:rPr>
          <w:rFonts w:ascii="Times" w:hAnsi="Times"/>
          <w:lang w:val="en-CA"/>
        </w:rPr>
      </w:pPr>
    </w:p>
    <w:p w14:paraId="3C308AF1" w14:textId="77777777" w:rsidR="006A6373" w:rsidRPr="00BA460F" w:rsidRDefault="006A6373" w:rsidP="006A6373">
      <w:pPr>
        <w:pStyle w:val="NoteLevel1"/>
        <w:rPr>
          <w:rFonts w:ascii="Times" w:hAnsi="Times"/>
          <w:u w:val="single"/>
          <w:lang w:val="en-CA"/>
        </w:rPr>
      </w:pPr>
      <w:r w:rsidRPr="00BA460F">
        <w:rPr>
          <w:rFonts w:ascii="Times" w:hAnsi="Times"/>
          <w:u w:val="single"/>
          <w:lang w:val="en-CA"/>
        </w:rPr>
        <w:t xml:space="preserve">Andrews v. Law Society: </w:t>
      </w:r>
    </w:p>
    <w:p w14:paraId="2D4F2647" w14:textId="77777777" w:rsidR="006A6373" w:rsidRPr="006A6373" w:rsidRDefault="006A6373" w:rsidP="006A6373">
      <w:pPr>
        <w:pStyle w:val="NoteLevel1"/>
        <w:rPr>
          <w:rFonts w:ascii="Times" w:hAnsi="Times"/>
          <w:lang w:val="en-CA"/>
        </w:rPr>
      </w:pPr>
      <w:r w:rsidRPr="006A6373">
        <w:rPr>
          <w:rFonts w:ascii="Times" w:hAnsi="Times"/>
          <w:lang w:val="en-CA"/>
        </w:rPr>
        <w:t>The first place “discrimination” was debated by judges.  Determined that discrimination means more than just differential treatment.  Treat someone differently in such a way that creates a disadvantage in comparison with another group is what results in discrimination.  Can’t be an insignificant disadvantage either, must mean that they are excluded from the fabric of society which goes to their dignity being violated.</w:t>
      </w:r>
    </w:p>
    <w:p w14:paraId="507C4CC1" w14:textId="77777777" w:rsidR="006A6373" w:rsidRPr="006A6373" w:rsidRDefault="006A6373" w:rsidP="006A6373">
      <w:pPr>
        <w:pStyle w:val="NoteLevel1"/>
        <w:rPr>
          <w:rFonts w:ascii="Times" w:hAnsi="Times"/>
          <w:lang w:val="en-CA"/>
        </w:rPr>
      </w:pPr>
    </w:p>
    <w:p w14:paraId="4B997595" w14:textId="77777777" w:rsidR="006A6373" w:rsidRPr="006A6373" w:rsidRDefault="006A6373" w:rsidP="006A6373">
      <w:pPr>
        <w:pStyle w:val="NoteLevel1"/>
        <w:rPr>
          <w:rFonts w:ascii="Times" w:hAnsi="Times"/>
          <w:lang w:val="en-CA"/>
        </w:rPr>
      </w:pPr>
      <w:r w:rsidRPr="006A6373">
        <w:rPr>
          <w:rFonts w:ascii="Times" w:hAnsi="Times"/>
          <w:lang w:val="en-CA"/>
        </w:rPr>
        <w:t>For next week:  read the s15 component of the Andrews case.  In Quicklaw it is para 15-49. It is the opinion of J. McIntyre (the majority agreed with his interpretation of discrimination, but he ended up in the minority for the s1 deliberation).</w:t>
      </w:r>
    </w:p>
    <w:p w14:paraId="5940BD6E" w14:textId="77777777" w:rsidR="006A6373" w:rsidRPr="006A6373" w:rsidRDefault="006A6373" w:rsidP="006A6373">
      <w:pPr>
        <w:pStyle w:val="NoteLevel1"/>
        <w:rPr>
          <w:rFonts w:ascii="Times" w:hAnsi="Times"/>
          <w:lang w:val="en-CA"/>
        </w:rPr>
      </w:pPr>
    </w:p>
    <w:p w14:paraId="05F2DC86" w14:textId="5102B488" w:rsidR="00C15D64" w:rsidRPr="006A6373" w:rsidRDefault="00C15D64">
      <w:pPr>
        <w:pStyle w:val="NoteLevel1"/>
        <w:rPr>
          <w:rFonts w:ascii="Times" w:hAnsi="Times"/>
        </w:rPr>
        <w:sectPr w:rsidR="00C15D64" w:rsidRPr="006A6373" w:rsidSect="004E3C3A">
          <w:headerReference w:type="first" r:id="rId10"/>
          <w:pgSz w:w="12240" w:h="15840"/>
          <w:pgMar w:top="1440" w:right="1440" w:bottom="1440" w:left="1440" w:header="708" w:footer="708" w:gutter="0"/>
          <w:cols w:space="708"/>
          <w:titlePg/>
          <w:docGrid w:type="lines" w:linePitch="360"/>
        </w:sectPr>
      </w:pPr>
      <w:r w:rsidRPr="006A6373">
        <w:rPr>
          <w:rFonts w:ascii="Times" w:hAnsi="Times"/>
        </w:rPr>
        <w:cr/>
      </w:r>
    </w:p>
    <w:p w14:paraId="063C0DC4" w14:textId="1C2B3FB6" w:rsidR="00CF0BD4" w:rsidRPr="005B0A27" w:rsidRDefault="007B4F26" w:rsidP="00C15D64">
      <w:pPr>
        <w:pStyle w:val="NoteLevel1"/>
      </w:pPr>
      <w:r w:rsidRPr="005D3105">
        <w:rPr>
          <w:rFonts w:ascii="Times" w:hAnsi="Times"/>
          <w:i/>
          <w:u w:val="single"/>
        </w:rPr>
        <w:t xml:space="preserve">Andrews </w:t>
      </w:r>
      <w:r w:rsidR="005D3105" w:rsidRPr="005D3105">
        <w:rPr>
          <w:rFonts w:ascii="Times" w:hAnsi="Times"/>
          <w:i/>
          <w:u w:val="single"/>
        </w:rPr>
        <w:t>v. Law Society of British Columbia</w:t>
      </w:r>
      <w:r>
        <w:rPr>
          <w:rFonts w:ascii="Times" w:hAnsi="Times"/>
        </w:rPr>
        <w:t xml:space="preserve"> </w:t>
      </w:r>
      <w:r w:rsidR="005D3105">
        <w:rPr>
          <w:rFonts w:ascii="Times" w:hAnsi="Times"/>
        </w:rPr>
        <w:t xml:space="preserve"> (</w:t>
      </w:r>
      <w:r>
        <w:rPr>
          <w:rFonts w:ascii="Times" w:hAnsi="Times"/>
        </w:rPr>
        <w:t xml:space="preserve">up to para. 41 </w:t>
      </w:r>
      <w:r w:rsidR="005B0A27">
        <w:rPr>
          <w:rFonts w:ascii="Times" w:hAnsi="Times"/>
        </w:rPr>
        <w:t>**read this</w:t>
      </w:r>
      <w:r w:rsidR="005D3105">
        <w:rPr>
          <w:rFonts w:ascii="Times" w:hAnsi="Times"/>
        </w:rPr>
        <w:t>)</w:t>
      </w:r>
    </w:p>
    <w:p w14:paraId="6444B954" w14:textId="6BF1B84C" w:rsidR="005B0A27" w:rsidRPr="005B0A27" w:rsidRDefault="005B0A27" w:rsidP="00C15D64">
      <w:pPr>
        <w:pStyle w:val="NoteLevel1"/>
      </w:pPr>
      <w:r>
        <w:rPr>
          <w:rFonts w:ascii="Times" w:hAnsi="Times"/>
        </w:rPr>
        <w:t xml:space="preserve">- Peter Hogg advocated for treating every distinction as discriminatory—if you treat two people differently, that results in discrimination </w:t>
      </w:r>
    </w:p>
    <w:p w14:paraId="2C664F02" w14:textId="7FEBB5D3" w:rsidR="005B0A27" w:rsidRPr="003D5AA5" w:rsidRDefault="00860ED3" w:rsidP="00860ED3">
      <w:pPr>
        <w:pStyle w:val="NoteLevel1"/>
      </w:pPr>
      <w:r>
        <w:rPr>
          <w:rFonts w:ascii="Times" w:hAnsi="Times"/>
        </w:rPr>
        <w:t>- Second approach put forward my McLachlin J.A in the BC Court of Appeal involved a consideration of the reasonableness and fairness of the impugned legislation under s. 15(1)</w:t>
      </w:r>
      <w:r w:rsidR="003D5AA5">
        <w:rPr>
          <w:rFonts w:ascii="Times" w:hAnsi="Times"/>
        </w:rPr>
        <w:t xml:space="preserve">—you can stay in 15 and not jump to s. 1, and if it’s justified then it’s not discriminatory—if it fails under s.15 then you go to s.1 but it is likely to fail again if it has failed once </w:t>
      </w:r>
    </w:p>
    <w:p w14:paraId="37C57C9F" w14:textId="7FE52E0D" w:rsidR="003D5AA5" w:rsidRPr="003D5AA5" w:rsidRDefault="003D5AA5" w:rsidP="00860ED3">
      <w:pPr>
        <w:pStyle w:val="NoteLevel1"/>
      </w:pPr>
      <w:r>
        <w:rPr>
          <w:rFonts w:ascii="Times" w:hAnsi="Times"/>
        </w:rPr>
        <w:t>- The SCC rejects McLachlin’s approach—claims it leaves no room for s.1</w:t>
      </w:r>
    </w:p>
    <w:p w14:paraId="6FC8A815" w14:textId="76B1C4FA" w:rsidR="003D5AA5" w:rsidRPr="003D5AA5" w:rsidRDefault="003D5AA5" w:rsidP="00860ED3">
      <w:pPr>
        <w:pStyle w:val="NoteLevel1"/>
      </w:pPr>
      <w:r>
        <w:rPr>
          <w:rFonts w:ascii="Times" w:hAnsi="Times"/>
        </w:rPr>
        <w:t>- Third approach is described as “enumerated or analogous grounds” approach</w:t>
      </w:r>
    </w:p>
    <w:p w14:paraId="07D7A3C1" w14:textId="57EC84EB" w:rsidR="003D5AA5" w:rsidRDefault="003D5AA5" w:rsidP="003D5AA5">
      <w:pPr>
        <w:pStyle w:val="NoteLevel2"/>
        <w:rPr>
          <w:rFonts w:ascii="Times" w:hAnsi="Times"/>
        </w:rPr>
      </w:pPr>
      <w:r>
        <w:rPr>
          <w:rFonts w:ascii="Times" w:hAnsi="Times"/>
        </w:rPr>
        <w:t>Adopts the concept that discrimination is generally expressed by the enumerated grounds</w:t>
      </w:r>
      <w:r w:rsidR="005030F4">
        <w:rPr>
          <w:rFonts w:ascii="Times" w:hAnsi="Times"/>
        </w:rPr>
        <w:t xml:space="preserve"> </w:t>
      </w:r>
    </w:p>
    <w:p w14:paraId="1CDEAEEC" w14:textId="644BD132" w:rsidR="003D5AA5" w:rsidRDefault="003D5AA5" w:rsidP="003D5AA5">
      <w:pPr>
        <w:pStyle w:val="NoteLevel2"/>
        <w:rPr>
          <w:rFonts w:ascii="Times" w:hAnsi="Times"/>
        </w:rPr>
      </w:pPr>
      <w:r>
        <w:rPr>
          <w:rFonts w:ascii="Times" w:hAnsi="Times"/>
        </w:rPr>
        <w:t>s. 15(1) is designed to prevent discrimination based on these and analogous grounds.</w:t>
      </w:r>
    </w:p>
    <w:p w14:paraId="2714CEBC" w14:textId="2A71611D" w:rsidR="003D5AA5" w:rsidRDefault="003D5AA5" w:rsidP="003D5AA5">
      <w:pPr>
        <w:pStyle w:val="NoteLevel1"/>
        <w:rPr>
          <w:rFonts w:ascii="Times" w:hAnsi="Times"/>
        </w:rPr>
      </w:pPr>
      <w:r>
        <w:rPr>
          <w:rFonts w:ascii="Times" w:hAnsi="Times"/>
        </w:rPr>
        <w:t xml:space="preserve">- A complainant under s.15 must show not only that he/she isn’t receiving equal treatment or that the law has a differential impact on him/her in the protection or benefit accorded by law but, in addition, must show that the legislative impact of the law is discriminatory </w:t>
      </w:r>
    </w:p>
    <w:p w14:paraId="258F553E" w14:textId="05D8F22C" w:rsidR="003D5AA5" w:rsidRDefault="003D5AA5" w:rsidP="003D5AA5">
      <w:pPr>
        <w:pStyle w:val="NoteLevel1"/>
        <w:rPr>
          <w:rFonts w:ascii="Times" w:hAnsi="Times"/>
        </w:rPr>
      </w:pPr>
      <w:r>
        <w:rPr>
          <w:rFonts w:ascii="Times" w:hAnsi="Times"/>
        </w:rPr>
        <w:t xml:space="preserve">- A distinction that doesn’t offend a personal identity/belief, etc. it is not a distinction that is discriminatory </w:t>
      </w:r>
    </w:p>
    <w:p w14:paraId="3D9C1169" w14:textId="77777777" w:rsidR="00932A2A" w:rsidRPr="00932A2A" w:rsidRDefault="00932A2A" w:rsidP="00932A2A">
      <w:pPr>
        <w:pStyle w:val="NoteLevel2"/>
        <w:rPr>
          <w:rFonts w:ascii="Times" w:hAnsi="Times"/>
        </w:rPr>
      </w:pPr>
      <w:r w:rsidRPr="00932A2A">
        <w:rPr>
          <w:rFonts w:ascii="Times" w:hAnsi="Times"/>
        </w:rPr>
        <w:t xml:space="preserve">Para 48: “The distinction therefore imposes a burden in the form of some delay on permanent residents who have acquired all or some of their legal training abroad and is, therefore, discriminatory” </w:t>
      </w:r>
    </w:p>
    <w:p w14:paraId="6CC5C738" w14:textId="5070358B" w:rsidR="003D5AA5" w:rsidRPr="00932A2A" w:rsidRDefault="003D5AA5" w:rsidP="00932A2A">
      <w:pPr>
        <w:pStyle w:val="NoteLevel2"/>
        <w:rPr>
          <w:rFonts w:ascii="Times" w:hAnsi="Times"/>
        </w:rPr>
      </w:pPr>
      <w:r w:rsidRPr="00932A2A">
        <w:rPr>
          <w:rFonts w:ascii="Times" w:hAnsi="Times"/>
        </w:rPr>
        <w:t>“A rule which bars an entire class of persons from certain forms of employment, solely on the grounds of a lack of citizenship status and without consideration of educational and professional qualifications or the other attributes or merits of individuals in the group, would, in my view, infringe s.15 equality rights”</w:t>
      </w:r>
    </w:p>
    <w:p w14:paraId="6B85BC3C" w14:textId="4BDF489C" w:rsidR="002C5585" w:rsidRPr="00C8458F" w:rsidRDefault="002C5585" w:rsidP="008C22E5">
      <w:pPr>
        <w:pStyle w:val="NoteLevel1"/>
        <w:numPr>
          <w:ilvl w:val="0"/>
          <w:numId w:val="0"/>
        </w:numPr>
        <w:rPr>
          <w:rFonts w:ascii="Times" w:hAnsi="Times"/>
          <w:b/>
        </w:rPr>
      </w:pPr>
      <w:r w:rsidRPr="00C8458F">
        <w:rPr>
          <w:rFonts w:ascii="Times" w:hAnsi="Times"/>
          <w:b/>
        </w:rPr>
        <w:t>[ Midterm!! How did the court apply the Oakes test in Andrews?—answer this before the midte</w:t>
      </w:r>
      <w:r w:rsidR="0031562F" w:rsidRPr="00C8458F">
        <w:rPr>
          <w:rFonts w:ascii="Times" w:hAnsi="Times"/>
          <w:b/>
        </w:rPr>
        <w:t>r</w:t>
      </w:r>
      <w:r w:rsidRPr="00C8458F">
        <w:rPr>
          <w:rFonts w:ascii="Times" w:hAnsi="Times"/>
          <w:b/>
        </w:rPr>
        <w:t>m]</w:t>
      </w:r>
    </w:p>
    <w:p w14:paraId="1E820DDF" w14:textId="7B42C728" w:rsidR="0031562F" w:rsidRDefault="00C8458F" w:rsidP="00C8458F">
      <w:pPr>
        <w:pStyle w:val="NoteLevel1"/>
        <w:numPr>
          <w:ilvl w:val="0"/>
          <w:numId w:val="0"/>
        </w:numPr>
        <w:rPr>
          <w:rFonts w:ascii="Times" w:hAnsi="Times"/>
        </w:rPr>
      </w:pPr>
      <w:r>
        <w:rPr>
          <w:rFonts w:ascii="Times" w:hAnsi="Times"/>
        </w:rPr>
        <w:t>- “Discrimination…means practices or attitudes that have, whether by design or impact, the effect of limiting and individual’s or a group’s right to the opportunities generally available because of attributed rather than actual characteristics” –so instead of looking at a person’s qualifications, etc. you’re looking at their race, gender, sexual orientation, etc.</w:t>
      </w:r>
    </w:p>
    <w:p w14:paraId="3EF05A64" w14:textId="77777777" w:rsidR="00C8458F" w:rsidRDefault="00C8458F" w:rsidP="00C8458F">
      <w:pPr>
        <w:pStyle w:val="NoteLevel1"/>
        <w:numPr>
          <w:ilvl w:val="0"/>
          <w:numId w:val="0"/>
        </w:numPr>
        <w:rPr>
          <w:rFonts w:ascii="Times" w:hAnsi="Times"/>
        </w:rPr>
      </w:pPr>
    </w:p>
    <w:p w14:paraId="4237E596" w14:textId="17A63BB7" w:rsidR="005D3105" w:rsidRDefault="00A86417" w:rsidP="00C8458F">
      <w:pPr>
        <w:pStyle w:val="NoteLevel1"/>
        <w:numPr>
          <w:ilvl w:val="0"/>
          <w:numId w:val="0"/>
        </w:numPr>
        <w:rPr>
          <w:rFonts w:ascii="Times" w:hAnsi="Times"/>
        </w:rPr>
      </w:pPr>
      <w:r w:rsidRPr="00A86417">
        <w:rPr>
          <w:rFonts w:ascii="Times" w:hAnsi="Times"/>
          <w:i/>
          <w:u w:val="single"/>
        </w:rPr>
        <w:t>Nancy Law v. Minister of Human Resources Developmen</w:t>
      </w:r>
      <w:r w:rsidRPr="00A86417">
        <w:rPr>
          <w:rFonts w:ascii="Times" w:hAnsi="Times"/>
          <w:i/>
        </w:rPr>
        <w:t>t</w:t>
      </w:r>
      <w:r>
        <w:rPr>
          <w:rFonts w:ascii="Times" w:hAnsi="Times"/>
        </w:rPr>
        <w:t xml:space="preserve"> </w:t>
      </w:r>
      <w:r w:rsidR="004A33AC">
        <w:rPr>
          <w:rFonts w:ascii="Times" w:hAnsi="Times"/>
        </w:rPr>
        <w:t xml:space="preserve"> [1999] </w:t>
      </w:r>
      <w:r>
        <w:rPr>
          <w:rFonts w:ascii="Times" w:hAnsi="Times"/>
        </w:rPr>
        <w:t>(Law v. Canada Minister of Employment and Immigration)</w:t>
      </w:r>
    </w:p>
    <w:p w14:paraId="0216BABE" w14:textId="596439FF" w:rsidR="00A86417" w:rsidRDefault="002E47BA" w:rsidP="002E47BA">
      <w:pPr>
        <w:pStyle w:val="NoteLevel1"/>
        <w:numPr>
          <w:ilvl w:val="0"/>
          <w:numId w:val="0"/>
        </w:numPr>
        <w:rPr>
          <w:rFonts w:ascii="Times" w:hAnsi="Times"/>
        </w:rPr>
      </w:pPr>
      <w:r>
        <w:rPr>
          <w:rFonts w:ascii="Times" w:hAnsi="Times"/>
        </w:rPr>
        <w:t>-</w:t>
      </w:r>
      <w:r w:rsidR="00E6796A">
        <w:rPr>
          <w:rFonts w:ascii="Times" w:hAnsi="Times"/>
        </w:rPr>
        <w:t xml:space="preserve">Appellant’s husband passed away, but she was unable to </w:t>
      </w:r>
      <w:r w:rsidR="00EA5F73">
        <w:rPr>
          <w:rFonts w:ascii="Times" w:hAnsi="Times"/>
        </w:rPr>
        <w:t xml:space="preserve">survivor benefits because she was 29, without children, and without disability </w:t>
      </w:r>
    </w:p>
    <w:p w14:paraId="156DDE57" w14:textId="4686C2D8" w:rsidR="002E47BA" w:rsidRPr="002E47BA" w:rsidRDefault="002E47BA" w:rsidP="002E47BA">
      <w:pPr>
        <w:pStyle w:val="NoteLevel1"/>
        <w:numPr>
          <w:ilvl w:val="0"/>
          <w:numId w:val="0"/>
        </w:numPr>
        <w:rPr>
          <w:rFonts w:ascii="Times" w:hAnsi="Times"/>
        </w:rPr>
      </w:pPr>
      <w:r>
        <w:rPr>
          <w:rFonts w:ascii="Times" w:hAnsi="Times"/>
        </w:rPr>
        <w:t xml:space="preserve">- </w:t>
      </w:r>
      <w:r w:rsidRPr="002E47BA">
        <w:rPr>
          <w:rFonts w:ascii="Times" w:hAnsi="Times"/>
        </w:rPr>
        <w:t xml:space="preserve">You can retire at 60, but you get better pension at 65—if you start working at 16, that money doesn’t go into your pension, only 18 yrs and up </w:t>
      </w:r>
    </w:p>
    <w:p w14:paraId="7BA91FAB" w14:textId="4D2603A1" w:rsidR="00EA5F73" w:rsidRDefault="002E47BA" w:rsidP="002E47BA">
      <w:pPr>
        <w:pStyle w:val="NoteLevel1"/>
        <w:numPr>
          <w:ilvl w:val="0"/>
          <w:numId w:val="0"/>
        </w:numPr>
        <w:rPr>
          <w:rFonts w:ascii="Times" w:hAnsi="Times"/>
        </w:rPr>
      </w:pPr>
      <w:r>
        <w:rPr>
          <w:rFonts w:ascii="Times" w:hAnsi="Times"/>
        </w:rPr>
        <w:t xml:space="preserve">- </w:t>
      </w:r>
      <w:r w:rsidR="00F16568">
        <w:rPr>
          <w:rFonts w:ascii="Times" w:hAnsi="Times"/>
        </w:rPr>
        <w:t xml:space="preserve"> Even if your spouse contributes to the CPP, as a surviving spouse you also have to meet specific requirements</w:t>
      </w:r>
    </w:p>
    <w:p w14:paraId="05A3442F" w14:textId="164419AC" w:rsidR="00F16568" w:rsidRDefault="00EA5F73" w:rsidP="00EA5F73">
      <w:pPr>
        <w:pStyle w:val="NoteLevel2"/>
        <w:rPr>
          <w:rFonts w:ascii="Times" w:hAnsi="Times"/>
        </w:rPr>
      </w:pPr>
      <w:r>
        <w:rPr>
          <w:rFonts w:ascii="Times" w:hAnsi="Times"/>
        </w:rPr>
        <w:t>I</w:t>
      </w:r>
      <w:r w:rsidR="00F16568">
        <w:rPr>
          <w:rFonts w:ascii="Times" w:hAnsi="Times"/>
        </w:rPr>
        <w:t>f you’re under 35 years of age without dependents</w:t>
      </w:r>
      <w:r w:rsidR="00E729B7">
        <w:rPr>
          <w:rFonts w:ascii="Times" w:hAnsi="Times"/>
        </w:rPr>
        <w:t xml:space="preserve"> or disability</w:t>
      </w:r>
      <w:r w:rsidR="00F16568">
        <w:rPr>
          <w:rFonts w:ascii="Times" w:hAnsi="Times"/>
        </w:rPr>
        <w:t xml:space="preserve">, you do not receive benefits until you’re 65 </w:t>
      </w:r>
    </w:p>
    <w:p w14:paraId="587C015A" w14:textId="38D415BC" w:rsidR="00EA5F73" w:rsidRDefault="00EA5F73" w:rsidP="00EA5F73">
      <w:pPr>
        <w:pStyle w:val="NoteLevel2"/>
        <w:rPr>
          <w:rFonts w:ascii="Times" w:hAnsi="Times"/>
        </w:rPr>
      </w:pPr>
      <w:r>
        <w:rPr>
          <w:rFonts w:ascii="Times" w:hAnsi="Times"/>
        </w:rPr>
        <w:t xml:space="preserve">If you’re under 35 but have </w:t>
      </w:r>
      <w:r w:rsidR="001A4ED7">
        <w:rPr>
          <w:rFonts w:ascii="Times" w:hAnsi="Times"/>
        </w:rPr>
        <w:t>dependents</w:t>
      </w:r>
      <w:r>
        <w:rPr>
          <w:rFonts w:ascii="Times" w:hAnsi="Times"/>
        </w:rPr>
        <w:t xml:space="preserve"> or disability, you will be paid no problem</w:t>
      </w:r>
    </w:p>
    <w:p w14:paraId="1AAEF787" w14:textId="4267BEF5" w:rsidR="00EA5F73" w:rsidRDefault="00EA5F73" w:rsidP="00EA5F73">
      <w:pPr>
        <w:pStyle w:val="NoteLevel2"/>
        <w:rPr>
          <w:rFonts w:ascii="Times" w:hAnsi="Times"/>
        </w:rPr>
      </w:pPr>
      <w:r>
        <w:rPr>
          <w:rFonts w:ascii="Times" w:hAnsi="Times"/>
        </w:rPr>
        <w:t xml:space="preserve">If at the time of death you’re  over 45, you’ll get the pension despite whether or not you have children or a disability </w:t>
      </w:r>
    </w:p>
    <w:p w14:paraId="4E2BFCB7" w14:textId="451879FD" w:rsidR="003456DB" w:rsidRDefault="003456DB" w:rsidP="00EA5F73">
      <w:pPr>
        <w:pStyle w:val="NoteLevel2"/>
        <w:rPr>
          <w:rFonts w:ascii="Times" w:hAnsi="Times"/>
        </w:rPr>
      </w:pPr>
      <w:r>
        <w:rPr>
          <w:rFonts w:ascii="Times" w:hAnsi="Times"/>
        </w:rPr>
        <w:t xml:space="preserve">If you’re between 35-45, and you’re without kids and do not have a disability, you receive a portion based on how old are you in years AND months at the time of the death </w:t>
      </w:r>
    </w:p>
    <w:p w14:paraId="6BC5D1B3" w14:textId="53382642" w:rsidR="002E47BA" w:rsidRDefault="002E47BA" w:rsidP="002E47BA">
      <w:pPr>
        <w:pStyle w:val="NoteLevel1"/>
        <w:rPr>
          <w:rFonts w:ascii="Times" w:hAnsi="Times"/>
        </w:rPr>
      </w:pPr>
      <w:r>
        <w:rPr>
          <w:rFonts w:ascii="Times" w:hAnsi="Times"/>
        </w:rPr>
        <w:t xml:space="preserve">- Nancy Law met her husband when she was 19, and he was 20 years old—he had a business &amp; operated the business—she did the office work, maintained accounts, etc.  </w:t>
      </w:r>
    </w:p>
    <w:p w14:paraId="46660770" w14:textId="6A291A78" w:rsidR="002E47BA" w:rsidRDefault="002E47BA" w:rsidP="002E47BA">
      <w:pPr>
        <w:pStyle w:val="NoteLevel2"/>
        <w:rPr>
          <w:rFonts w:ascii="Times" w:hAnsi="Times"/>
        </w:rPr>
      </w:pPr>
      <w:r>
        <w:rPr>
          <w:rFonts w:ascii="Times" w:hAnsi="Times"/>
        </w:rPr>
        <w:t xml:space="preserve">He passed away 10 years after the marriage, but she was only 29 and didn’t have children or a disability </w:t>
      </w:r>
    </w:p>
    <w:p w14:paraId="7B0372B0" w14:textId="03411294" w:rsidR="00407411" w:rsidRDefault="00407411" w:rsidP="00407411">
      <w:pPr>
        <w:pStyle w:val="NoteLevel1"/>
        <w:rPr>
          <w:rFonts w:ascii="Times" w:hAnsi="Times"/>
        </w:rPr>
      </w:pPr>
      <w:r>
        <w:rPr>
          <w:rFonts w:ascii="Times" w:hAnsi="Times"/>
        </w:rPr>
        <w:t xml:space="preserve">- </w:t>
      </w:r>
      <w:r w:rsidR="00503800">
        <w:rPr>
          <w:rFonts w:ascii="Times" w:hAnsi="Times"/>
        </w:rPr>
        <w:t xml:space="preserve">Is any of this differential treatment discriminatory? </w:t>
      </w:r>
    </w:p>
    <w:p w14:paraId="4FF164E8" w14:textId="0267BFA1" w:rsidR="00C8458F" w:rsidRPr="00423DB2" w:rsidRDefault="00423DB2" w:rsidP="00C8458F">
      <w:pPr>
        <w:pStyle w:val="NoteLevel1"/>
        <w:numPr>
          <w:ilvl w:val="0"/>
          <w:numId w:val="0"/>
        </w:numPr>
        <w:rPr>
          <w:rFonts w:ascii="Times" w:hAnsi="Times"/>
          <w:b/>
        </w:rPr>
      </w:pPr>
      <w:r>
        <w:rPr>
          <w:rFonts w:ascii="Times" w:hAnsi="Times"/>
          <w:b/>
        </w:rPr>
        <w:t>[</w:t>
      </w:r>
      <w:r w:rsidR="000C011E" w:rsidRPr="00423DB2">
        <w:rPr>
          <w:rFonts w:ascii="Times" w:hAnsi="Times"/>
          <w:b/>
        </w:rPr>
        <w:t>Andre</w:t>
      </w:r>
      <w:r w:rsidR="009E3099">
        <w:rPr>
          <w:rFonts w:ascii="Times" w:hAnsi="Times"/>
          <w:b/>
        </w:rPr>
        <w:t>ws, Law, Kapp, Wi</w:t>
      </w:r>
      <w:r w:rsidR="00AD01AC">
        <w:rPr>
          <w:rFonts w:ascii="Times" w:hAnsi="Times"/>
          <w:b/>
        </w:rPr>
        <w:t>thl</w:t>
      </w:r>
      <w:r w:rsidR="000C011E" w:rsidRPr="00423DB2">
        <w:rPr>
          <w:rFonts w:ascii="Times" w:hAnsi="Times"/>
          <w:b/>
        </w:rPr>
        <w:t>er—the court never reaches discrimination (with the exception of Andrews)—</w:t>
      </w:r>
      <w:r w:rsidR="009E3099">
        <w:rPr>
          <w:rFonts w:ascii="Times" w:hAnsi="Times"/>
          <w:b/>
        </w:rPr>
        <w:t>Law, Kapp, Wi</w:t>
      </w:r>
      <w:r w:rsidR="00AD01AC">
        <w:rPr>
          <w:rFonts w:ascii="Times" w:hAnsi="Times"/>
          <w:b/>
        </w:rPr>
        <w:t>th</w:t>
      </w:r>
      <w:r w:rsidR="000C011E" w:rsidRPr="00423DB2">
        <w:rPr>
          <w:rFonts w:ascii="Times" w:hAnsi="Times"/>
          <w:b/>
        </w:rPr>
        <w:t>ler are 3 very important equality cases)]</w:t>
      </w:r>
    </w:p>
    <w:p w14:paraId="181430C6" w14:textId="77777777" w:rsidR="000C011E" w:rsidRDefault="000C011E" w:rsidP="00C8458F">
      <w:pPr>
        <w:pStyle w:val="NoteLevel1"/>
        <w:numPr>
          <w:ilvl w:val="0"/>
          <w:numId w:val="0"/>
        </w:numPr>
        <w:rPr>
          <w:rFonts w:ascii="Times" w:hAnsi="Times"/>
        </w:rPr>
      </w:pPr>
    </w:p>
    <w:p w14:paraId="2ED6D15D" w14:textId="2550C2EB" w:rsidR="00C96377" w:rsidRDefault="00B31CC3" w:rsidP="00B31CC3">
      <w:pPr>
        <w:pStyle w:val="NoteLevel1"/>
        <w:numPr>
          <w:ilvl w:val="0"/>
          <w:numId w:val="0"/>
        </w:numPr>
        <w:rPr>
          <w:rFonts w:ascii="Times" w:hAnsi="Times"/>
        </w:rPr>
      </w:pPr>
      <w:r>
        <w:rPr>
          <w:rFonts w:ascii="Times" w:hAnsi="Times"/>
        </w:rPr>
        <w:t xml:space="preserve">- </w:t>
      </w:r>
      <w:r w:rsidR="000C011E">
        <w:rPr>
          <w:rFonts w:ascii="Times" w:hAnsi="Times"/>
        </w:rPr>
        <w:t xml:space="preserve">When you’re claiming differential treatment, you have to show how you’re being treated vs. how somebody else is—some sort of </w:t>
      </w:r>
      <w:r w:rsidR="00FC789A">
        <w:rPr>
          <w:rFonts w:ascii="Times" w:hAnsi="Times"/>
        </w:rPr>
        <w:t>comparison</w:t>
      </w:r>
      <w:r w:rsidR="000C011E">
        <w:rPr>
          <w:rFonts w:ascii="Times" w:hAnsi="Times"/>
        </w:rPr>
        <w:t xml:space="preserve"> must be made—which can take a few years for the court to settle it’s mind on </w:t>
      </w:r>
    </w:p>
    <w:p w14:paraId="3B8B7F33" w14:textId="77777777" w:rsidR="00C96377" w:rsidRDefault="00C96377" w:rsidP="005F0459">
      <w:pPr>
        <w:pStyle w:val="NoteLevel1"/>
        <w:numPr>
          <w:ilvl w:val="0"/>
          <w:numId w:val="0"/>
        </w:numPr>
        <w:rPr>
          <w:rFonts w:ascii="Times" w:hAnsi="Times"/>
        </w:rPr>
      </w:pPr>
    </w:p>
    <w:p w14:paraId="35F4613A" w14:textId="421A4149" w:rsidR="00C8458F" w:rsidRPr="00396DE1" w:rsidRDefault="00396DE1" w:rsidP="00396DE1">
      <w:pPr>
        <w:pStyle w:val="NoteLevel1"/>
        <w:rPr>
          <w:rFonts w:ascii="Times" w:hAnsi="Times"/>
        </w:rPr>
      </w:pPr>
      <w:r>
        <w:rPr>
          <w:rFonts w:ascii="Times" w:hAnsi="Times"/>
        </w:rPr>
        <w:t xml:space="preserve">** </w:t>
      </w:r>
      <w:r w:rsidR="00012D1E" w:rsidRPr="00396DE1">
        <w:rPr>
          <w:rFonts w:ascii="Times" w:hAnsi="Times"/>
        </w:rPr>
        <w:t xml:space="preserve">Our objective in this class is to raise awareness so that we have an understanding of the law the way the SCC has said what the law is, so that when we read newspapers, etc. we </w:t>
      </w:r>
      <w:r w:rsidR="00C96377" w:rsidRPr="00396DE1">
        <w:rPr>
          <w:rFonts w:ascii="Times" w:hAnsi="Times"/>
        </w:rPr>
        <w:t>can react to the article diff</w:t>
      </w:r>
      <w:r w:rsidR="005F0459" w:rsidRPr="00396DE1">
        <w:rPr>
          <w:rFonts w:ascii="Times" w:hAnsi="Times"/>
        </w:rPr>
        <w:t xml:space="preserve">erently than we would currently—trying to learn the mentality as to how the court thinks and understand and accept </w:t>
      </w:r>
      <w:r w:rsidR="006F1520" w:rsidRPr="00396DE1">
        <w:rPr>
          <w:rFonts w:ascii="Times" w:hAnsi="Times"/>
        </w:rPr>
        <w:t xml:space="preserve">or reject this—we’ve doing this w/n the ways in which the court has defined discrimination, not w/n a vacuum </w:t>
      </w:r>
    </w:p>
    <w:p w14:paraId="2CFBD630" w14:textId="77777777" w:rsidR="00396DE1" w:rsidRDefault="00396DE1" w:rsidP="00396DE1">
      <w:pPr>
        <w:pStyle w:val="NoteLevel1"/>
        <w:rPr>
          <w:rFonts w:ascii="Times" w:hAnsi="Times"/>
        </w:rPr>
      </w:pPr>
    </w:p>
    <w:p w14:paraId="6307A979" w14:textId="3E7BED7B" w:rsidR="00396DE1" w:rsidRDefault="00FE239C" w:rsidP="00FE239C">
      <w:pPr>
        <w:pStyle w:val="NoteLevel1"/>
        <w:numPr>
          <w:ilvl w:val="0"/>
          <w:numId w:val="0"/>
        </w:numPr>
        <w:rPr>
          <w:rFonts w:ascii="Times" w:hAnsi="Times"/>
        </w:rPr>
      </w:pPr>
      <w:r>
        <w:rPr>
          <w:rFonts w:ascii="Times" w:hAnsi="Times"/>
        </w:rPr>
        <w:t xml:space="preserve">- Para 88 </w:t>
      </w:r>
      <w:r w:rsidR="003F4513">
        <w:rPr>
          <w:rFonts w:ascii="Times" w:hAnsi="Times"/>
        </w:rPr>
        <w:t xml:space="preserve">(2-3 pages long) </w:t>
      </w:r>
      <w:r>
        <w:rPr>
          <w:rFonts w:ascii="Times" w:hAnsi="Times"/>
        </w:rPr>
        <w:t xml:space="preserve">of </w:t>
      </w:r>
      <w:r>
        <w:rPr>
          <w:rFonts w:ascii="Times" w:hAnsi="Times"/>
          <w:i/>
        </w:rPr>
        <w:t>Nancy Law</w:t>
      </w:r>
      <w:r>
        <w:rPr>
          <w:rFonts w:ascii="Times" w:hAnsi="Times"/>
        </w:rPr>
        <w:t xml:space="preserve">, the court explains in a summary fashion, w/o referring to the </w:t>
      </w:r>
      <w:r w:rsidRPr="006162BD">
        <w:rPr>
          <w:rFonts w:ascii="Times" w:hAnsi="Times"/>
          <w:i/>
        </w:rPr>
        <w:t>Nancy Law</w:t>
      </w:r>
      <w:r>
        <w:rPr>
          <w:rFonts w:ascii="Times" w:hAnsi="Times"/>
        </w:rPr>
        <w:t xml:space="preserve"> facts, what the test is or ought to b</w:t>
      </w:r>
      <w:r w:rsidR="00C6214B">
        <w:rPr>
          <w:rFonts w:ascii="Times" w:hAnsi="Times"/>
        </w:rPr>
        <w:t>e for looking at discrimination—framework for how we ar</w:t>
      </w:r>
      <w:r w:rsidR="00447985">
        <w:rPr>
          <w:rFonts w:ascii="Times" w:hAnsi="Times"/>
        </w:rPr>
        <w:t xml:space="preserve">e supposed to think about s. 15: </w:t>
      </w:r>
    </w:p>
    <w:p w14:paraId="21230BD2" w14:textId="442D3C57" w:rsidR="00FE239C" w:rsidRDefault="0089012F" w:rsidP="003F4513">
      <w:pPr>
        <w:pStyle w:val="NoteLevel2"/>
        <w:rPr>
          <w:rFonts w:ascii="Times" w:hAnsi="Times"/>
        </w:rPr>
      </w:pPr>
      <w:r>
        <w:rPr>
          <w:rFonts w:ascii="Times" w:hAnsi="Times"/>
        </w:rPr>
        <w:t>General approach to s.15 is inappropriate to confine it to a fixed and limited formula—you’re not supposed to view this as</w:t>
      </w:r>
      <w:r w:rsidR="009E3099">
        <w:rPr>
          <w:rFonts w:ascii="Times" w:hAnsi="Times"/>
        </w:rPr>
        <w:t xml:space="preserve"> a very rigid approach to s. 15—but it is a purposive approach and how you can contextualize your approach to it </w:t>
      </w:r>
    </w:p>
    <w:p w14:paraId="094F599B" w14:textId="7ACC3263" w:rsidR="009E3099" w:rsidRDefault="00435ABD" w:rsidP="003F4513">
      <w:pPr>
        <w:pStyle w:val="NoteLevel2"/>
        <w:rPr>
          <w:rFonts w:ascii="Times" w:hAnsi="Times"/>
        </w:rPr>
      </w:pPr>
      <w:r>
        <w:rPr>
          <w:rFonts w:ascii="Times" w:hAnsi="Times"/>
        </w:rPr>
        <w:t xml:space="preserve">You have to look at three things: 1) whether a law imposes differential treatment btwn the claimant and others, in purpose or effect; 2) whether one or more enumerated or analogous grounds of discrimination are the basis for the differential treatment; 3) whether the law in question has a purpose or effect that is discriminatory w/n the meaning of the equality guarantee </w:t>
      </w:r>
    </w:p>
    <w:p w14:paraId="044755FB" w14:textId="01F92EDE" w:rsidR="00396DE1" w:rsidRDefault="00D22861" w:rsidP="00E238E7">
      <w:pPr>
        <w:pStyle w:val="NoteLevel2"/>
        <w:rPr>
          <w:rFonts w:ascii="Times" w:hAnsi="Times"/>
        </w:rPr>
      </w:pPr>
      <w:r>
        <w:rPr>
          <w:rFonts w:ascii="Times" w:hAnsi="Times"/>
        </w:rPr>
        <w:t>There is a dual purpose to s.1</w:t>
      </w:r>
      <w:r w:rsidR="007642AA">
        <w:rPr>
          <w:rFonts w:ascii="Times" w:hAnsi="Times"/>
        </w:rPr>
        <w:t>5:</w:t>
      </w:r>
      <w:r w:rsidRPr="00D22861">
        <w:rPr>
          <w:rFonts w:ascii="Times" w:hAnsi="Times"/>
          <w:color w:val="008000"/>
        </w:rPr>
        <w:t xml:space="preserve"> </w:t>
      </w:r>
      <w:r w:rsidRPr="007642AA">
        <w:rPr>
          <w:rFonts w:ascii="Times" w:hAnsi="Times"/>
        </w:rPr>
        <w:t>1) prevent the violation of essential human dignity and freedom through the imposition of disadvantage, stereotyping, or political or social prejudice *</w:t>
      </w:r>
      <w:r w:rsidR="007642AA" w:rsidRPr="007642AA">
        <w:rPr>
          <w:rFonts w:ascii="Times" w:hAnsi="Times"/>
        </w:rPr>
        <w:t>*</w:t>
      </w:r>
      <w:r w:rsidRPr="007642AA">
        <w:rPr>
          <w:rFonts w:ascii="Times" w:hAnsi="Times"/>
        </w:rPr>
        <w:t>they tone this language down later b/c “human dignity” is too philosophical</w:t>
      </w:r>
      <w:r>
        <w:rPr>
          <w:rFonts w:ascii="Times" w:hAnsi="Times"/>
          <w:color w:val="008000"/>
        </w:rPr>
        <w:t xml:space="preserve"> </w:t>
      </w:r>
      <w:r>
        <w:rPr>
          <w:rFonts w:ascii="Times" w:hAnsi="Times"/>
        </w:rPr>
        <w:t xml:space="preserve"> 2) promote a society in which all persons enjoy equal recognition at law as human beings or as members of Canadian society, equally capable and equally deserving or concern, respect and consideration </w:t>
      </w:r>
    </w:p>
    <w:p w14:paraId="726EEFD3" w14:textId="2D8394AE" w:rsidR="00E238E7" w:rsidRDefault="00E238E7" w:rsidP="00E238E7">
      <w:pPr>
        <w:pStyle w:val="NoteLevel2"/>
        <w:rPr>
          <w:rFonts w:ascii="Times" w:hAnsi="Times"/>
        </w:rPr>
      </w:pPr>
      <w:r>
        <w:rPr>
          <w:rFonts w:ascii="Times" w:hAnsi="Times"/>
        </w:rPr>
        <w:t xml:space="preserve">Comparative Approach: the notion of equality is a comparative concept, which ultimately requires a court to establish one or more relevant comparators. The claimant generally chooses the person, group, or groups w/ whom he or she wishes to be compared for the purpose of the discrimination inquiry. However, where the claimant’s characterization of the comparison is insufficient, a court may, w/n the scope of the ground or grounds, pleaded, refine the comparison represented by…**the person you compare yourself to has to be a mirror image to yourself/for differential treatment to be proven it has to be proven amongst people who are similar to yourself, but for religion, gender, age, etc. </w:t>
      </w:r>
    </w:p>
    <w:p w14:paraId="2BEB91A9" w14:textId="66660E2F" w:rsidR="00E238E7" w:rsidRDefault="00E238E7" w:rsidP="00E238E7">
      <w:pPr>
        <w:pStyle w:val="NoteLevel2"/>
        <w:rPr>
          <w:rFonts w:ascii="Times" w:hAnsi="Times"/>
        </w:rPr>
      </w:pPr>
      <w:r>
        <w:rPr>
          <w:rFonts w:ascii="Times" w:hAnsi="Times"/>
        </w:rPr>
        <w:t>Context: the focus of the inquiry is both subjective and objective. The relevant point of view is that of the reasonable person, in circumstances similar to those of the claimant, who takes into account the contextua</w:t>
      </w:r>
      <w:r w:rsidR="005F33EC">
        <w:rPr>
          <w:rFonts w:ascii="Times" w:hAnsi="Times"/>
        </w:rPr>
        <w:t>l factors relevant to the claim **the subjective test is what the person in the circumstances feels, and the objective test is the reasonable persons test, which takes away any subjectivity,</w:t>
      </w:r>
      <w:r w:rsidR="004E2CF4">
        <w:rPr>
          <w:rFonts w:ascii="Times" w:hAnsi="Times"/>
        </w:rPr>
        <w:t xml:space="preserve"> etc—a reasonable person in the</w:t>
      </w:r>
      <w:r w:rsidR="001F23C6">
        <w:rPr>
          <w:rFonts w:ascii="Times" w:hAnsi="Times"/>
        </w:rPr>
        <w:t xml:space="preserve"> circumstances of the claimant—it is the ‘reasonable person’ view that is relevant </w:t>
      </w:r>
    </w:p>
    <w:p w14:paraId="7DDED61C" w14:textId="62D9581D" w:rsidR="00241C68" w:rsidRDefault="00810224" w:rsidP="00241C68">
      <w:pPr>
        <w:pStyle w:val="NoteLevel2"/>
        <w:rPr>
          <w:rFonts w:ascii="Times" w:hAnsi="Times"/>
        </w:rPr>
      </w:pPr>
      <w:r>
        <w:rPr>
          <w:rFonts w:ascii="Times" w:hAnsi="Times"/>
        </w:rPr>
        <w:t>Factors influencing the determination of discrimination</w:t>
      </w:r>
      <w:r w:rsidR="0013131E">
        <w:rPr>
          <w:rFonts w:ascii="Times" w:hAnsi="Times"/>
        </w:rPr>
        <w:t xml:space="preserve"> (they are not cumulative)</w:t>
      </w:r>
      <w:r>
        <w:rPr>
          <w:rFonts w:ascii="Times" w:hAnsi="Times"/>
        </w:rPr>
        <w:t>: 1) Pre-existing disadvantage, stereotyping, prejudice, or vulnerability experienced by t</w:t>
      </w:r>
      <w:r w:rsidR="0013131E">
        <w:rPr>
          <w:rFonts w:ascii="Times" w:hAnsi="Times"/>
        </w:rPr>
        <w:t>he individual or group at issue; 2) The correspondence, or lack thereof, between the ground or grounds on which the claim is based and the actual need, capacity, or circumst</w:t>
      </w:r>
      <w:r w:rsidR="00DE1791">
        <w:rPr>
          <w:rFonts w:ascii="Times" w:hAnsi="Times"/>
        </w:rPr>
        <w:t>ances of the claimant or others—this is one of the more important factors—the relationship between the claimants group and what it is that they’re not getting;</w:t>
      </w:r>
      <w:r w:rsidR="003873B3">
        <w:rPr>
          <w:rFonts w:ascii="Times" w:hAnsi="Times"/>
        </w:rPr>
        <w:t xml:space="preserve"> 3) </w:t>
      </w:r>
      <w:r w:rsidR="00141510">
        <w:rPr>
          <w:rFonts w:ascii="Times" w:hAnsi="Times"/>
        </w:rPr>
        <w:t xml:space="preserve">The ameliorative purpose or effects of the impugned law upon more disadvantaged person or group in society—is there another group in society that benefits from the differential treatment?—the gov’t may be balancing factors/interest between different groups, and in trying to help a group may have to leave specific grounds out of a certain advantage—so who are those disadvantaged in comparison to the advantaged? </w:t>
      </w:r>
      <w:r w:rsidR="00B60766">
        <w:rPr>
          <w:rFonts w:ascii="Times" w:hAnsi="Times"/>
        </w:rPr>
        <w:t>–is the law you’re complaining about benefiting somebody who is worse off than you are?</w:t>
      </w:r>
      <w:r w:rsidR="00173843">
        <w:rPr>
          <w:rFonts w:ascii="Times" w:hAnsi="Times"/>
        </w:rPr>
        <w:t xml:space="preserve">; </w:t>
      </w:r>
      <w:r w:rsidR="007119B3">
        <w:rPr>
          <w:rFonts w:ascii="Times" w:hAnsi="Times"/>
        </w:rPr>
        <w:t xml:space="preserve">4) </w:t>
      </w:r>
      <w:r w:rsidR="00312B58">
        <w:rPr>
          <w:rFonts w:ascii="Times" w:hAnsi="Times"/>
        </w:rPr>
        <w:t xml:space="preserve">The nature and scope of the interest affected by the impugned law—what is at state? What is it that you’re not getting, what is the burden placed on you? </w:t>
      </w:r>
    </w:p>
    <w:p w14:paraId="47164580" w14:textId="6BE18C2A" w:rsidR="00241C68" w:rsidRDefault="00241C68" w:rsidP="00241C68">
      <w:pPr>
        <w:pStyle w:val="NoteLevel2"/>
        <w:rPr>
          <w:rFonts w:ascii="Times" w:hAnsi="Times"/>
        </w:rPr>
      </w:pPr>
      <w:r>
        <w:rPr>
          <w:rFonts w:ascii="Times" w:hAnsi="Times"/>
        </w:rPr>
        <w:t xml:space="preserve">Differential treatment btwn one group and another—the </w:t>
      </w:r>
      <w:r w:rsidR="00A031E9">
        <w:rPr>
          <w:rFonts w:ascii="Times" w:hAnsi="Times"/>
        </w:rPr>
        <w:t>comparison</w:t>
      </w:r>
      <w:r>
        <w:rPr>
          <w:rFonts w:ascii="Times" w:hAnsi="Times"/>
        </w:rPr>
        <w:t>—this is based on the enumerated or analogous grounds,</w:t>
      </w:r>
      <w:r w:rsidR="00A031E9">
        <w:rPr>
          <w:rFonts w:ascii="Times" w:hAnsi="Times"/>
        </w:rPr>
        <w:t xml:space="preserve"> that results in discrimination </w:t>
      </w:r>
    </w:p>
    <w:p w14:paraId="5E75ED0B" w14:textId="64A0EB0B" w:rsidR="00596E83" w:rsidRDefault="009F413A" w:rsidP="00596E83">
      <w:pPr>
        <w:pStyle w:val="NoteLevel1"/>
        <w:rPr>
          <w:rFonts w:ascii="Times" w:hAnsi="Times"/>
        </w:rPr>
      </w:pPr>
      <w:r>
        <w:rPr>
          <w:rFonts w:ascii="Times" w:hAnsi="Times"/>
        </w:rPr>
        <w:t xml:space="preserve">** There are a few cases after the midterm which talk about the comparison </w:t>
      </w:r>
    </w:p>
    <w:p w14:paraId="61753E55" w14:textId="77777777" w:rsidR="00CF2B7F" w:rsidRDefault="00CF2B7F" w:rsidP="001B25A1">
      <w:pPr>
        <w:pStyle w:val="NoteLevel1"/>
        <w:rPr>
          <w:rFonts w:ascii="Times" w:hAnsi="Times"/>
        </w:rPr>
      </w:pPr>
    </w:p>
    <w:p w14:paraId="48F8AADF" w14:textId="0E2A3E03" w:rsidR="00577AC6" w:rsidRDefault="00577AC6" w:rsidP="001B25A1">
      <w:pPr>
        <w:pStyle w:val="NoteLevel1"/>
        <w:rPr>
          <w:rFonts w:ascii="Times" w:hAnsi="Times"/>
        </w:rPr>
      </w:pPr>
      <w:r>
        <w:rPr>
          <w:rFonts w:ascii="Times" w:hAnsi="Times"/>
        </w:rPr>
        <w:t>- Going through the 4 factors through the lens of the Nancy Law case:</w:t>
      </w:r>
    </w:p>
    <w:p w14:paraId="06BFFBC4" w14:textId="796A9C8B" w:rsidR="00577AC6" w:rsidRDefault="00577AC6" w:rsidP="00577AC6">
      <w:pPr>
        <w:pStyle w:val="NoteLevel2"/>
        <w:rPr>
          <w:rFonts w:ascii="Times" w:hAnsi="Times"/>
        </w:rPr>
      </w:pPr>
      <w:r>
        <w:rPr>
          <w:rFonts w:ascii="Times" w:hAnsi="Times"/>
        </w:rPr>
        <w:t>1) Are 35 and young historically disadvantaged? No</w:t>
      </w:r>
    </w:p>
    <w:p w14:paraId="4937B6BF" w14:textId="0FAF4BB4" w:rsidR="00577AC6" w:rsidRDefault="00577AC6" w:rsidP="00577AC6">
      <w:pPr>
        <w:pStyle w:val="NoteLevel2"/>
        <w:rPr>
          <w:rFonts w:ascii="Times" w:hAnsi="Times"/>
        </w:rPr>
      </w:pPr>
      <w:r>
        <w:rPr>
          <w:rFonts w:ascii="Times" w:hAnsi="Times"/>
        </w:rPr>
        <w:t xml:space="preserve">2) The claimant is 29 years old, and you have to ask, what is the relationship between a 29 year old person and a person who is left w/o a breadwinner, when that person is unable to go out and be employed or has other persons depending on them? A person who doesn’t have children, is in their early 30s, there is little correspondence between them and a pension which serves the purpose of providing for a family who, without the breadwinner, is unable to work or is providing for dependent persons, who is older than the required age. </w:t>
      </w:r>
    </w:p>
    <w:p w14:paraId="734B76BB" w14:textId="6440898B" w:rsidR="00F70EF1" w:rsidRDefault="00F70EF1" w:rsidP="00577AC6">
      <w:pPr>
        <w:pStyle w:val="NoteLevel2"/>
        <w:rPr>
          <w:rFonts w:ascii="Times" w:hAnsi="Times"/>
        </w:rPr>
      </w:pPr>
      <w:r>
        <w:rPr>
          <w:rFonts w:ascii="Times" w:hAnsi="Times"/>
        </w:rPr>
        <w:t>3) Is this law designed to help a group that is more disadvantaged then you are? If the answer is yes, then “back off a little bit” (hahaha), parliament cannot provide for all persons of all situations—there has to be a balance</w:t>
      </w:r>
    </w:p>
    <w:p w14:paraId="2FBF9840" w14:textId="7FE2C3CC" w:rsidR="00F70EF1" w:rsidRDefault="00F70EF1" w:rsidP="00577AC6">
      <w:pPr>
        <w:pStyle w:val="NoteLevel2"/>
        <w:rPr>
          <w:rFonts w:ascii="Times" w:hAnsi="Times"/>
        </w:rPr>
      </w:pPr>
      <w:r>
        <w:rPr>
          <w:rFonts w:ascii="Times" w:hAnsi="Times"/>
        </w:rPr>
        <w:t>4) What exactly have you lost? The monetary benefit from the CPP was compensated by a social assistance benefit from the province—the loss of a pension in and of itself, may be a big deal, but it’s not for example, as big of a deal as the ability to be employed or vote, or—if that person doesn’t get a survivor’s pension, does that really go to their human dignity?—if you put an objective person in that person’s circumstances would that make them feel left out, lost, or as a less</w:t>
      </w:r>
      <w:r w:rsidR="006D0CDC">
        <w:rPr>
          <w:rFonts w:ascii="Times" w:hAnsi="Times"/>
        </w:rPr>
        <w:t xml:space="preserve"> than valued member of society?—in this case, the course didn’t think so. </w:t>
      </w:r>
    </w:p>
    <w:p w14:paraId="20993125" w14:textId="75124E32" w:rsidR="001C5232" w:rsidRDefault="001C5232" w:rsidP="00577AC6">
      <w:pPr>
        <w:pStyle w:val="NoteLevel2"/>
        <w:rPr>
          <w:rFonts w:ascii="Times" w:hAnsi="Times"/>
        </w:rPr>
      </w:pPr>
      <w:r>
        <w:rPr>
          <w:rFonts w:ascii="Times" w:hAnsi="Times"/>
        </w:rPr>
        <w:t xml:space="preserve">In Para 107, court says that people in the position of Nancy Law, are not forever excluded from survivor’s </w:t>
      </w:r>
      <w:r w:rsidR="00A50EAF">
        <w:rPr>
          <w:rFonts w:ascii="Times" w:hAnsi="Times"/>
        </w:rPr>
        <w:t xml:space="preserve">pension, they will get it at 65—“the availability of the pension to the appellant strengthens the conclusion that the law does not reflect a view of the appellant that suggests she is underserving or less worthy as a person, only that the distribution of the benefit to her will be delayed until she is at a different point in her life cycle, when she reaches retirement </w:t>
      </w:r>
    </w:p>
    <w:p w14:paraId="5A4EBB30" w14:textId="3788D5F0" w:rsidR="00A50EAF" w:rsidRDefault="00A50EAF" w:rsidP="00A50EAF">
      <w:pPr>
        <w:pStyle w:val="NoteLevel1"/>
        <w:rPr>
          <w:rFonts w:ascii="Times" w:hAnsi="Times"/>
        </w:rPr>
      </w:pPr>
      <w:r>
        <w:rPr>
          <w:rFonts w:ascii="Times" w:hAnsi="Times"/>
        </w:rPr>
        <w:t>**Read from 88 onward, it’s a relatively easy read; 89-107 is how the cour</w:t>
      </w:r>
      <w:r w:rsidR="00910C36">
        <w:rPr>
          <w:rFonts w:ascii="Times" w:hAnsi="Times"/>
        </w:rPr>
        <w:t xml:space="preserve">t </w:t>
      </w:r>
      <w:r w:rsidR="002D0805">
        <w:rPr>
          <w:rFonts w:ascii="Times" w:hAnsi="Times"/>
        </w:rPr>
        <w:t xml:space="preserve">applies the facts to the test******* </w:t>
      </w:r>
    </w:p>
    <w:p w14:paraId="7CEE56DF" w14:textId="77777777" w:rsidR="00A14631" w:rsidRDefault="00A14631" w:rsidP="00A50EAF">
      <w:pPr>
        <w:pStyle w:val="NoteLevel1"/>
        <w:rPr>
          <w:rFonts w:ascii="Times" w:hAnsi="Times"/>
        </w:rPr>
      </w:pPr>
    </w:p>
    <w:p w14:paraId="5E8792A9" w14:textId="77777777" w:rsidR="00A14631" w:rsidRDefault="00A14631" w:rsidP="00A50EAF">
      <w:pPr>
        <w:pStyle w:val="NoteLevel1"/>
        <w:rPr>
          <w:rFonts w:ascii="Times" w:hAnsi="Times"/>
        </w:rPr>
      </w:pPr>
    </w:p>
    <w:p w14:paraId="1ED2950D" w14:textId="77777777" w:rsidR="00655FA6" w:rsidRPr="00E238E7" w:rsidRDefault="00655FA6" w:rsidP="00A50EAF">
      <w:pPr>
        <w:pStyle w:val="NoteLevel1"/>
        <w:rPr>
          <w:rFonts w:ascii="Times" w:hAnsi="Times"/>
        </w:rPr>
      </w:pPr>
    </w:p>
    <w:p w14:paraId="4505C08E" w14:textId="77777777" w:rsidR="003B3CB4" w:rsidRPr="00396DE1" w:rsidRDefault="003B3CB4" w:rsidP="003B3CB4">
      <w:pPr>
        <w:pStyle w:val="NoteLevel1"/>
        <w:numPr>
          <w:ilvl w:val="0"/>
          <w:numId w:val="0"/>
        </w:numPr>
        <w:rPr>
          <w:rFonts w:ascii="Times" w:hAnsi="Times"/>
        </w:rPr>
      </w:pPr>
    </w:p>
    <w:p w14:paraId="36CF11B0" w14:textId="77777777" w:rsidR="003B3CB4" w:rsidRPr="00396DE1" w:rsidRDefault="003B3CB4" w:rsidP="003B3CB4">
      <w:pPr>
        <w:pStyle w:val="NoteLevel1"/>
        <w:numPr>
          <w:ilvl w:val="0"/>
          <w:numId w:val="0"/>
        </w:numPr>
        <w:rPr>
          <w:rFonts w:ascii="Times" w:hAnsi="Times"/>
        </w:rPr>
      </w:pPr>
    </w:p>
    <w:p w14:paraId="04F06E95" w14:textId="77777777" w:rsidR="0031562F" w:rsidRPr="00396DE1" w:rsidRDefault="0031562F" w:rsidP="008C22E5">
      <w:pPr>
        <w:pStyle w:val="NoteLevel1"/>
        <w:numPr>
          <w:ilvl w:val="0"/>
          <w:numId w:val="0"/>
        </w:numPr>
        <w:rPr>
          <w:rFonts w:ascii="Times" w:hAnsi="Times"/>
        </w:rPr>
      </w:pPr>
    </w:p>
    <w:p w14:paraId="3B59BD7D" w14:textId="77777777" w:rsidR="003D5AA5" w:rsidRPr="00396DE1" w:rsidRDefault="003D5AA5" w:rsidP="003D5AA5">
      <w:pPr>
        <w:pStyle w:val="NoteLevel1"/>
        <w:rPr>
          <w:rFonts w:ascii="Times" w:hAnsi="Times"/>
        </w:rPr>
      </w:pPr>
    </w:p>
    <w:p w14:paraId="27463605" w14:textId="77777777" w:rsidR="005B0A27" w:rsidRPr="00396DE1" w:rsidRDefault="005B0A27" w:rsidP="00C15D64">
      <w:pPr>
        <w:pStyle w:val="NoteLevel1"/>
        <w:rPr>
          <w:rFonts w:ascii="Times" w:hAnsi="Times"/>
        </w:rPr>
      </w:pPr>
    </w:p>
    <w:p w14:paraId="330C5CE7" w14:textId="77777777" w:rsidR="00D922B0" w:rsidRDefault="00D922B0" w:rsidP="00C15D64">
      <w:pPr>
        <w:pStyle w:val="NoteLevel1"/>
        <w:rPr>
          <w:rFonts w:ascii="Times" w:hAnsi="Times"/>
        </w:rPr>
        <w:sectPr w:rsidR="00D922B0" w:rsidSect="00C15D64">
          <w:headerReference w:type="first" r:id="rId11"/>
          <w:pgSz w:w="12240" w:h="15840"/>
          <w:pgMar w:top="1440" w:right="1440" w:bottom="1440" w:left="1440" w:header="708" w:footer="708" w:gutter="0"/>
          <w:cols w:space="708"/>
          <w:titlePg/>
          <w:docGrid w:type="lines" w:linePitch="360"/>
        </w:sectPr>
      </w:pPr>
    </w:p>
    <w:p w14:paraId="49CAA38D" w14:textId="10BE4749" w:rsidR="00DA0E71" w:rsidRPr="00E36211" w:rsidRDefault="00DA0E71" w:rsidP="00D922B0">
      <w:pPr>
        <w:pStyle w:val="NoteLevel1"/>
        <w:rPr>
          <w:rFonts w:ascii="Times" w:hAnsi="Times"/>
          <w:u w:val="single"/>
        </w:rPr>
      </w:pPr>
      <w:r w:rsidRPr="00E36211">
        <w:rPr>
          <w:rFonts w:ascii="Times" w:hAnsi="Times"/>
          <w:u w:val="single"/>
        </w:rPr>
        <w:t>Quick Review</w:t>
      </w:r>
      <w:r w:rsidR="00971CFB">
        <w:rPr>
          <w:rFonts w:ascii="Times" w:hAnsi="Times"/>
          <w:u w:val="single"/>
        </w:rPr>
        <w:t xml:space="preserve"> &amp;Intro</w:t>
      </w:r>
      <w:r w:rsidRPr="00E36211">
        <w:rPr>
          <w:rFonts w:ascii="Times" w:hAnsi="Times"/>
          <w:u w:val="single"/>
        </w:rPr>
        <w:t>:</w:t>
      </w:r>
    </w:p>
    <w:p w14:paraId="2C9F2B94" w14:textId="28BE65A0" w:rsidR="00DA0E71" w:rsidRPr="00DA0E71" w:rsidRDefault="00DA0E71" w:rsidP="00D922B0">
      <w:pPr>
        <w:pStyle w:val="NoteLevel1"/>
        <w:rPr>
          <w:rFonts w:ascii="Times" w:hAnsi="Times"/>
          <w:u w:val="single"/>
        </w:rPr>
      </w:pPr>
      <w:r>
        <w:rPr>
          <w:rFonts w:ascii="Times" w:hAnsi="Times"/>
        </w:rPr>
        <w:t xml:space="preserve">- Differential treatment based on an enumerated or analogous ground </w:t>
      </w:r>
    </w:p>
    <w:p w14:paraId="2B4D6F16" w14:textId="640320FD" w:rsidR="00DA0E71" w:rsidRPr="00E36211" w:rsidRDefault="00DA0E71" w:rsidP="00D922B0">
      <w:pPr>
        <w:pStyle w:val="NoteLevel1"/>
        <w:rPr>
          <w:rFonts w:ascii="Times" w:hAnsi="Times"/>
          <w:u w:val="single"/>
        </w:rPr>
      </w:pPr>
      <w:r>
        <w:rPr>
          <w:rFonts w:ascii="Times" w:hAnsi="Times"/>
        </w:rPr>
        <w:t xml:space="preserve">- </w:t>
      </w:r>
      <w:r>
        <w:rPr>
          <w:rFonts w:ascii="Times" w:hAnsi="Times"/>
          <w:i/>
        </w:rPr>
        <w:t>Andrews</w:t>
      </w:r>
      <w:r>
        <w:rPr>
          <w:rFonts w:ascii="Times" w:hAnsi="Times"/>
        </w:rPr>
        <w:t xml:space="preserve"> and </w:t>
      </w:r>
      <w:r>
        <w:rPr>
          <w:rFonts w:ascii="Times" w:hAnsi="Times"/>
          <w:i/>
        </w:rPr>
        <w:t>Nancy Law</w:t>
      </w:r>
      <w:r>
        <w:rPr>
          <w:rFonts w:ascii="Times" w:hAnsi="Times"/>
        </w:rPr>
        <w:t xml:space="preserve"> important cases in equality (Withler is now the most current and detailed case in regards to equality) </w:t>
      </w:r>
    </w:p>
    <w:p w14:paraId="176558D9" w14:textId="4FE3C120" w:rsidR="00E36211" w:rsidRPr="00971CFB" w:rsidRDefault="00E36211" w:rsidP="00971CFB">
      <w:pPr>
        <w:pStyle w:val="NoteLevel1"/>
        <w:rPr>
          <w:rFonts w:ascii="Times" w:hAnsi="Times"/>
          <w:u w:val="single"/>
        </w:rPr>
      </w:pPr>
      <w:r>
        <w:rPr>
          <w:rFonts w:ascii="Times" w:hAnsi="Times"/>
        </w:rPr>
        <w:t xml:space="preserve">- In Kapp, the SCC took away the concept of “human dignity” (which was a key focus in </w:t>
      </w:r>
      <w:r>
        <w:rPr>
          <w:rFonts w:ascii="Times" w:hAnsi="Times"/>
          <w:i/>
        </w:rPr>
        <w:t>Nancy Law</w:t>
      </w:r>
      <w:r>
        <w:rPr>
          <w:rFonts w:ascii="Times" w:hAnsi="Times"/>
        </w:rPr>
        <w:t>)</w:t>
      </w:r>
      <w:r w:rsidR="00971CFB">
        <w:rPr>
          <w:rFonts w:ascii="Times" w:hAnsi="Times"/>
        </w:rPr>
        <w:t xml:space="preserve">; go back to the terms of McIntyre used in </w:t>
      </w:r>
      <w:r w:rsidR="00971CFB">
        <w:rPr>
          <w:rFonts w:ascii="Times" w:hAnsi="Times"/>
          <w:i/>
        </w:rPr>
        <w:t>Andrews</w:t>
      </w:r>
      <w:r w:rsidR="00971CFB">
        <w:rPr>
          <w:rFonts w:ascii="Times" w:hAnsi="Times"/>
        </w:rPr>
        <w:t xml:space="preserve">—perpetuating a disadvantage &amp; stereotypes </w:t>
      </w:r>
    </w:p>
    <w:p w14:paraId="7C4FD4E9" w14:textId="77777777" w:rsidR="00971CFB" w:rsidRPr="00971CFB" w:rsidRDefault="00971CFB" w:rsidP="00971CFB">
      <w:pPr>
        <w:pStyle w:val="NoteLevel1"/>
        <w:numPr>
          <w:ilvl w:val="0"/>
          <w:numId w:val="0"/>
        </w:numPr>
        <w:rPr>
          <w:rFonts w:ascii="Times" w:hAnsi="Times"/>
          <w:u w:val="single"/>
        </w:rPr>
      </w:pPr>
    </w:p>
    <w:p w14:paraId="52AB3E90" w14:textId="0F5C6F31" w:rsidR="00B52D34" w:rsidRPr="00D922B0" w:rsidRDefault="00D922B0" w:rsidP="00D922B0">
      <w:pPr>
        <w:pStyle w:val="NoteLevel1"/>
        <w:rPr>
          <w:rFonts w:ascii="Times" w:hAnsi="Times"/>
          <w:u w:val="single"/>
        </w:rPr>
      </w:pPr>
      <w:r w:rsidRPr="00D922B0">
        <w:rPr>
          <w:rFonts w:ascii="Times" w:hAnsi="Times"/>
          <w:i/>
          <w:iCs/>
          <w:u w:val="single"/>
        </w:rPr>
        <w:t xml:space="preserve">R. v. Kapp, </w:t>
      </w:r>
      <w:r w:rsidRPr="00D922B0">
        <w:rPr>
          <w:rFonts w:ascii="Times" w:hAnsi="Times"/>
          <w:u w:val="single"/>
        </w:rPr>
        <w:t>[2008] 2 S.C.R. 483</w:t>
      </w:r>
    </w:p>
    <w:p w14:paraId="66690DCA" w14:textId="420E3D32" w:rsidR="00D922B0" w:rsidRPr="009633CD" w:rsidRDefault="00D922B0" w:rsidP="00D922B0">
      <w:pPr>
        <w:pStyle w:val="NoteLevel1"/>
        <w:rPr>
          <w:rFonts w:ascii="Times" w:hAnsi="Times"/>
          <w:u w:val="single"/>
        </w:rPr>
      </w:pPr>
      <w:r>
        <w:rPr>
          <w:rFonts w:ascii="Times" w:hAnsi="Times"/>
          <w:iCs/>
        </w:rPr>
        <w:t xml:space="preserve">- </w:t>
      </w:r>
      <w:r w:rsidR="009633CD">
        <w:rPr>
          <w:rFonts w:ascii="Times" w:hAnsi="Times"/>
          <w:iCs/>
        </w:rPr>
        <w:t>Fishing licence given to Aboriginal people for 24hrs to the exclusion of everybody else</w:t>
      </w:r>
    </w:p>
    <w:p w14:paraId="449277E4" w14:textId="588722BE" w:rsidR="009633CD" w:rsidRPr="009633CD" w:rsidRDefault="009633CD" w:rsidP="00D922B0">
      <w:pPr>
        <w:pStyle w:val="NoteLevel1"/>
        <w:rPr>
          <w:rFonts w:ascii="Times" w:hAnsi="Times"/>
          <w:u w:val="single"/>
        </w:rPr>
      </w:pPr>
      <w:r>
        <w:rPr>
          <w:rFonts w:ascii="Times" w:hAnsi="Times"/>
          <w:iCs/>
        </w:rPr>
        <w:t xml:space="preserve">- The commercial fishers argued that the fact that they were charged w/ illegal fishing was discriminatory because they were withheld from the right to fish during this time just because they were not Aboriginal </w:t>
      </w:r>
    </w:p>
    <w:p w14:paraId="374E7910" w14:textId="53E99988" w:rsidR="009633CD" w:rsidRPr="00D3249F" w:rsidRDefault="00592D1C" w:rsidP="00D922B0">
      <w:pPr>
        <w:pStyle w:val="NoteLevel1"/>
        <w:rPr>
          <w:rFonts w:ascii="Times" w:hAnsi="Times"/>
          <w:u w:val="single"/>
        </w:rPr>
      </w:pPr>
      <w:r>
        <w:rPr>
          <w:rFonts w:ascii="Times" w:hAnsi="Times"/>
          <w:iCs/>
        </w:rPr>
        <w:t xml:space="preserve">- </w:t>
      </w:r>
      <w:r w:rsidR="00D3249F">
        <w:rPr>
          <w:rFonts w:ascii="Times" w:hAnsi="Times"/>
          <w:iCs/>
        </w:rPr>
        <w:t xml:space="preserve">Question is whether or not this is discriminatory under the 4 factors set out in </w:t>
      </w:r>
      <w:r w:rsidR="00D3249F">
        <w:rPr>
          <w:rFonts w:ascii="Times" w:hAnsi="Times"/>
          <w:i/>
          <w:iCs/>
        </w:rPr>
        <w:t>Nancy Law</w:t>
      </w:r>
    </w:p>
    <w:p w14:paraId="43B3CD19" w14:textId="0D5CD222" w:rsidR="00D3249F" w:rsidRPr="00E640CC" w:rsidRDefault="00D3249F" w:rsidP="00D922B0">
      <w:pPr>
        <w:pStyle w:val="NoteLevel1"/>
        <w:rPr>
          <w:rFonts w:ascii="Times" w:hAnsi="Times"/>
          <w:u w:val="single"/>
        </w:rPr>
      </w:pPr>
      <w:r>
        <w:rPr>
          <w:rFonts w:ascii="Times" w:hAnsi="Times"/>
          <w:iCs/>
        </w:rPr>
        <w:t xml:space="preserve">- </w:t>
      </w:r>
      <w:r w:rsidR="00E640CC">
        <w:rPr>
          <w:rFonts w:ascii="Times" w:hAnsi="Times"/>
          <w:iCs/>
        </w:rPr>
        <w:t xml:space="preserve">15(1) protects against discrimination, 15(2) encourage affirmative action </w:t>
      </w:r>
    </w:p>
    <w:p w14:paraId="100AE76C" w14:textId="37B16ACB" w:rsidR="00E640CC" w:rsidRPr="004044CE" w:rsidRDefault="004B08AE" w:rsidP="00D922B0">
      <w:pPr>
        <w:pStyle w:val="NoteLevel1"/>
        <w:rPr>
          <w:rFonts w:ascii="Times" w:hAnsi="Times"/>
          <w:u w:val="single"/>
        </w:rPr>
      </w:pPr>
      <w:r>
        <w:rPr>
          <w:rFonts w:ascii="Times" w:hAnsi="Times"/>
          <w:iCs/>
        </w:rPr>
        <w:t xml:space="preserve">- </w:t>
      </w:r>
      <w:r w:rsidR="004044CE">
        <w:rPr>
          <w:rFonts w:ascii="Times" w:hAnsi="Times"/>
          <w:iCs/>
        </w:rPr>
        <w:t xml:space="preserve">“We have concluded that where a program makes a distinction on one of the grounds enumerated under s.15 or an analogous ground but has as its object the amelioration of the conditions of a disadvantaged group s.15’s guarantee of substantive equality is furthered, and the claim of discrimination must fail” </w:t>
      </w:r>
    </w:p>
    <w:p w14:paraId="4C8D87D1" w14:textId="3BB23935" w:rsidR="004044CE" w:rsidRPr="004044CE" w:rsidRDefault="004044CE" w:rsidP="00D922B0">
      <w:pPr>
        <w:pStyle w:val="NoteLevel1"/>
        <w:rPr>
          <w:rFonts w:ascii="Times" w:hAnsi="Times"/>
          <w:u w:val="single"/>
        </w:rPr>
      </w:pPr>
      <w:r>
        <w:rPr>
          <w:rFonts w:ascii="Times" w:hAnsi="Times"/>
        </w:rPr>
        <w:t>- Para 14: “</w:t>
      </w:r>
      <w:r>
        <w:rPr>
          <w:rFonts w:ascii="Times" w:hAnsi="Times"/>
          <w:i/>
        </w:rPr>
        <w:t>Andrews</w:t>
      </w:r>
      <w:r>
        <w:rPr>
          <w:rFonts w:ascii="Times" w:hAnsi="Times"/>
        </w:rPr>
        <w:t xml:space="preserve"> set the template for this Court’s commitment to substantive equality—a template which subsequent decisions have enriched but never abandoned” </w:t>
      </w:r>
    </w:p>
    <w:p w14:paraId="3245D2BC" w14:textId="20AD1A93" w:rsidR="004044CE" w:rsidRPr="004044CE" w:rsidRDefault="004044CE" w:rsidP="00D922B0">
      <w:pPr>
        <w:pStyle w:val="NoteLevel1"/>
        <w:rPr>
          <w:rFonts w:ascii="Times" w:hAnsi="Times"/>
          <w:u w:val="single"/>
        </w:rPr>
      </w:pPr>
      <w:r>
        <w:rPr>
          <w:rFonts w:ascii="Times" w:hAnsi="Times"/>
        </w:rPr>
        <w:t>- Para 15: Looking for substantive equality which is grounded in the idea that “[t]he promotion of equality entails the promotion of a society…”</w:t>
      </w:r>
    </w:p>
    <w:p w14:paraId="2BE13A97" w14:textId="0201A21A" w:rsidR="004044CE" w:rsidRPr="004044CE" w:rsidRDefault="004044CE" w:rsidP="00D922B0">
      <w:pPr>
        <w:pStyle w:val="NoteLevel1"/>
        <w:rPr>
          <w:rFonts w:ascii="Times" w:hAnsi="Times"/>
          <w:u w:val="single"/>
        </w:rPr>
      </w:pPr>
      <w:r>
        <w:rPr>
          <w:rFonts w:ascii="Times" w:hAnsi="Times"/>
        </w:rPr>
        <w:t>- The main consideration is whether the law has an impact on the individual …</w:t>
      </w:r>
    </w:p>
    <w:p w14:paraId="416A7A0A" w14:textId="77777777" w:rsidR="004044CE" w:rsidRPr="004044CE" w:rsidRDefault="004044CE" w:rsidP="00D922B0">
      <w:pPr>
        <w:pStyle w:val="NoteLevel1"/>
        <w:rPr>
          <w:rFonts w:ascii="Times" w:hAnsi="Times"/>
          <w:u w:val="single"/>
        </w:rPr>
      </w:pPr>
      <w:r>
        <w:rPr>
          <w:rFonts w:ascii="Times" w:hAnsi="Times"/>
        </w:rPr>
        <w:t>- Para 17: What you’re looking for is:</w:t>
      </w:r>
    </w:p>
    <w:p w14:paraId="13B473C0" w14:textId="77EB869D" w:rsidR="004044CE" w:rsidRPr="004044CE" w:rsidRDefault="004044CE" w:rsidP="004044CE">
      <w:pPr>
        <w:pStyle w:val="NoteLevel2"/>
        <w:rPr>
          <w:rFonts w:ascii="Times" w:hAnsi="Times"/>
          <w:u w:val="single"/>
        </w:rPr>
      </w:pPr>
      <w:r>
        <w:rPr>
          <w:rFonts w:ascii="Times" w:hAnsi="Times"/>
        </w:rPr>
        <w:t xml:space="preserve">(1)  Does the law create a distinction based on an enumerated or analogous ground? </w:t>
      </w:r>
    </w:p>
    <w:p w14:paraId="65CE5B20" w14:textId="29A1B5B5" w:rsidR="004044CE" w:rsidRPr="004044CE" w:rsidRDefault="004044CE" w:rsidP="004044CE">
      <w:pPr>
        <w:pStyle w:val="NoteLevel2"/>
        <w:rPr>
          <w:rFonts w:ascii="Times" w:hAnsi="Times"/>
          <w:u w:val="single"/>
        </w:rPr>
      </w:pPr>
      <w:r>
        <w:rPr>
          <w:rFonts w:ascii="Times" w:hAnsi="Times"/>
        </w:rPr>
        <w:t xml:space="preserve">(2) Does the distinction created a disadvantage by perpetuating prejudice or stereotyping? </w:t>
      </w:r>
    </w:p>
    <w:p w14:paraId="21981D90" w14:textId="38813ADA" w:rsidR="004044CE" w:rsidRPr="00BA46DF" w:rsidRDefault="004044CE" w:rsidP="004044CE">
      <w:pPr>
        <w:pStyle w:val="NoteLevel1"/>
        <w:rPr>
          <w:rFonts w:ascii="Times" w:hAnsi="Times"/>
          <w:u w:val="single"/>
        </w:rPr>
      </w:pPr>
      <w:r>
        <w:rPr>
          <w:rFonts w:ascii="Times" w:hAnsi="Times"/>
        </w:rPr>
        <w:t xml:space="preserve">- In </w:t>
      </w:r>
      <w:r>
        <w:rPr>
          <w:rFonts w:ascii="Times" w:hAnsi="Times"/>
          <w:i/>
        </w:rPr>
        <w:t>Andrews</w:t>
      </w:r>
      <w:r>
        <w:rPr>
          <w:rFonts w:ascii="Times" w:hAnsi="Times"/>
        </w:rPr>
        <w:t xml:space="preserve">, McIntyre J. viewed discrimination… </w:t>
      </w:r>
    </w:p>
    <w:p w14:paraId="262F7B29" w14:textId="5FD4CE18" w:rsidR="00BA46DF" w:rsidRPr="00A908C5" w:rsidRDefault="00BA46DF" w:rsidP="004044CE">
      <w:pPr>
        <w:pStyle w:val="NoteLevel1"/>
        <w:rPr>
          <w:rFonts w:ascii="Times" w:hAnsi="Times"/>
          <w:u w:val="single"/>
        </w:rPr>
      </w:pPr>
      <w:r>
        <w:rPr>
          <w:rFonts w:ascii="Times" w:hAnsi="Times"/>
        </w:rPr>
        <w:t xml:space="preserve">- </w:t>
      </w:r>
      <w:r w:rsidR="002E7863">
        <w:rPr>
          <w:rFonts w:ascii="Times" w:hAnsi="Times"/>
        </w:rPr>
        <w:t xml:space="preserve">Para 21: Several difficulties have arisen from the attempt in </w:t>
      </w:r>
      <w:r w:rsidR="002E7863">
        <w:rPr>
          <w:rFonts w:ascii="Times" w:hAnsi="Times"/>
          <w:i/>
        </w:rPr>
        <w:t>Nancy Law</w:t>
      </w:r>
      <w:r w:rsidR="002E7863">
        <w:rPr>
          <w:rFonts w:ascii="Times" w:hAnsi="Times"/>
        </w:rPr>
        <w:t xml:space="preserve"> to employ human dignity as a legal test </w:t>
      </w:r>
    </w:p>
    <w:p w14:paraId="10BED685" w14:textId="5F81792D" w:rsidR="00A908C5" w:rsidRPr="00963566" w:rsidRDefault="00963566" w:rsidP="00963566">
      <w:pPr>
        <w:pStyle w:val="NoteLevel2"/>
        <w:rPr>
          <w:rFonts w:ascii="Times" w:hAnsi="Times"/>
          <w:u w:val="single"/>
        </w:rPr>
      </w:pPr>
      <w:r>
        <w:rPr>
          <w:rFonts w:ascii="Times" w:hAnsi="Times"/>
        </w:rPr>
        <w:t>It’s an abstract &amp; subjective notion that can become confusing…</w:t>
      </w:r>
    </w:p>
    <w:p w14:paraId="05128A91" w14:textId="36D15D64" w:rsidR="00963566" w:rsidRPr="00963566" w:rsidRDefault="00963566" w:rsidP="00963566">
      <w:pPr>
        <w:pStyle w:val="NoteLevel1"/>
        <w:rPr>
          <w:rFonts w:ascii="Times" w:hAnsi="Times"/>
          <w:u w:val="single"/>
        </w:rPr>
      </w:pPr>
      <w:r>
        <w:rPr>
          <w:rFonts w:ascii="Times" w:hAnsi="Times"/>
        </w:rPr>
        <w:t>- Court moves to the contextual factors:</w:t>
      </w:r>
    </w:p>
    <w:p w14:paraId="335AA0A3" w14:textId="56D8646E" w:rsidR="00963566" w:rsidRPr="00963566" w:rsidRDefault="00963566" w:rsidP="00963566">
      <w:pPr>
        <w:pStyle w:val="NoteLevel2"/>
        <w:rPr>
          <w:rFonts w:ascii="Times" w:hAnsi="Times"/>
          <w:u w:val="single"/>
        </w:rPr>
      </w:pPr>
      <w:r>
        <w:rPr>
          <w:rFonts w:ascii="Times" w:hAnsi="Times"/>
        </w:rPr>
        <w:t xml:space="preserve">The ameliorative purpose or effect of a law or program (the third factor in </w:t>
      </w:r>
      <w:r>
        <w:rPr>
          <w:rFonts w:ascii="Times" w:hAnsi="Times"/>
          <w:i/>
        </w:rPr>
        <w:t>Law</w:t>
      </w:r>
      <w:r>
        <w:rPr>
          <w:rFonts w:ascii="Times" w:hAnsi="Times"/>
        </w:rPr>
        <w:t xml:space="preserve">) goes to whether the purpose is remedial w/n the meaning of s.15(2) </w:t>
      </w:r>
    </w:p>
    <w:p w14:paraId="02E2EE30" w14:textId="5C574FB7" w:rsidR="00963566" w:rsidRPr="00963566" w:rsidRDefault="00963566" w:rsidP="00963566">
      <w:pPr>
        <w:pStyle w:val="NoteLevel2"/>
        <w:rPr>
          <w:rFonts w:ascii="Times" w:hAnsi="Times"/>
          <w:u w:val="single"/>
        </w:rPr>
      </w:pPr>
      <w:r>
        <w:rPr>
          <w:rFonts w:ascii="Times" w:hAnsi="Times"/>
        </w:rPr>
        <w:t>Drop the purpose and focus on the effect</w:t>
      </w:r>
    </w:p>
    <w:p w14:paraId="4691A442" w14:textId="02DDDD6B" w:rsidR="00963566" w:rsidRDefault="004733CB" w:rsidP="004733CB">
      <w:pPr>
        <w:pStyle w:val="NoteLevel1"/>
        <w:numPr>
          <w:ilvl w:val="0"/>
          <w:numId w:val="0"/>
        </w:numPr>
        <w:rPr>
          <w:rFonts w:ascii="Times" w:hAnsi="Times"/>
        </w:rPr>
      </w:pPr>
      <w:r>
        <w:rPr>
          <w:rFonts w:ascii="Times" w:hAnsi="Times"/>
        </w:rPr>
        <w:t xml:space="preserve">- </w:t>
      </w:r>
      <w:r w:rsidR="007C1B05">
        <w:rPr>
          <w:rFonts w:ascii="Times" w:hAnsi="Times"/>
        </w:rPr>
        <w:t>From 1999-2008 they used the same 4 factors, but in this case they acknowledge that they serve as a guide line but will not always be as ridged—in Withler they add a 5</w:t>
      </w:r>
      <w:r w:rsidR="007C1B05" w:rsidRPr="007C1B05">
        <w:rPr>
          <w:rFonts w:ascii="Times" w:hAnsi="Times"/>
          <w:vertAlign w:val="superscript"/>
        </w:rPr>
        <w:t>th</w:t>
      </w:r>
      <w:r w:rsidR="007C1B05">
        <w:rPr>
          <w:rFonts w:ascii="Times" w:hAnsi="Times"/>
        </w:rPr>
        <w:t xml:space="preserve"> or 6</w:t>
      </w:r>
      <w:r w:rsidR="007C1B05" w:rsidRPr="007C1B05">
        <w:rPr>
          <w:rFonts w:ascii="Times" w:hAnsi="Times"/>
          <w:vertAlign w:val="superscript"/>
        </w:rPr>
        <w:t>th</w:t>
      </w:r>
      <w:r w:rsidR="007C1B05">
        <w:rPr>
          <w:rFonts w:ascii="Times" w:hAnsi="Times"/>
        </w:rPr>
        <w:t xml:space="preserve"> </w:t>
      </w:r>
    </w:p>
    <w:p w14:paraId="2E2A62D9" w14:textId="281E7563" w:rsidR="004733CB" w:rsidRDefault="004733CB" w:rsidP="004733CB">
      <w:pPr>
        <w:pStyle w:val="NoteLevel1"/>
        <w:numPr>
          <w:ilvl w:val="0"/>
          <w:numId w:val="0"/>
        </w:numPr>
        <w:rPr>
          <w:rFonts w:ascii="Times" w:hAnsi="Times"/>
        </w:rPr>
      </w:pPr>
      <w:r>
        <w:rPr>
          <w:rFonts w:ascii="Times" w:hAnsi="Times"/>
        </w:rPr>
        <w:t xml:space="preserve">- What you get from </w:t>
      </w:r>
      <w:r w:rsidRPr="00501DEF">
        <w:rPr>
          <w:rFonts w:ascii="Times" w:hAnsi="Times"/>
          <w:i/>
        </w:rPr>
        <w:t>Kap</w:t>
      </w:r>
      <w:r>
        <w:rPr>
          <w:rFonts w:ascii="Times" w:hAnsi="Times"/>
        </w:rPr>
        <w:t>p:</w:t>
      </w:r>
    </w:p>
    <w:p w14:paraId="14840773" w14:textId="5953BF0C" w:rsidR="004733CB" w:rsidRDefault="004733CB" w:rsidP="004733CB">
      <w:pPr>
        <w:pStyle w:val="NoteLevel2"/>
        <w:rPr>
          <w:rFonts w:ascii="Times" w:hAnsi="Times"/>
        </w:rPr>
      </w:pPr>
      <w:r>
        <w:rPr>
          <w:rFonts w:ascii="Times" w:hAnsi="Times"/>
        </w:rPr>
        <w:t>They drop the human dignity</w:t>
      </w:r>
    </w:p>
    <w:p w14:paraId="64BA4772" w14:textId="1F29BCFF" w:rsidR="004733CB" w:rsidRDefault="004733CB" w:rsidP="004733CB">
      <w:pPr>
        <w:pStyle w:val="NoteLevel2"/>
        <w:rPr>
          <w:rFonts w:ascii="Times" w:hAnsi="Times"/>
        </w:rPr>
      </w:pPr>
      <w:r>
        <w:rPr>
          <w:rFonts w:ascii="Times" w:hAnsi="Times"/>
        </w:rPr>
        <w:t>They drop the purpose from ‘purpose and effect’ in the 3</w:t>
      </w:r>
      <w:r w:rsidRPr="004733CB">
        <w:rPr>
          <w:rFonts w:ascii="Times" w:hAnsi="Times"/>
          <w:vertAlign w:val="superscript"/>
        </w:rPr>
        <w:t>rd</w:t>
      </w:r>
      <w:r>
        <w:rPr>
          <w:rFonts w:ascii="Times" w:hAnsi="Times"/>
        </w:rPr>
        <w:t xml:space="preserve"> contextual factor</w:t>
      </w:r>
    </w:p>
    <w:p w14:paraId="37105D4A" w14:textId="0B468FF4" w:rsidR="00501DEF" w:rsidRDefault="00501DEF" w:rsidP="00A46BC4">
      <w:pPr>
        <w:pStyle w:val="NoteLevel2"/>
        <w:rPr>
          <w:rFonts w:ascii="Times" w:hAnsi="Times"/>
        </w:rPr>
      </w:pPr>
      <w:r>
        <w:rPr>
          <w:rFonts w:ascii="Times" w:hAnsi="Times"/>
        </w:rPr>
        <w:t>Para 22: talks about artificial comparator analysis…</w:t>
      </w:r>
    </w:p>
    <w:p w14:paraId="2D0D2CED" w14:textId="7A9C56BB" w:rsidR="00A46BC4" w:rsidRDefault="00A46BC4" w:rsidP="00A46BC4">
      <w:pPr>
        <w:pStyle w:val="NoteLevel2"/>
        <w:rPr>
          <w:rFonts w:ascii="Times" w:hAnsi="Times"/>
        </w:rPr>
      </w:pPr>
      <w:r>
        <w:rPr>
          <w:rFonts w:ascii="Times" w:hAnsi="Times"/>
        </w:rPr>
        <w:t>Informs you, but they don’t decide on these factors b/c it’s a 15(2) and not a 15(1) case</w:t>
      </w:r>
    </w:p>
    <w:p w14:paraId="2357CE91" w14:textId="77777777" w:rsidR="00A46BC4" w:rsidRDefault="00A46BC4" w:rsidP="00A46BC4">
      <w:pPr>
        <w:pStyle w:val="NoteLevel1"/>
        <w:rPr>
          <w:rFonts w:ascii="Times" w:hAnsi="Times"/>
        </w:rPr>
      </w:pPr>
    </w:p>
    <w:p w14:paraId="5AB83DC4" w14:textId="69266F87" w:rsidR="00A46BC4" w:rsidRPr="00A46BC4" w:rsidRDefault="00A46BC4" w:rsidP="00A46BC4">
      <w:pPr>
        <w:pStyle w:val="NoteLevel1"/>
        <w:rPr>
          <w:rFonts w:ascii="Times" w:hAnsi="Times"/>
        </w:rPr>
      </w:pPr>
      <w:r>
        <w:rPr>
          <w:rFonts w:ascii="Times" w:hAnsi="Times"/>
          <w:u w:val="single"/>
        </w:rPr>
        <w:t>Withler v. Canada (Attorney General) [2011] 1 S.C.R 396</w:t>
      </w:r>
    </w:p>
    <w:p w14:paraId="40127545" w14:textId="0DBFBEEF" w:rsidR="004733CB" w:rsidRDefault="00133FB7" w:rsidP="00133FB7">
      <w:pPr>
        <w:pStyle w:val="NoteLevel1"/>
        <w:numPr>
          <w:ilvl w:val="0"/>
          <w:numId w:val="0"/>
        </w:numPr>
        <w:rPr>
          <w:rFonts w:ascii="Times" w:hAnsi="Times"/>
        </w:rPr>
      </w:pPr>
      <w:r>
        <w:rPr>
          <w:rFonts w:ascii="Times" w:hAnsi="Times"/>
        </w:rPr>
        <w:t>- (We will be talking about this case again after the midterm)</w:t>
      </w:r>
    </w:p>
    <w:p w14:paraId="75DDEE7D" w14:textId="77777777" w:rsidR="008C634C" w:rsidRDefault="008C634C" w:rsidP="00133FB7">
      <w:pPr>
        <w:pStyle w:val="NoteLevel1"/>
        <w:numPr>
          <w:ilvl w:val="0"/>
          <w:numId w:val="0"/>
        </w:numPr>
        <w:rPr>
          <w:rFonts w:ascii="Times" w:hAnsi="Times"/>
          <w:i/>
        </w:rPr>
      </w:pPr>
      <w:r>
        <w:rPr>
          <w:rFonts w:ascii="Times" w:hAnsi="Times"/>
        </w:rPr>
        <w:t xml:space="preserve">- Another case in which the gov’t is in the business of drawing lines—similar to </w:t>
      </w:r>
      <w:r>
        <w:rPr>
          <w:rFonts w:ascii="Times" w:hAnsi="Times"/>
          <w:i/>
        </w:rPr>
        <w:t>Nancy Law</w:t>
      </w:r>
    </w:p>
    <w:p w14:paraId="79C646EA" w14:textId="5E1317FC" w:rsidR="00133FB7" w:rsidRDefault="00133FB7" w:rsidP="00133FB7">
      <w:pPr>
        <w:pStyle w:val="NoteLevel1"/>
        <w:numPr>
          <w:ilvl w:val="0"/>
          <w:numId w:val="0"/>
        </w:numPr>
        <w:rPr>
          <w:rFonts w:ascii="Times" w:hAnsi="Times"/>
        </w:rPr>
      </w:pPr>
      <w:r>
        <w:rPr>
          <w:rFonts w:ascii="Times" w:hAnsi="Times"/>
        </w:rPr>
        <w:t>- Social benefits program</w:t>
      </w:r>
      <w:r w:rsidR="00DE182D">
        <w:rPr>
          <w:rFonts w:ascii="Times" w:hAnsi="Times"/>
        </w:rPr>
        <w:t>—the younger the contributor, the more the survivor’s pension will be</w:t>
      </w:r>
      <w:r w:rsidR="00843B9D">
        <w:rPr>
          <w:rFonts w:ascii="Times" w:hAnsi="Times"/>
        </w:rPr>
        <w:t xml:space="preserve"> </w:t>
      </w:r>
    </w:p>
    <w:p w14:paraId="3DA08D93" w14:textId="53FD449A" w:rsidR="00DE182D" w:rsidRDefault="00DE182D" w:rsidP="00133FB7">
      <w:pPr>
        <w:pStyle w:val="NoteLevel1"/>
        <w:numPr>
          <w:ilvl w:val="0"/>
          <w:numId w:val="0"/>
        </w:numPr>
        <w:rPr>
          <w:rFonts w:ascii="Times" w:hAnsi="Times"/>
        </w:rPr>
      </w:pPr>
      <w:r>
        <w:rPr>
          <w:rFonts w:ascii="Times" w:hAnsi="Times"/>
        </w:rPr>
        <w:t xml:space="preserve">- </w:t>
      </w:r>
      <w:r w:rsidR="008C634C">
        <w:rPr>
          <w:rFonts w:ascii="Times" w:hAnsi="Times"/>
        </w:rPr>
        <w:t xml:space="preserve">We’re focusing on the main changes to the </w:t>
      </w:r>
      <w:r w:rsidR="008C634C">
        <w:rPr>
          <w:rFonts w:ascii="Times" w:hAnsi="Times"/>
          <w:i/>
        </w:rPr>
        <w:t>Nancy Law</w:t>
      </w:r>
      <w:r w:rsidR="008C634C">
        <w:rPr>
          <w:rFonts w:ascii="Times" w:hAnsi="Times"/>
        </w:rPr>
        <w:t xml:space="preserve"> Test, and therefore the </w:t>
      </w:r>
      <w:r w:rsidR="008C634C">
        <w:rPr>
          <w:rFonts w:ascii="Times" w:hAnsi="Times"/>
          <w:i/>
        </w:rPr>
        <w:t>Kapp</w:t>
      </w:r>
      <w:r w:rsidR="008C634C">
        <w:rPr>
          <w:rFonts w:ascii="Times" w:hAnsi="Times"/>
        </w:rPr>
        <w:t xml:space="preserve"> test</w:t>
      </w:r>
    </w:p>
    <w:p w14:paraId="02BB7A12" w14:textId="3FFFF2E4" w:rsidR="008C634C" w:rsidRDefault="008C634C" w:rsidP="00133FB7">
      <w:pPr>
        <w:pStyle w:val="NoteLevel1"/>
        <w:numPr>
          <w:ilvl w:val="0"/>
          <w:numId w:val="0"/>
        </w:numPr>
        <w:rPr>
          <w:rFonts w:ascii="Times" w:hAnsi="Times"/>
        </w:rPr>
      </w:pPr>
      <w:r>
        <w:rPr>
          <w:rFonts w:ascii="Times" w:hAnsi="Times"/>
        </w:rPr>
        <w:t xml:space="preserve">- Para 3: Question is whether, in regard to all the relevant factors, perpetrates disadvantage or stereotypes the claimant group </w:t>
      </w:r>
    </w:p>
    <w:p w14:paraId="5915ED78" w14:textId="11066674" w:rsidR="008C634C" w:rsidRDefault="008C634C" w:rsidP="008C634C">
      <w:pPr>
        <w:pStyle w:val="NoteLevel2"/>
        <w:rPr>
          <w:rFonts w:ascii="Times" w:hAnsi="Times"/>
        </w:rPr>
      </w:pPr>
      <w:r>
        <w:rPr>
          <w:rFonts w:ascii="Times" w:hAnsi="Times"/>
        </w:rPr>
        <w:t xml:space="preserve">That is officially now the line on discrimination—it’s not longer human dignity—it’s still differential treatment in comparison to another group that results in discrimination—it’s just no longer asking if it offends human dignity, but if you’re perpetuating disadvantage or a stereotype </w:t>
      </w:r>
    </w:p>
    <w:p w14:paraId="3CF7FF35" w14:textId="6C9FBEED" w:rsidR="008C634C" w:rsidRDefault="00AF07C9" w:rsidP="00AF07C9">
      <w:pPr>
        <w:pStyle w:val="NoteLevel1"/>
        <w:rPr>
          <w:rFonts w:ascii="Times" w:hAnsi="Times"/>
        </w:rPr>
      </w:pPr>
      <w:r>
        <w:rPr>
          <w:rFonts w:ascii="Times" w:hAnsi="Times"/>
        </w:rPr>
        <w:t xml:space="preserve">- Para 33: </w:t>
      </w:r>
      <w:r w:rsidR="0051195B">
        <w:rPr>
          <w:rFonts w:ascii="Times" w:hAnsi="Times"/>
        </w:rPr>
        <w:t>The first step in 15(1) analysis is whether or not there is differential treatment—a distinction based on enumerate or analogous ground</w:t>
      </w:r>
    </w:p>
    <w:p w14:paraId="78E34E76" w14:textId="21270D76" w:rsidR="0051195B" w:rsidRDefault="00C50B24" w:rsidP="0051195B">
      <w:pPr>
        <w:pStyle w:val="NoteLevel2"/>
        <w:rPr>
          <w:rFonts w:ascii="Times" w:hAnsi="Times"/>
        </w:rPr>
      </w:pPr>
      <w:r>
        <w:rPr>
          <w:rFonts w:ascii="Times" w:hAnsi="Times"/>
        </w:rPr>
        <w:t>(</w:t>
      </w:r>
      <w:r w:rsidRPr="00C50B24">
        <w:rPr>
          <w:rFonts w:ascii="Times" w:hAnsi="Times"/>
          <w:i/>
        </w:rPr>
        <w:t xml:space="preserve">Corbiere </w:t>
      </w:r>
      <w:r>
        <w:rPr>
          <w:rFonts w:ascii="Times" w:hAnsi="Times"/>
        </w:rPr>
        <w:t xml:space="preserve">case is the most up to date case on how to identity an analogous ground) </w:t>
      </w:r>
    </w:p>
    <w:p w14:paraId="54C6E1A6" w14:textId="04E7694E" w:rsidR="001F22E1" w:rsidRDefault="00F03B77" w:rsidP="00F03B77">
      <w:pPr>
        <w:pStyle w:val="NoteLevel1"/>
        <w:rPr>
          <w:rFonts w:ascii="Times" w:hAnsi="Times"/>
        </w:rPr>
      </w:pPr>
      <w:r>
        <w:rPr>
          <w:rFonts w:ascii="Times" w:hAnsi="Times"/>
        </w:rPr>
        <w:t>- Para 34: Distinction itself is not sufficient enough to find a violation of s.15</w:t>
      </w:r>
    </w:p>
    <w:p w14:paraId="6F4412F7" w14:textId="699935A6" w:rsidR="00F03B77" w:rsidRDefault="00F03B77" w:rsidP="00F03B77">
      <w:pPr>
        <w:pStyle w:val="NoteLevel2"/>
        <w:rPr>
          <w:rFonts w:ascii="Times" w:hAnsi="Times"/>
        </w:rPr>
      </w:pPr>
      <w:r>
        <w:rPr>
          <w:rFonts w:ascii="Times" w:hAnsi="Times"/>
        </w:rPr>
        <w:t xml:space="preserve">In the second step it must shown that the law has a discriminatory impact in terms of prejudicing or stereotyping in the sense expressed in </w:t>
      </w:r>
      <w:r>
        <w:rPr>
          <w:rFonts w:ascii="Times" w:hAnsi="Times"/>
          <w:i/>
        </w:rPr>
        <w:t>Andrews</w:t>
      </w:r>
    </w:p>
    <w:p w14:paraId="3D60078A" w14:textId="280E1479" w:rsidR="00F03B77" w:rsidRPr="00F03B77" w:rsidRDefault="00F03B77" w:rsidP="00F03B77">
      <w:pPr>
        <w:pStyle w:val="NoteLevel1"/>
        <w:rPr>
          <w:rFonts w:ascii="Times" w:hAnsi="Times"/>
        </w:rPr>
      </w:pPr>
      <w:r>
        <w:rPr>
          <w:rFonts w:ascii="Times" w:hAnsi="Times"/>
        </w:rPr>
        <w:t xml:space="preserve">- Para 35: The first way that substantive inequality or discrimination may be est. is by showing that the impugned law in purpose or effect perpetuates prejudice or disadvantage to members of a group on the basis of personal characteristic w/n s.15(1) </w:t>
      </w:r>
    </w:p>
    <w:p w14:paraId="25760AC4" w14:textId="14EA90DD" w:rsidR="00603C7C" w:rsidRDefault="006A4C9C" w:rsidP="006A4C9C">
      <w:pPr>
        <w:pStyle w:val="NoteLevel1"/>
        <w:numPr>
          <w:ilvl w:val="0"/>
          <w:numId w:val="0"/>
        </w:numPr>
        <w:rPr>
          <w:rFonts w:ascii="Times" w:hAnsi="Times"/>
        </w:rPr>
      </w:pPr>
      <w:r>
        <w:rPr>
          <w:rFonts w:ascii="Times" w:hAnsi="Times"/>
        </w:rPr>
        <w:t>- Para 36: Second way is to show that the disadvantage imposed by the law is based on a stereotype that doesn’t correspond to the actual circumstances  and characteristics of the claimant or claimant group</w:t>
      </w:r>
    </w:p>
    <w:p w14:paraId="4366E9B8" w14:textId="2C1AFEA6" w:rsidR="006A4C9C" w:rsidRDefault="006A4C9C" w:rsidP="006A4C9C">
      <w:pPr>
        <w:pStyle w:val="NoteLevel1"/>
        <w:numPr>
          <w:ilvl w:val="0"/>
          <w:numId w:val="0"/>
        </w:numPr>
        <w:rPr>
          <w:rFonts w:ascii="Times" w:hAnsi="Times"/>
        </w:rPr>
      </w:pPr>
      <w:r>
        <w:rPr>
          <w:rFonts w:ascii="Times" w:hAnsi="Times"/>
        </w:rPr>
        <w:t xml:space="preserve">- Need to start w/ differential treatment based on enumerated or analogous ground </w:t>
      </w:r>
    </w:p>
    <w:p w14:paraId="6A5DD0AA" w14:textId="2C2BAD88" w:rsidR="006A4C9C" w:rsidRDefault="006A4C9C" w:rsidP="006A4C9C">
      <w:pPr>
        <w:pStyle w:val="NoteLevel1"/>
        <w:numPr>
          <w:ilvl w:val="0"/>
          <w:numId w:val="0"/>
        </w:numPr>
        <w:rPr>
          <w:rFonts w:ascii="Times" w:hAnsi="Times"/>
        </w:rPr>
      </w:pPr>
      <w:r>
        <w:rPr>
          <w:rFonts w:ascii="Times" w:hAnsi="Times"/>
        </w:rPr>
        <w:t xml:space="preserve">- Para 41: Citing McIntyre in </w:t>
      </w:r>
      <w:r>
        <w:rPr>
          <w:rFonts w:ascii="Times" w:hAnsi="Times"/>
          <w:i/>
        </w:rPr>
        <w:t>Andrews</w:t>
      </w:r>
      <w:r>
        <w:rPr>
          <w:rFonts w:ascii="Times" w:hAnsi="Times"/>
        </w:rPr>
        <w:t xml:space="preserve"> that “equality is a comparative concept, the condition of which may “only be attained or discerned by comparison w/ the condition of others in the social and political setting in which the question arises” </w:t>
      </w:r>
    </w:p>
    <w:p w14:paraId="22AD0ACE" w14:textId="7C9BE4E5" w:rsidR="006A4C9C" w:rsidRDefault="00FC31F2" w:rsidP="00FC31F2">
      <w:pPr>
        <w:pStyle w:val="NoteLevel2"/>
        <w:rPr>
          <w:rFonts w:ascii="Times" w:hAnsi="Times"/>
        </w:rPr>
      </w:pPr>
      <w:r>
        <w:rPr>
          <w:rFonts w:ascii="Times" w:hAnsi="Times"/>
        </w:rPr>
        <w:t xml:space="preserve">Para 42: </w:t>
      </w:r>
    </w:p>
    <w:p w14:paraId="22FA96E8" w14:textId="082F3778" w:rsidR="00FC31F2" w:rsidRDefault="00FC31F2" w:rsidP="00FC31F2">
      <w:pPr>
        <w:pStyle w:val="NoteLevel1"/>
        <w:rPr>
          <w:rFonts w:ascii="Times" w:hAnsi="Times"/>
        </w:rPr>
      </w:pPr>
    </w:p>
    <w:p w14:paraId="166FB3D0" w14:textId="37D8C35D" w:rsidR="00471A7E" w:rsidRPr="003E2D0E" w:rsidRDefault="00471A7E" w:rsidP="00FC31F2">
      <w:pPr>
        <w:pStyle w:val="NoteLevel1"/>
        <w:rPr>
          <w:rFonts w:ascii="Times" w:hAnsi="Times"/>
          <w:b/>
        </w:rPr>
      </w:pPr>
      <w:r w:rsidRPr="003E2D0E">
        <w:rPr>
          <w:rFonts w:ascii="Times" w:hAnsi="Times"/>
          <w:b/>
        </w:rPr>
        <w:t>MIDTERM REVIEW:</w:t>
      </w:r>
    </w:p>
    <w:p w14:paraId="34D05850" w14:textId="08327D9E" w:rsidR="00471A7E" w:rsidRDefault="00471A7E" w:rsidP="00FC31F2">
      <w:pPr>
        <w:pStyle w:val="NoteLevel1"/>
        <w:rPr>
          <w:rFonts w:ascii="Times" w:hAnsi="Times"/>
        </w:rPr>
      </w:pPr>
      <w:r>
        <w:rPr>
          <w:rFonts w:ascii="Times" w:hAnsi="Times"/>
        </w:rPr>
        <w:t xml:space="preserve">- 4-5 questions, each tells you how much it’s worth </w:t>
      </w:r>
      <w:r w:rsidR="005B3117">
        <w:rPr>
          <w:rFonts w:ascii="Times" w:hAnsi="Times"/>
        </w:rPr>
        <w:t>(40 marks)</w:t>
      </w:r>
    </w:p>
    <w:p w14:paraId="1BC88242" w14:textId="004271C2" w:rsidR="00471A7E" w:rsidRDefault="00903472" w:rsidP="00FC31F2">
      <w:pPr>
        <w:pStyle w:val="NoteLevel1"/>
        <w:rPr>
          <w:rFonts w:ascii="Times" w:hAnsi="Times"/>
        </w:rPr>
      </w:pPr>
      <w:r>
        <w:rPr>
          <w:rFonts w:ascii="Times" w:hAnsi="Times"/>
        </w:rPr>
        <w:t>- Use max 10 minutes for questions similar to the one our take-home quiz was on</w:t>
      </w:r>
    </w:p>
    <w:p w14:paraId="1EF03588" w14:textId="3E98F049" w:rsidR="00903472" w:rsidRDefault="00903472" w:rsidP="00FC31F2">
      <w:pPr>
        <w:pStyle w:val="NoteLevel1"/>
        <w:rPr>
          <w:rFonts w:ascii="Times" w:hAnsi="Times"/>
        </w:rPr>
      </w:pPr>
      <w:r>
        <w:rPr>
          <w:rFonts w:ascii="Times" w:hAnsi="Times"/>
        </w:rPr>
        <w:t xml:space="preserve">- Differentiate btwn what you need to know off the top of your head, and what you can take time to find in your notes—access to the details in a fast way—organize your notes that you know how to access this information </w:t>
      </w:r>
    </w:p>
    <w:p w14:paraId="43480FF5" w14:textId="6CD25A5C" w:rsidR="00903472" w:rsidRDefault="006530D0" w:rsidP="00FC31F2">
      <w:pPr>
        <w:pStyle w:val="NoteLevel1"/>
        <w:rPr>
          <w:rFonts w:ascii="Times" w:hAnsi="Times"/>
        </w:rPr>
      </w:pPr>
      <w:r>
        <w:rPr>
          <w:rFonts w:ascii="Times" w:hAnsi="Times"/>
        </w:rPr>
        <w:t xml:space="preserve">- </w:t>
      </w:r>
      <w:r w:rsidR="00E62E4D">
        <w:rPr>
          <w:rFonts w:ascii="Times" w:hAnsi="Times"/>
        </w:rPr>
        <w:t xml:space="preserve">Don’t approach an open book exam to learn the materials for the first time—you approach it in a way to fine tune your answers </w:t>
      </w:r>
    </w:p>
    <w:p w14:paraId="4D212E1F" w14:textId="74C9D9D4" w:rsidR="00ED1ECD" w:rsidRDefault="00F95742" w:rsidP="00FC31F2">
      <w:pPr>
        <w:pStyle w:val="NoteLevel1"/>
        <w:rPr>
          <w:rFonts w:ascii="Times" w:hAnsi="Times"/>
        </w:rPr>
      </w:pPr>
      <w:r>
        <w:rPr>
          <w:rFonts w:ascii="Times" w:hAnsi="Times"/>
        </w:rPr>
        <w:t xml:space="preserve">- </w:t>
      </w:r>
      <w:r w:rsidRPr="00723466">
        <w:rPr>
          <w:rFonts w:ascii="Times" w:hAnsi="Times"/>
          <w:u w:val="single"/>
        </w:rPr>
        <w:t>Answer only what the question asks</w:t>
      </w:r>
      <w:r>
        <w:rPr>
          <w:rFonts w:ascii="Times" w:hAnsi="Times"/>
        </w:rPr>
        <w:t xml:space="preserve"> </w:t>
      </w:r>
      <w:r w:rsidR="008F67AF">
        <w:rPr>
          <w:rFonts w:ascii="Times" w:hAnsi="Times"/>
        </w:rPr>
        <w:t xml:space="preserve">(if he didn’t ask for the facts in </w:t>
      </w:r>
      <w:r w:rsidR="008F67AF">
        <w:rPr>
          <w:rFonts w:ascii="Times" w:hAnsi="Times"/>
          <w:i/>
        </w:rPr>
        <w:t>Vriend</w:t>
      </w:r>
      <w:r w:rsidR="008F67AF">
        <w:rPr>
          <w:rFonts w:ascii="Times" w:hAnsi="Times"/>
        </w:rPr>
        <w:t xml:space="preserve">, he knows them and that’s not what he asks) </w:t>
      </w:r>
    </w:p>
    <w:p w14:paraId="3A7AB706" w14:textId="36485A43" w:rsidR="00F95742" w:rsidRDefault="00C44042" w:rsidP="00FC31F2">
      <w:pPr>
        <w:pStyle w:val="NoteLevel1"/>
        <w:rPr>
          <w:rFonts w:ascii="Times" w:hAnsi="Times"/>
        </w:rPr>
      </w:pPr>
      <w:r>
        <w:rPr>
          <w:rFonts w:ascii="Times" w:hAnsi="Times"/>
        </w:rPr>
        <w:t>- If you come mentally prepared that it’s a closed-book exam, you’ll be fine</w:t>
      </w:r>
    </w:p>
    <w:p w14:paraId="17D8FD72" w14:textId="77777777" w:rsidR="003E2D0E" w:rsidRDefault="003E2D0E" w:rsidP="00FC31F2">
      <w:pPr>
        <w:pStyle w:val="NoteLevel1"/>
        <w:rPr>
          <w:rFonts w:ascii="Times" w:hAnsi="Times"/>
        </w:rPr>
      </w:pPr>
    </w:p>
    <w:p w14:paraId="53CE8EC7" w14:textId="58BB4AED" w:rsidR="00C44042" w:rsidRPr="00FB4EAA" w:rsidRDefault="007C548D" w:rsidP="00FC31F2">
      <w:pPr>
        <w:pStyle w:val="NoteLevel1"/>
        <w:rPr>
          <w:rFonts w:ascii="Times" w:hAnsi="Times"/>
          <w:u w:val="single"/>
        </w:rPr>
      </w:pPr>
      <w:r w:rsidRPr="00FB4EAA">
        <w:rPr>
          <w:rFonts w:ascii="Times" w:hAnsi="Times"/>
          <w:u w:val="single"/>
        </w:rPr>
        <w:t>- Type of questions traditionally asked on MIDTERM:</w:t>
      </w:r>
    </w:p>
    <w:p w14:paraId="456E95DE" w14:textId="1D0A4A81" w:rsidR="007C548D" w:rsidRDefault="003652A9" w:rsidP="007C548D">
      <w:pPr>
        <w:pStyle w:val="NoteLevel2"/>
        <w:rPr>
          <w:rFonts w:ascii="Times" w:hAnsi="Times"/>
        </w:rPr>
      </w:pPr>
      <w:r>
        <w:rPr>
          <w:rFonts w:ascii="Times" w:hAnsi="Times"/>
        </w:rPr>
        <w:t xml:space="preserve">Summarize a case –what are the facts, what was the Q. the SCC had to answers, what did the majority answer </w:t>
      </w:r>
      <w:r w:rsidR="00237BB9">
        <w:rPr>
          <w:rFonts w:ascii="Times" w:hAnsi="Times"/>
        </w:rPr>
        <w:t>(if you know the case in advance, you won’t have any problems)</w:t>
      </w:r>
    </w:p>
    <w:p w14:paraId="1B099A5F" w14:textId="77777777" w:rsidR="000A5BF9" w:rsidRDefault="00237BB9" w:rsidP="000A5BF9">
      <w:pPr>
        <w:pStyle w:val="NoteLevel2"/>
        <w:rPr>
          <w:rFonts w:ascii="Times" w:hAnsi="Times"/>
        </w:rPr>
      </w:pPr>
      <w:r>
        <w:rPr>
          <w:rFonts w:ascii="Times" w:hAnsi="Times"/>
        </w:rPr>
        <w:t xml:space="preserve">There will always be “mention” (think of the take home—how he said </w:t>
      </w:r>
      <w:r>
        <w:rPr>
          <w:rFonts w:ascii="Times" w:hAnsi="Times"/>
          <w:i/>
        </w:rPr>
        <w:t>mention</w:t>
      </w:r>
      <w:r>
        <w:rPr>
          <w:rFonts w:ascii="Times" w:hAnsi="Times"/>
        </w:rPr>
        <w:t xml:space="preserve"> the Oakes Test)</w:t>
      </w:r>
    </w:p>
    <w:p w14:paraId="4F578A3E" w14:textId="2B669070" w:rsidR="00237BB9" w:rsidRPr="000A5BF9" w:rsidRDefault="000A5BF9" w:rsidP="000A5BF9">
      <w:pPr>
        <w:pStyle w:val="NoteLevel2"/>
        <w:rPr>
          <w:rFonts w:ascii="Times" w:hAnsi="Times"/>
        </w:rPr>
      </w:pPr>
      <w:r w:rsidRPr="000A5BF9">
        <w:rPr>
          <w:rFonts w:ascii="Times" w:hAnsi="Times"/>
        </w:rPr>
        <w:t>We didn’t do much about notwithsta</w:t>
      </w:r>
      <w:r>
        <w:rPr>
          <w:rFonts w:ascii="Times" w:hAnsi="Times"/>
        </w:rPr>
        <w:t>nding clause &amp; application of the charter</w:t>
      </w:r>
    </w:p>
    <w:p w14:paraId="1F1B8EB8" w14:textId="70ED5416" w:rsidR="000A5BF9" w:rsidRDefault="000A5BF9" w:rsidP="000A5BF9">
      <w:pPr>
        <w:pStyle w:val="NoteLevel2"/>
        <w:rPr>
          <w:rFonts w:ascii="Times" w:hAnsi="Times"/>
        </w:rPr>
      </w:pPr>
      <w:r>
        <w:rPr>
          <w:rFonts w:ascii="Times" w:hAnsi="Times"/>
        </w:rPr>
        <w:t>s.1 &amp; s. 52 &amp; s. 15(1)</w:t>
      </w:r>
    </w:p>
    <w:p w14:paraId="029B1709" w14:textId="2A928A82" w:rsidR="000A5BF9" w:rsidRDefault="000A5BF9" w:rsidP="000A5BF9">
      <w:pPr>
        <w:pStyle w:val="NoteLevel2"/>
        <w:rPr>
          <w:rFonts w:ascii="Times" w:hAnsi="Times"/>
        </w:rPr>
      </w:pPr>
      <w:r>
        <w:rPr>
          <w:rFonts w:ascii="Times" w:hAnsi="Times"/>
        </w:rPr>
        <w:t xml:space="preserve">Can imagine that he’ll ask about </w:t>
      </w:r>
      <w:r>
        <w:rPr>
          <w:rFonts w:ascii="Times" w:hAnsi="Times"/>
          <w:i/>
        </w:rPr>
        <w:t>Oakes</w:t>
      </w:r>
    </w:p>
    <w:p w14:paraId="52D87305" w14:textId="5EA1B6F4" w:rsidR="000A5BF9" w:rsidRDefault="000A5BF9" w:rsidP="000A5BF9">
      <w:pPr>
        <w:pStyle w:val="NoteLevel2"/>
        <w:rPr>
          <w:rFonts w:ascii="Times" w:hAnsi="Times"/>
        </w:rPr>
      </w:pPr>
      <w:r>
        <w:rPr>
          <w:rFonts w:ascii="Times" w:hAnsi="Times"/>
        </w:rPr>
        <w:t xml:space="preserve">In Andrews we saw 2 applications of </w:t>
      </w:r>
      <w:r w:rsidRPr="000A5BF9">
        <w:rPr>
          <w:rFonts w:ascii="Times" w:hAnsi="Times"/>
          <w:i/>
        </w:rPr>
        <w:t>Oakes</w:t>
      </w:r>
      <w:r>
        <w:rPr>
          <w:rFonts w:ascii="Times" w:hAnsi="Times"/>
        </w:rPr>
        <w:t xml:space="preserve">—majority said it was not justifiable; minority (McIntyre) said it was justifiable </w:t>
      </w:r>
    </w:p>
    <w:p w14:paraId="7CF49366" w14:textId="125AE620" w:rsidR="000A5BF9" w:rsidRDefault="003E2D0E" w:rsidP="000A5BF9">
      <w:pPr>
        <w:pStyle w:val="NoteLevel2"/>
        <w:rPr>
          <w:rFonts w:ascii="Times" w:hAnsi="Times"/>
        </w:rPr>
      </w:pPr>
      <w:r>
        <w:rPr>
          <w:rFonts w:ascii="Times" w:hAnsi="Times"/>
        </w:rPr>
        <w:t xml:space="preserve">In terms of s.1, how it was applied in </w:t>
      </w:r>
      <w:r>
        <w:rPr>
          <w:rFonts w:ascii="Times" w:hAnsi="Times"/>
          <w:i/>
        </w:rPr>
        <w:t>Vriend</w:t>
      </w:r>
    </w:p>
    <w:p w14:paraId="443B1FE8" w14:textId="53FC79C9" w:rsidR="003E2D0E" w:rsidRPr="003E2D0E" w:rsidRDefault="003E2D0E" w:rsidP="000A5BF9">
      <w:pPr>
        <w:pStyle w:val="NoteLevel2"/>
        <w:rPr>
          <w:rFonts w:ascii="Times" w:hAnsi="Times"/>
        </w:rPr>
      </w:pPr>
      <w:r>
        <w:rPr>
          <w:rFonts w:ascii="Times" w:hAnsi="Times"/>
        </w:rPr>
        <w:t xml:space="preserve">Another big chunk of </w:t>
      </w:r>
      <w:r w:rsidRPr="003E2D0E">
        <w:rPr>
          <w:rFonts w:ascii="Times" w:hAnsi="Times"/>
          <w:i/>
          <w:iCs/>
        </w:rPr>
        <w:t>Vriend</w:t>
      </w:r>
      <w:r>
        <w:rPr>
          <w:rFonts w:ascii="Times" w:hAnsi="Times"/>
          <w:b/>
          <w:i/>
          <w:iCs/>
        </w:rPr>
        <w:t xml:space="preserve"> </w:t>
      </w:r>
      <w:r>
        <w:rPr>
          <w:rFonts w:ascii="Times" w:hAnsi="Times"/>
          <w:iCs/>
        </w:rPr>
        <w:t xml:space="preserve"> was the remedy in s.52—guiding principles </w:t>
      </w:r>
    </w:p>
    <w:p w14:paraId="7A7FC7B1" w14:textId="48545FB3" w:rsidR="003E2D0E" w:rsidRPr="003E2D0E" w:rsidRDefault="003E2D0E" w:rsidP="000A5BF9">
      <w:pPr>
        <w:pStyle w:val="NoteLevel2"/>
        <w:rPr>
          <w:rFonts w:ascii="Times" w:hAnsi="Times"/>
        </w:rPr>
      </w:pPr>
      <w:r>
        <w:rPr>
          <w:rFonts w:ascii="Times" w:hAnsi="Times"/>
          <w:iCs/>
        </w:rPr>
        <w:t>McIntyre opinion</w:t>
      </w:r>
      <w:r w:rsidRPr="003E2D0E">
        <w:rPr>
          <w:rFonts w:ascii="Times" w:hAnsi="Times"/>
          <w:iCs/>
        </w:rPr>
        <w:sym w:font="Wingdings" w:char="F0E0"/>
      </w:r>
      <w:r>
        <w:rPr>
          <w:rFonts w:ascii="Times" w:hAnsi="Times"/>
          <w:iCs/>
        </w:rPr>
        <w:t xml:space="preserve">  </w:t>
      </w:r>
      <w:r w:rsidRPr="003E2D0E">
        <w:rPr>
          <w:rFonts w:ascii="Times" w:hAnsi="Times"/>
          <w:i/>
          <w:iCs/>
        </w:rPr>
        <w:t>Nancy Law</w:t>
      </w:r>
      <w:r>
        <w:rPr>
          <w:rFonts w:ascii="Times" w:hAnsi="Times"/>
          <w:iCs/>
        </w:rPr>
        <w:t xml:space="preserve">, </w:t>
      </w:r>
      <w:r w:rsidRPr="003E2D0E">
        <w:rPr>
          <w:rFonts w:ascii="Times" w:hAnsi="Times"/>
          <w:i/>
          <w:iCs/>
        </w:rPr>
        <w:t xml:space="preserve">Kapp </w:t>
      </w:r>
    </w:p>
    <w:p w14:paraId="67E8340F" w14:textId="3B9F6E2D" w:rsidR="003E2D0E" w:rsidRPr="00C60E14" w:rsidRDefault="00C60E14" w:rsidP="000A5BF9">
      <w:pPr>
        <w:pStyle w:val="NoteLevel2"/>
        <w:rPr>
          <w:rFonts w:ascii="Times" w:hAnsi="Times"/>
        </w:rPr>
      </w:pPr>
      <w:r>
        <w:rPr>
          <w:rFonts w:ascii="Times" w:hAnsi="Times"/>
          <w:iCs/>
        </w:rPr>
        <w:t>What can he ask about Andrews that is on</w:t>
      </w:r>
      <w:r w:rsidR="00296F31">
        <w:rPr>
          <w:rFonts w:ascii="Times" w:hAnsi="Times"/>
          <w:iCs/>
        </w:rPr>
        <w:t xml:space="preserve"> s.</w:t>
      </w:r>
      <w:r>
        <w:rPr>
          <w:rFonts w:ascii="Times" w:hAnsi="Times"/>
          <w:iCs/>
        </w:rPr>
        <w:t>15</w:t>
      </w:r>
    </w:p>
    <w:p w14:paraId="4FBA074B" w14:textId="38C63BC6" w:rsidR="00C60E14" w:rsidRPr="00155510" w:rsidRDefault="00C60E14" w:rsidP="000A5BF9">
      <w:pPr>
        <w:pStyle w:val="NoteLevel2"/>
        <w:rPr>
          <w:rFonts w:ascii="Times" w:hAnsi="Times"/>
        </w:rPr>
      </w:pPr>
      <w:r>
        <w:rPr>
          <w:rFonts w:ascii="Times" w:hAnsi="Times"/>
          <w:iCs/>
        </w:rPr>
        <w:t xml:space="preserve">What can he ask about </w:t>
      </w:r>
      <w:r>
        <w:rPr>
          <w:rFonts w:ascii="Times" w:hAnsi="Times"/>
          <w:i/>
          <w:iCs/>
        </w:rPr>
        <w:t>Nancy Law</w:t>
      </w:r>
      <w:r w:rsidR="00FB4EAA">
        <w:rPr>
          <w:rFonts w:ascii="Times" w:hAnsi="Times"/>
          <w:iCs/>
        </w:rPr>
        <w:t xml:space="preserve"> (framework for s.15 analysis)—para 88 is loaded with information about how the discrimination framework is: differential treatment, analogous/enumerated—four contextual factors—subjective test—claimant </w:t>
      </w:r>
      <w:r w:rsidR="002F2E64">
        <w:rPr>
          <w:rFonts w:ascii="Times" w:hAnsi="Times"/>
          <w:iCs/>
        </w:rPr>
        <w:t xml:space="preserve">must meet the onus—differential treatment in purpose &amp; effect </w:t>
      </w:r>
    </w:p>
    <w:p w14:paraId="148668F7" w14:textId="2336D023" w:rsidR="00155510" w:rsidRDefault="001D3A49" w:rsidP="000A5BF9">
      <w:pPr>
        <w:pStyle w:val="NoteLevel2"/>
        <w:rPr>
          <w:rFonts w:ascii="Times" w:hAnsi="Times"/>
        </w:rPr>
      </w:pPr>
      <w:r w:rsidRPr="00941B30">
        <w:rPr>
          <w:rFonts w:ascii="Times" w:hAnsi="Times"/>
          <w:i/>
        </w:rPr>
        <w:t>Eldridge</w:t>
      </w:r>
      <w:r>
        <w:rPr>
          <w:rFonts w:ascii="Times" w:hAnsi="Times"/>
        </w:rPr>
        <w:t xml:space="preserve">—differential treatment in effect </w:t>
      </w:r>
    </w:p>
    <w:p w14:paraId="6E1F77C7" w14:textId="20FE4A5E" w:rsidR="004D5176" w:rsidRDefault="00941B30" w:rsidP="00F25A77">
      <w:pPr>
        <w:pStyle w:val="NoteLevel2"/>
        <w:rPr>
          <w:rFonts w:ascii="Times" w:hAnsi="Times"/>
        </w:rPr>
      </w:pPr>
      <w:r>
        <w:rPr>
          <w:rFonts w:ascii="Times" w:hAnsi="Times"/>
        </w:rPr>
        <w:t xml:space="preserve">Third contextual factor from </w:t>
      </w:r>
      <w:r w:rsidRPr="00941B30">
        <w:rPr>
          <w:rFonts w:ascii="Times" w:hAnsi="Times"/>
          <w:i/>
        </w:rPr>
        <w:t>Nancy Law</w:t>
      </w:r>
      <w:r>
        <w:rPr>
          <w:rFonts w:ascii="Times" w:hAnsi="Times"/>
        </w:rPr>
        <w:t xml:space="preserve"> was torn down in </w:t>
      </w:r>
      <w:r w:rsidRPr="00941B30">
        <w:rPr>
          <w:rFonts w:ascii="Times" w:hAnsi="Times"/>
          <w:i/>
        </w:rPr>
        <w:t>Kapp</w:t>
      </w:r>
      <w:r>
        <w:rPr>
          <w:rFonts w:ascii="Times" w:hAnsi="Times"/>
        </w:rPr>
        <w:t xml:space="preserve">—the comparison was torn down in </w:t>
      </w:r>
      <w:r w:rsidRPr="00941B30">
        <w:rPr>
          <w:rFonts w:ascii="Times" w:hAnsi="Times"/>
          <w:i/>
        </w:rPr>
        <w:t>Kapp</w:t>
      </w:r>
      <w:r>
        <w:rPr>
          <w:rFonts w:ascii="Times" w:hAnsi="Times"/>
        </w:rPr>
        <w:t xml:space="preserve"> </w:t>
      </w:r>
    </w:p>
    <w:p w14:paraId="4AF6C8A8" w14:textId="357B9593" w:rsidR="00F25A77" w:rsidRDefault="00F25A77" w:rsidP="00F25A77">
      <w:pPr>
        <w:pStyle w:val="NoteLevel2"/>
        <w:rPr>
          <w:rFonts w:ascii="Times" w:hAnsi="Times"/>
        </w:rPr>
      </w:pPr>
      <w:r>
        <w:rPr>
          <w:rFonts w:ascii="Times" w:hAnsi="Times"/>
        </w:rPr>
        <w:t>Walk through differential treatment or comparison</w:t>
      </w:r>
    </w:p>
    <w:p w14:paraId="3699A304" w14:textId="70210C09" w:rsidR="004677E7" w:rsidRDefault="004677E7" w:rsidP="00F25A77">
      <w:pPr>
        <w:pStyle w:val="NoteLevel2"/>
        <w:rPr>
          <w:rFonts w:ascii="Times" w:hAnsi="Times"/>
        </w:rPr>
      </w:pPr>
      <w:r>
        <w:rPr>
          <w:rFonts w:ascii="Times" w:hAnsi="Times"/>
        </w:rPr>
        <w:t xml:space="preserve">May find fact-scenarios to deal with, but they won’t be overwhelming </w:t>
      </w:r>
    </w:p>
    <w:p w14:paraId="0B14BBF6" w14:textId="77777777" w:rsidR="00F25A77" w:rsidRPr="00F25A77" w:rsidRDefault="00F25A77" w:rsidP="00F223CB">
      <w:pPr>
        <w:pStyle w:val="NoteLevel1"/>
        <w:rPr>
          <w:rFonts w:ascii="Times" w:hAnsi="Times"/>
        </w:rPr>
      </w:pPr>
    </w:p>
    <w:p w14:paraId="48430A20" w14:textId="77777777" w:rsidR="004D5176" w:rsidRDefault="004D5176" w:rsidP="004D5176">
      <w:pPr>
        <w:pStyle w:val="NoteLevel2"/>
        <w:numPr>
          <w:ilvl w:val="0"/>
          <w:numId w:val="0"/>
        </w:numPr>
        <w:ind w:left="1080"/>
        <w:rPr>
          <w:rFonts w:ascii="Times" w:hAnsi="Times"/>
        </w:rPr>
      </w:pPr>
    </w:p>
    <w:p w14:paraId="4EE838C7" w14:textId="77777777" w:rsidR="004D5176" w:rsidRDefault="004D5176" w:rsidP="004D5176">
      <w:pPr>
        <w:pStyle w:val="NoteLevel2"/>
        <w:numPr>
          <w:ilvl w:val="0"/>
          <w:numId w:val="0"/>
        </w:numPr>
        <w:ind w:left="1080"/>
        <w:rPr>
          <w:rFonts w:ascii="Times" w:hAnsi="Times"/>
        </w:rPr>
      </w:pPr>
    </w:p>
    <w:p w14:paraId="1F6CF55E" w14:textId="77777777" w:rsidR="000F1ACD" w:rsidRDefault="000F1ACD" w:rsidP="004D5176">
      <w:pPr>
        <w:pStyle w:val="NoteLevel2"/>
        <w:numPr>
          <w:ilvl w:val="0"/>
          <w:numId w:val="0"/>
        </w:numPr>
        <w:ind w:left="1080"/>
        <w:rPr>
          <w:rFonts w:ascii="Times" w:hAnsi="Times"/>
        </w:rPr>
        <w:sectPr w:rsidR="000F1ACD" w:rsidSect="00D922B0">
          <w:headerReference w:type="first" r:id="rId12"/>
          <w:pgSz w:w="12240" w:h="15840"/>
          <w:pgMar w:top="1440" w:right="1440" w:bottom="1440" w:left="1440" w:header="708" w:footer="708" w:gutter="0"/>
          <w:cols w:space="708"/>
          <w:titlePg/>
          <w:docGrid w:type="lines" w:linePitch="360"/>
        </w:sectPr>
      </w:pPr>
    </w:p>
    <w:p w14:paraId="0E6894AB" w14:textId="1CC47799" w:rsidR="0050444E" w:rsidRPr="0050444E" w:rsidRDefault="0050444E" w:rsidP="000F1ACD">
      <w:pPr>
        <w:pStyle w:val="NoteLevel1"/>
        <w:rPr>
          <w:rFonts w:ascii="Times" w:hAnsi="Times"/>
          <w:b/>
        </w:rPr>
      </w:pPr>
      <w:r w:rsidRPr="0050444E">
        <w:rPr>
          <w:rFonts w:ascii="Times" w:hAnsi="Times"/>
          <w:b/>
          <w:bCs/>
        </w:rPr>
        <w:t>Back from Reading Week</w:t>
      </w:r>
      <w:r w:rsidRPr="0050444E">
        <w:rPr>
          <w:rFonts w:ascii="Times" w:hAnsi="Times"/>
          <w:b/>
        </w:rPr>
        <w:t>!</w:t>
      </w:r>
      <w:r>
        <w:rPr>
          <w:rFonts w:ascii="Times" w:hAnsi="Times"/>
          <w:b/>
        </w:rPr>
        <w:t xml:space="preserve"> </w:t>
      </w:r>
    </w:p>
    <w:p w14:paraId="3DD70B40" w14:textId="5D1C2BAD" w:rsidR="004D5176" w:rsidRDefault="000F1ACD" w:rsidP="000F1ACD">
      <w:pPr>
        <w:pStyle w:val="NoteLevel1"/>
        <w:rPr>
          <w:rFonts w:ascii="Times" w:hAnsi="Times"/>
        </w:rPr>
      </w:pPr>
      <w:r>
        <w:rPr>
          <w:rFonts w:ascii="Times" w:hAnsi="Times"/>
        </w:rPr>
        <w:t>Breaking Down Midterm Exam:</w:t>
      </w:r>
    </w:p>
    <w:p w14:paraId="32E72E7C" w14:textId="7C0D48FC" w:rsidR="000F1ACD" w:rsidRDefault="000F1ACD" w:rsidP="000F1ACD">
      <w:pPr>
        <w:pStyle w:val="NoteLevel1"/>
        <w:rPr>
          <w:rFonts w:ascii="Times" w:hAnsi="Times"/>
        </w:rPr>
      </w:pPr>
      <w:r>
        <w:rPr>
          <w:rFonts w:ascii="Times" w:hAnsi="Times"/>
        </w:rPr>
        <w:t xml:space="preserve">- </w:t>
      </w:r>
      <w:r w:rsidR="00645BC5">
        <w:rPr>
          <w:rFonts w:ascii="Times" w:hAnsi="Times"/>
        </w:rPr>
        <w:t xml:space="preserve">Question 3—Hogg: if you have differential treatment, it takes you to section 1; McLachlin: if you have differential treatment, then you need to look at whether or not it is reasonable—unreasonable = discrimination, then you go to section 1; then, McIntyre’s own opinion—analogous grounds or enumerated grounds—differential treatment based on these grounds results in discrimination </w:t>
      </w:r>
    </w:p>
    <w:p w14:paraId="02AA6579" w14:textId="156651C1" w:rsidR="00AE658C" w:rsidRDefault="00C25FBD" w:rsidP="000F1ACD">
      <w:pPr>
        <w:pStyle w:val="NoteLevel1"/>
        <w:rPr>
          <w:rFonts w:ascii="Times" w:hAnsi="Times"/>
        </w:rPr>
      </w:pPr>
      <w:r>
        <w:rPr>
          <w:rFonts w:ascii="Times" w:hAnsi="Times"/>
        </w:rPr>
        <w:t xml:space="preserve">- For Final: go back and look at lecture notes, silly. </w:t>
      </w:r>
    </w:p>
    <w:p w14:paraId="0D9E7373" w14:textId="77777777" w:rsidR="004E7E24" w:rsidRDefault="004E7E24" w:rsidP="000F1ACD">
      <w:pPr>
        <w:pStyle w:val="NoteLevel1"/>
        <w:rPr>
          <w:rFonts w:ascii="Times" w:hAnsi="Times"/>
        </w:rPr>
      </w:pPr>
    </w:p>
    <w:p w14:paraId="615BDED4" w14:textId="2DB7B283" w:rsidR="005A6DEF" w:rsidRDefault="005A6DEF" w:rsidP="005A6DEF">
      <w:pPr>
        <w:pStyle w:val="NoteLevel1"/>
        <w:rPr>
          <w:rFonts w:ascii="Times" w:hAnsi="Times"/>
        </w:rPr>
      </w:pPr>
      <w:r>
        <w:rPr>
          <w:rFonts w:ascii="Times" w:hAnsi="Times"/>
        </w:rPr>
        <w:t>Today’s Lecture:</w:t>
      </w:r>
      <w:r>
        <w:rPr>
          <w:rFonts w:ascii="Times" w:hAnsi="Times"/>
        </w:rPr>
        <w:br/>
        <w:t>- (Review) Nancy Law’s 4 contextual factors</w:t>
      </w:r>
    </w:p>
    <w:p w14:paraId="63846823" w14:textId="41D74EA8" w:rsidR="00007325" w:rsidRPr="000F0125" w:rsidRDefault="00007325" w:rsidP="000F0125">
      <w:pPr>
        <w:pStyle w:val="NoteLevel2"/>
        <w:rPr>
          <w:rFonts w:ascii="Times" w:hAnsi="Times"/>
        </w:rPr>
      </w:pPr>
      <w:r>
        <w:rPr>
          <w:rFonts w:ascii="Times" w:hAnsi="Times"/>
        </w:rPr>
        <w:t>Remember the reasonable person in the situation of the claimant—that’s what this lecture is about</w:t>
      </w:r>
    </w:p>
    <w:p w14:paraId="758A6126" w14:textId="533F730C" w:rsidR="003634DC" w:rsidRDefault="00007325" w:rsidP="00007325">
      <w:pPr>
        <w:pStyle w:val="NoteLevel1"/>
        <w:rPr>
          <w:rFonts w:ascii="Times" w:hAnsi="Times"/>
        </w:rPr>
      </w:pPr>
      <w:r>
        <w:rPr>
          <w:rFonts w:ascii="Times" w:hAnsi="Times"/>
        </w:rPr>
        <w:t xml:space="preserve">- </w:t>
      </w:r>
      <w:r w:rsidR="003634DC">
        <w:rPr>
          <w:rFonts w:ascii="Times" w:hAnsi="Times"/>
        </w:rPr>
        <w:t>Finding of discrimination requires three things</w:t>
      </w:r>
      <w:r w:rsidR="00BA657C">
        <w:rPr>
          <w:rFonts w:ascii="Times" w:hAnsi="Times"/>
        </w:rPr>
        <w:t xml:space="preserve"> **ALWAYS COME BACK TO THIS</w:t>
      </w:r>
      <w:r w:rsidR="003634DC">
        <w:rPr>
          <w:rFonts w:ascii="Times" w:hAnsi="Times"/>
        </w:rPr>
        <w:t xml:space="preserve">: </w:t>
      </w:r>
    </w:p>
    <w:p w14:paraId="1D9D86C4" w14:textId="1E7CD2AA" w:rsidR="00007325" w:rsidRDefault="003634DC" w:rsidP="003634DC">
      <w:pPr>
        <w:pStyle w:val="NoteLevel2"/>
        <w:numPr>
          <w:ilvl w:val="0"/>
          <w:numId w:val="0"/>
        </w:numPr>
        <w:ind w:left="1080"/>
        <w:rPr>
          <w:rFonts w:ascii="Times" w:hAnsi="Times"/>
        </w:rPr>
      </w:pPr>
      <w:r>
        <w:rPr>
          <w:rFonts w:ascii="Times" w:hAnsi="Times"/>
        </w:rPr>
        <w:t>1) differential treatment between the claimant and another group—comparison</w:t>
      </w:r>
    </w:p>
    <w:p w14:paraId="79FFD9DD" w14:textId="13DEA0DD" w:rsidR="003634DC" w:rsidRDefault="003634DC" w:rsidP="003634DC">
      <w:pPr>
        <w:pStyle w:val="NoteLevel2"/>
        <w:numPr>
          <w:ilvl w:val="0"/>
          <w:numId w:val="0"/>
        </w:numPr>
        <w:ind w:left="1080"/>
        <w:rPr>
          <w:rFonts w:ascii="Times" w:hAnsi="Times"/>
        </w:rPr>
      </w:pPr>
      <w:r>
        <w:rPr>
          <w:rFonts w:ascii="Times" w:hAnsi="Times"/>
        </w:rPr>
        <w:t xml:space="preserve">2) that differential treatment has to be based on an enumerated or analogous ground </w:t>
      </w:r>
    </w:p>
    <w:p w14:paraId="684E0339" w14:textId="73EBDCD7" w:rsidR="003634DC" w:rsidRDefault="003634DC" w:rsidP="003634DC">
      <w:pPr>
        <w:pStyle w:val="NoteLevel2"/>
        <w:numPr>
          <w:ilvl w:val="0"/>
          <w:numId w:val="0"/>
        </w:numPr>
        <w:ind w:left="1080"/>
        <w:rPr>
          <w:rFonts w:ascii="Times" w:hAnsi="Times"/>
        </w:rPr>
      </w:pPr>
      <w:r>
        <w:rPr>
          <w:rFonts w:ascii="Times" w:hAnsi="Times"/>
        </w:rPr>
        <w:t xml:space="preserve">3) </w:t>
      </w:r>
      <w:r w:rsidR="000F0125">
        <w:rPr>
          <w:rFonts w:ascii="Times" w:hAnsi="Times"/>
        </w:rPr>
        <w:t xml:space="preserve">whether or not this differential treatment results in discrimination—which means looking at the 4 contextual factors, and whether in totality, they’re talking about prejudice and stereotype </w:t>
      </w:r>
    </w:p>
    <w:p w14:paraId="3D22553F" w14:textId="1C444DF3" w:rsidR="00A0529E" w:rsidRDefault="006844DA" w:rsidP="00A0529E">
      <w:pPr>
        <w:pStyle w:val="NoteLevel1"/>
        <w:numPr>
          <w:ilvl w:val="0"/>
          <w:numId w:val="0"/>
        </w:numPr>
        <w:rPr>
          <w:rFonts w:ascii="Times" w:hAnsi="Times"/>
        </w:rPr>
      </w:pPr>
      <w:r>
        <w:rPr>
          <w:rFonts w:ascii="Times" w:hAnsi="Times"/>
        </w:rPr>
        <w:t xml:space="preserve">- Differential treatment in and of itself does not mean discrimination </w:t>
      </w:r>
    </w:p>
    <w:p w14:paraId="558C8A01" w14:textId="77777777" w:rsidR="00D46D88" w:rsidRDefault="00D46D88" w:rsidP="00A0529E">
      <w:pPr>
        <w:pStyle w:val="NoteLevel1"/>
        <w:numPr>
          <w:ilvl w:val="0"/>
          <w:numId w:val="0"/>
        </w:numPr>
        <w:rPr>
          <w:rFonts w:ascii="Times" w:hAnsi="Times"/>
        </w:rPr>
      </w:pPr>
    </w:p>
    <w:p w14:paraId="0B972700" w14:textId="7DE193AB" w:rsidR="00D46D88" w:rsidRPr="00403D67" w:rsidRDefault="00403D67" w:rsidP="00403D67">
      <w:pPr>
        <w:pStyle w:val="NoteLevel1"/>
        <w:rPr>
          <w:rFonts w:ascii="Times" w:hAnsi="Times"/>
          <w:u w:val="single"/>
        </w:rPr>
      </w:pPr>
      <w:r w:rsidRPr="007F6AFD">
        <w:rPr>
          <w:rFonts w:ascii="Times" w:hAnsi="Times"/>
          <w:i/>
          <w:u w:val="single"/>
        </w:rPr>
        <w:t>Nova Scotia</w:t>
      </w:r>
      <w:r w:rsidR="00F040E6" w:rsidRPr="007F6AFD">
        <w:rPr>
          <w:rFonts w:ascii="Times" w:hAnsi="Times"/>
          <w:i/>
          <w:u w:val="single"/>
        </w:rPr>
        <w:t xml:space="preserve"> (Workers’ Compensation Board)</w:t>
      </w:r>
      <w:r w:rsidRPr="007F6AFD">
        <w:rPr>
          <w:rFonts w:ascii="Times" w:hAnsi="Times"/>
          <w:i/>
          <w:u w:val="single"/>
        </w:rPr>
        <w:t xml:space="preserve"> v. Martin</w:t>
      </w:r>
      <w:r w:rsidR="00F040E6">
        <w:rPr>
          <w:rFonts w:ascii="Times" w:hAnsi="Times"/>
          <w:u w:val="single"/>
        </w:rPr>
        <w:t xml:space="preserve"> </w:t>
      </w:r>
      <w:r>
        <w:rPr>
          <w:rFonts w:ascii="Times" w:hAnsi="Times"/>
          <w:u w:val="single"/>
        </w:rPr>
        <w:t xml:space="preserve"> [2003] 2 S.C.R 504 </w:t>
      </w:r>
    </w:p>
    <w:p w14:paraId="2A6CE773" w14:textId="17E3F96B" w:rsidR="00403D67" w:rsidRPr="00F040E6" w:rsidRDefault="00403D67" w:rsidP="00403D67">
      <w:pPr>
        <w:pStyle w:val="NoteLevel1"/>
        <w:rPr>
          <w:rFonts w:ascii="Times" w:hAnsi="Times"/>
          <w:u w:val="single"/>
        </w:rPr>
      </w:pPr>
      <w:r>
        <w:rPr>
          <w:rFonts w:ascii="Times" w:hAnsi="Times"/>
        </w:rPr>
        <w:t xml:space="preserve">- </w:t>
      </w:r>
      <w:r w:rsidR="00E03034">
        <w:rPr>
          <w:rFonts w:ascii="Times" w:hAnsi="Times"/>
        </w:rPr>
        <w:t>In this case, you have a program that doesn’t recognize chronic pain as a condition that i</w:t>
      </w:r>
      <w:r w:rsidR="00352B92">
        <w:rPr>
          <w:rFonts w:ascii="Times" w:hAnsi="Times"/>
        </w:rPr>
        <w:t>s compensable</w:t>
      </w:r>
      <w:r w:rsidR="00F86260">
        <w:rPr>
          <w:rFonts w:ascii="Times" w:hAnsi="Times"/>
        </w:rPr>
        <w:t xml:space="preserve"> </w:t>
      </w:r>
      <w:r w:rsidR="00E01585">
        <w:rPr>
          <w:rFonts w:ascii="Times" w:hAnsi="Times"/>
        </w:rPr>
        <w:t xml:space="preserve">under WSIB </w:t>
      </w:r>
      <w:r w:rsidR="003043FF">
        <w:rPr>
          <w:rFonts w:ascii="Times" w:hAnsi="Times"/>
        </w:rPr>
        <w:t>benefits</w:t>
      </w:r>
      <w:r w:rsidR="00F86260">
        <w:rPr>
          <w:rFonts w:ascii="Times" w:hAnsi="Times"/>
        </w:rPr>
        <w:t xml:space="preserve"> </w:t>
      </w:r>
    </w:p>
    <w:p w14:paraId="51EAFF88" w14:textId="45D970D0" w:rsidR="00F040E6" w:rsidRPr="008662DF" w:rsidRDefault="002B3EFC" w:rsidP="00403D67">
      <w:pPr>
        <w:pStyle w:val="NoteLevel1"/>
        <w:rPr>
          <w:rFonts w:ascii="Times" w:hAnsi="Times"/>
          <w:u w:val="single"/>
        </w:rPr>
      </w:pPr>
      <w:r>
        <w:rPr>
          <w:rFonts w:ascii="Times" w:hAnsi="Times"/>
        </w:rPr>
        <w:t xml:space="preserve">- Understanding how legal mechanisms work will help with your understanding of comparison (ex: the steps that follow a work accident—compensation, rehabilitation, etc.) </w:t>
      </w:r>
    </w:p>
    <w:p w14:paraId="7B0311F6" w14:textId="228F3F19" w:rsidR="0076122B" w:rsidRPr="0076122B" w:rsidRDefault="001F5AA1" w:rsidP="00403D67">
      <w:pPr>
        <w:pStyle w:val="NoteLevel1"/>
        <w:rPr>
          <w:rFonts w:ascii="Times" w:hAnsi="Times"/>
          <w:u w:val="single"/>
        </w:rPr>
      </w:pPr>
      <w:r>
        <w:rPr>
          <w:rFonts w:ascii="Times" w:hAnsi="Times"/>
        </w:rPr>
        <w:t>- In Nova Scotia, there were limitations imposed on statutory benefits in regards to chronic pain conditio</w:t>
      </w:r>
      <w:r w:rsidR="00523E65">
        <w:rPr>
          <w:rFonts w:ascii="Times" w:hAnsi="Times"/>
        </w:rPr>
        <w:t xml:space="preserve">n: </w:t>
      </w:r>
    </w:p>
    <w:p w14:paraId="20734ABC" w14:textId="3AB13307" w:rsidR="001F5AA1" w:rsidRPr="0076122B" w:rsidRDefault="00B0378F" w:rsidP="0076122B">
      <w:pPr>
        <w:pStyle w:val="NoteLevel2"/>
        <w:rPr>
          <w:rFonts w:ascii="Times" w:hAnsi="Times"/>
          <w:u w:val="single"/>
        </w:rPr>
      </w:pPr>
      <w:r>
        <w:rPr>
          <w:rFonts w:ascii="Times" w:hAnsi="Times"/>
        </w:rPr>
        <w:t>S</w:t>
      </w:r>
      <w:r w:rsidR="0076122B">
        <w:rPr>
          <w:rFonts w:ascii="Times" w:hAnsi="Times"/>
        </w:rPr>
        <w:t>omeone who has a visible injury—broken bones, missing limbs, etc. will receive more than someone who has chronic pain or fibromyalgia</w:t>
      </w:r>
    </w:p>
    <w:p w14:paraId="22BF33F7" w14:textId="53D2BFBB" w:rsidR="0076122B" w:rsidRPr="001641A8" w:rsidRDefault="0076122B" w:rsidP="0076122B">
      <w:pPr>
        <w:pStyle w:val="NoteLevel2"/>
        <w:rPr>
          <w:rFonts w:ascii="Times" w:hAnsi="Times"/>
          <w:u w:val="single"/>
        </w:rPr>
      </w:pPr>
      <w:r>
        <w:rPr>
          <w:rFonts w:ascii="Times" w:hAnsi="Times"/>
        </w:rPr>
        <w:t>There was also a date limit imposed—if it happened prior to the specified date, you received nothing for your chronic pain; if it happened after the specified date, you received some amount for chronic pain but still not as much as someone who had a more easily defined &amp; understood injury</w:t>
      </w:r>
      <w:r w:rsidR="001641A8">
        <w:rPr>
          <w:rFonts w:ascii="Times" w:hAnsi="Times"/>
        </w:rPr>
        <w:t>:</w:t>
      </w:r>
    </w:p>
    <w:p w14:paraId="78F46BA6" w14:textId="162101A2" w:rsidR="001641A8" w:rsidRPr="001641A8" w:rsidRDefault="001641A8" w:rsidP="001641A8">
      <w:pPr>
        <w:pStyle w:val="NoteLevel1"/>
        <w:rPr>
          <w:rFonts w:ascii="Times" w:hAnsi="Times"/>
        </w:rPr>
      </w:pPr>
      <w:r w:rsidRPr="001641A8">
        <w:rPr>
          <w:rFonts w:ascii="Times" w:hAnsi="Times"/>
        </w:rPr>
        <w:t xml:space="preserve">- </w:t>
      </w:r>
      <w:r>
        <w:rPr>
          <w:rFonts w:ascii="Times" w:hAnsi="Times"/>
        </w:rPr>
        <w:t xml:space="preserve">Para 67: i)  to preclude workers injured before March 23, 1990, from receiving any benefits in connection with chronic pain; ii) to entitle workers injured March 23, 1990, and February 1, 1996, and who, on November 25, 1998, were in receipt of temporary benefits of had a claim under appeal, to received uniform limited benefits for chronic pain as provided by s.10E; and iii) </w:t>
      </w:r>
      <w:r w:rsidRPr="001641A8">
        <w:rPr>
          <w:rFonts w:ascii="Times" w:hAnsi="Times"/>
        </w:rPr>
        <w:t xml:space="preserve"> </w:t>
      </w:r>
      <w:r>
        <w:rPr>
          <w:rFonts w:ascii="Times" w:hAnsi="Times"/>
        </w:rPr>
        <w:t xml:space="preserve">to preclude workers injured at February 1, 1996, from receiving any benefits for chronic pain except as provided by the FRP Regulations. The chronic pain provisions also maintain the bar against suing employers under s.28 of the Act, so that no additional compensation may be obtained through tort actions in the court </w:t>
      </w:r>
    </w:p>
    <w:p w14:paraId="74B585DF" w14:textId="77777777" w:rsidR="00F040E6" w:rsidRDefault="00F040E6" w:rsidP="00403D67">
      <w:pPr>
        <w:pStyle w:val="NoteLevel1"/>
        <w:rPr>
          <w:rFonts w:ascii="Times" w:hAnsi="Times"/>
          <w:u w:val="single"/>
        </w:rPr>
      </w:pPr>
    </w:p>
    <w:p w14:paraId="0B485502" w14:textId="0B3F4F38" w:rsidR="001641A8" w:rsidRPr="001641A8" w:rsidRDefault="001641A8" w:rsidP="00403D67">
      <w:pPr>
        <w:pStyle w:val="NoteLevel1"/>
        <w:rPr>
          <w:rFonts w:ascii="Times" w:hAnsi="Times"/>
          <w:u w:val="single"/>
        </w:rPr>
      </w:pPr>
      <w:r>
        <w:rPr>
          <w:rFonts w:ascii="Times" w:hAnsi="Times"/>
        </w:rPr>
        <w:t xml:space="preserve">- How would you build your discrimination analysis? </w:t>
      </w:r>
    </w:p>
    <w:p w14:paraId="25558CFB" w14:textId="77777777" w:rsidR="00085416" w:rsidRPr="00085416" w:rsidRDefault="001641A8" w:rsidP="00953AF5">
      <w:pPr>
        <w:pStyle w:val="NoteLevel2"/>
        <w:rPr>
          <w:rFonts w:ascii="Times" w:hAnsi="Times"/>
          <w:u w:val="single"/>
        </w:rPr>
      </w:pPr>
      <w:r>
        <w:rPr>
          <w:rFonts w:ascii="Times" w:hAnsi="Times"/>
        </w:rPr>
        <w:t xml:space="preserve">Always start with </w:t>
      </w:r>
      <w:r w:rsidRPr="001641A8">
        <w:rPr>
          <w:rFonts w:ascii="Times" w:hAnsi="Times"/>
          <w:i/>
        </w:rPr>
        <w:t>Nancy Law</w:t>
      </w:r>
      <w:r>
        <w:rPr>
          <w:rFonts w:ascii="Times" w:hAnsi="Times"/>
        </w:rPr>
        <w:t>—you start with a comparison—who</w:t>
      </w:r>
      <w:r w:rsidR="00953AF5">
        <w:rPr>
          <w:rFonts w:ascii="Times" w:hAnsi="Times"/>
        </w:rPr>
        <w:t xml:space="preserve"> are you comparing yourself to?</w:t>
      </w:r>
    </w:p>
    <w:p w14:paraId="18921195" w14:textId="42A20A13" w:rsidR="001641A8" w:rsidRPr="00953AF5" w:rsidRDefault="00085416" w:rsidP="00085416">
      <w:pPr>
        <w:pStyle w:val="NoteLevel3"/>
        <w:rPr>
          <w:rFonts w:ascii="Times" w:hAnsi="Times"/>
          <w:u w:val="single"/>
        </w:rPr>
      </w:pPr>
      <w:r>
        <w:rPr>
          <w:rFonts w:ascii="Times" w:hAnsi="Times"/>
        </w:rPr>
        <w:t>B</w:t>
      </w:r>
      <w:r w:rsidR="00953AF5">
        <w:rPr>
          <w:rFonts w:ascii="Times" w:hAnsi="Times"/>
        </w:rPr>
        <w:t>asing in on region wouldn’t work, what’s so special about being from Ontario vs. from Nova Scotia; Canada is built on the distinction between s. 91 &amp; 92</w:t>
      </w:r>
      <w:r w:rsidR="00953AF5" w:rsidRPr="00953AF5">
        <w:rPr>
          <w:rFonts w:ascii="Times" w:hAnsi="Times"/>
        </w:rPr>
        <w:sym w:font="Wingdings" w:char="F0E0"/>
      </w:r>
      <w:r w:rsidR="00953AF5">
        <w:rPr>
          <w:rFonts w:ascii="Times" w:hAnsi="Times"/>
        </w:rPr>
        <w:t xml:space="preserve"> division of powers </w:t>
      </w:r>
    </w:p>
    <w:p w14:paraId="0A03CE5C" w14:textId="17201FC9" w:rsidR="00953AF5" w:rsidRPr="001855A2" w:rsidRDefault="00870DE0" w:rsidP="00085416">
      <w:pPr>
        <w:pStyle w:val="NoteLevel3"/>
        <w:rPr>
          <w:rFonts w:ascii="Times" w:hAnsi="Times"/>
          <w:u w:val="single"/>
        </w:rPr>
      </w:pPr>
      <w:r>
        <w:rPr>
          <w:rFonts w:ascii="Times" w:hAnsi="Times"/>
        </w:rPr>
        <w:t>What about between chronic pain sufferers? –chronic pain sufferers under WSIB, some of which are better off than others depending on when their accident was—there is differential treatment</w:t>
      </w:r>
      <w:r w:rsidR="00BA657C">
        <w:rPr>
          <w:rFonts w:ascii="Times" w:hAnsi="Times"/>
        </w:rPr>
        <w:t xml:space="preserve">, but </w:t>
      </w:r>
      <w:r w:rsidR="009F7172">
        <w:rPr>
          <w:rFonts w:ascii="Times" w:hAnsi="Times"/>
        </w:rPr>
        <w:t>it’s not based on the disability, it’s based on the time in which the incident occurred</w:t>
      </w:r>
      <w:r w:rsidR="00E0464C">
        <w:rPr>
          <w:rFonts w:ascii="Times" w:hAnsi="Times"/>
        </w:rPr>
        <w:t xml:space="preserve">—this doesn’t fall under an enumerated or analogous </w:t>
      </w:r>
      <w:r w:rsidR="00484F8F">
        <w:rPr>
          <w:rFonts w:ascii="Times" w:hAnsi="Times"/>
        </w:rPr>
        <w:t>ground because it’s just based on a date—it’s not an age—just a date</w:t>
      </w:r>
      <w:r w:rsidR="00181695">
        <w:rPr>
          <w:rFonts w:ascii="Times" w:hAnsi="Times"/>
        </w:rPr>
        <w:t xml:space="preserve">, therefore this fails </w:t>
      </w:r>
    </w:p>
    <w:p w14:paraId="1675C89E" w14:textId="5837750C" w:rsidR="0006342E" w:rsidRPr="00760EAF" w:rsidRDefault="0044332F" w:rsidP="0044332F">
      <w:pPr>
        <w:pStyle w:val="NoteLevel3"/>
        <w:rPr>
          <w:rFonts w:ascii="Times" w:hAnsi="Times"/>
          <w:u w:val="single"/>
        </w:rPr>
      </w:pPr>
      <w:r>
        <w:rPr>
          <w:rFonts w:ascii="Times" w:hAnsi="Times"/>
        </w:rPr>
        <w:t>Comparing WSIB claimants to non-WSIB claimants (tort claimants)—</w:t>
      </w:r>
      <w:r w:rsidR="0006342E">
        <w:rPr>
          <w:rFonts w:ascii="Times" w:hAnsi="Times"/>
        </w:rPr>
        <w:t xml:space="preserve"> </w:t>
      </w:r>
      <w:r w:rsidR="00B44136">
        <w:rPr>
          <w:rFonts w:ascii="Times" w:hAnsi="Times"/>
        </w:rPr>
        <w:t>the argument being that if WSIB didn’t exist, you’d be able to sue your employer for compensation and receive x amount of dollars</w:t>
      </w:r>
      <w:r w:rsidR="0006342E">
        <w:rPr>
          <w:rFonts w:ascii="Times" w:hAnsi="Times"/>
        </w:rPr>
        <w:t>—this is an attack on WSIB system as a whole, not an a</w:t>
      </w:r>
      <w:r w:rsidR="00F60CB9">
        <w:rPr>
          <w:rFonts w:ascii="Times" w:hAnsi="Times"/>
        </w:rPr>
        <w:t xml:space="preserve">ttack on chronic pain sufferers—WSIB has held WSIB constitution insofar as it removes a lot of civil litigation and places in it a provision so you go to a board for your claim </w:t>
      </w:r>
    </w:p>
    <w:p w14:paraId="510AA503" w14:textId="0EC3E8D4" w:rsidR="00C042F2" w:rsidRPr="00C042F2" w:rsidRDefault="00C042F2" w:rsidP="00C042F2">
      <w:pPr>
        <w:pStyle w:val="NoteLevel3"/>
        <w:rPr>
          <w:rFonts w:ascii="Times" w:hAnsi="Times"/>
          <w:b/>
          <w:u w:val="single"/>
        </w:rPr>
      </w:pPr>
      <w:r>
        <w:rPr>
          <w:rFonts w:ascii="Times" w:hAnsi="Times"/>
        </w:rPr>
        <w:t>Comparing chronic pain sufferers vs. non-chronic pain sufferers under WSIB—“Can you compare disabled people with disabled people</w:t>
      </w:r>
      <w:r w:rsidRPr="00C042F2">
        <w:rPr>
          <w:rFonts w:ascii="Times" w:hAnsi="Times"/>
          <w:b/>
        </w:rPr>
        <w:t>?”  (**exam question every year!)</w:t>
      </w:r>
      <w:r>
        <w:rPr>
          <w:rFonts w:ascii="Times" w:hAnsi="Times"/>
          <w:b/>
        </w:rPr>
        <w:t xml:space="preserve"> </w:t>
      </w:r>
      <w:r>
        <w:rPr>
          <w:rFonts w:ascii="Times" w:hAnsi="Times"/>
        </w:rPr>
        <w:t>Yes you can, but this claim would have failed if Martin tired to compare amongst the chronic pain suffers b/c date is not an analogous ground—the only one that works is comparison btwn chronic pain sufferers and other persons whose injuries resulted in a disability other than chronic pain</w:t>
      </w:r>
      <w:r w:rsidR="005E15FE">
        <w:rPr>
          <w:rFonts w:ascii="Times" w:hAnsi="Times"/>
        </w:rPr>
        <w:t xml:space="preserve">—disability is an enumerated ground </w:t>
      </w:r>
    </w:p>
    <w:p w14:paraId="7720E9D3" w14:textId="00FD5F71" w:rsidR="00C042F2" w:rsidRPr="00FF3CF3" w:rsidRDefault="00C042F2" w:rsidP="00C042F2">
      <w:pPr>
        <w:pStyle w:val="NoteLevel4"/>
        <w:rPr>
          <w:rFonts w:ascii="Times" w:hAnsi="Times"/>
          <w:b/>
          <w:u w:val="single"/>
        </w:rPr>
      </w:pPr>
      <w:r>
        <w:rPr>
          <w:rFonts w:ascii="Times" w:hAnsi="Times"/>
        </w:rPr>
        <w:t>Why/how can you do this?</w:t>
      </w:r>
      <w:r w:rsidR="00FC4EB2">
        <w:rPr>
          <w:rFonts w:ascii="Times" w:hAnsi="Times"/>
        </w:rPr>
        <w:t xml:space="preserve">: </w:t>
      </w:r>
      <w:r w:rsidR="004825DD">
        <w:rPr>
          <w:rFonts w:ascii="Times" w:hAnsi="Times"/>
        </w:rPr>
        <w:t>There was a case in which a company provided insurance to their employees, until an employee becomes pregnant, they then lose their insurance</w:t>
      </w:r>
      <w:r w:rsidR="001234B1">
        <w:rPr>
          <w:rFonts w:ascii="Times" w:hAnsi="Times"/>
        </w:rPr>
        <w:t xml:space="preserve">—woman made a claim for discrimination in this case, and the insurer said that they never provided insurance for pregnant individuals, so where would she base her claim?—She can only get pregnant because she is a woman, therefore she bases her claim on gender, which is an enumerated ground under the </w:t>
      </w:r>
      <w:r w:rsidR="001234B1">
        <w:rPr>
          <w:rFonts w:ascii="Times" w:hAnsi="Times"/>
          <w:i/>
        </w:rPr>
        <w:t>Charter</w:t>
      </w:r>
      <w:r w:rsidR="001234B1">
        <w:rPr>
          <w:rFonts w:ascii="Times" w:hAnsi="Times"/>
        </w:rPr>
        <w:t xml:space="preserve"> </w:t>
      </w:r>
      <w:r w:rsidR="002A0B33">
        <w:rPr>
          <w:rFonts w:ascii="Times" w:hAnsi="Times"/>
        </w:rPr>
        <w:t>(</w:t>
      </w:r>
      <w:r w:rsidR="002A0B33" w:rsidRPr="002A0B33">
        <w:rPr>
          <w:rFonts w:ascii="Times" w:hAnsi="Times"/>
          <w:i/>
        </w:rPr>
        <w:t>Brooks v. Canada Safeway, Ltd</w:t>
      </w:r>
      <w:r w:rsidR="002A0B33">
        <w:rPr>
          <w:rFonts w:ascii="Times" w:hAnsi="Times"/>
        </w:rPr>
        <w:t>.)</w:t>
      </w:r>
    </w:p>
    <w:p w14:paraId="4421C0B9" w14:textId="74D64E8B" w:rsidR="00FF3CF3" w:rsidRPr="007D0437" w:rsidRDefault="00FF3CF3" w:rsidP="00C042F2">
      <w:pPr>
        <w:pStyle w:val="NoteLevel4"/>
        <w:rPr>
          <w:rFonts w:ascii="Times" w:hAnsi="Times"/>
          <w:b/>
          <w:u w:val="single"/>
        </w:rPr>
      </w:pPr>
      <w:r>
        <w:rPr>
          <w:rFonts w:ascii="Times" w:hAnsi="Times"/>
        </w:rPr>
        <w:t>The question here is whether the differential treatment of chronic pain sufferers is truly based on this enumerated ground</w:t>
      </w:r>
      <w:r w:rsidR="00C13295">
        <w:rPr>
          <w:rFonts w:ascii="Times" w:hAnsi="Times"/>
        </w:rPr>
        <w:t xml:space="preserve">; the Board said that you cannot compare disabled people to disabled people—comparison without a sub group; the Court said this argument is without merit “This Court has long recognized that differential treatment can occur on the basis of an enumerated ground despite that the fact that not all persons belonging to the relevant group are equally mistreated” </w:t>
      </w:r>
    </w:p>
    <w:p w14:paraId="105CF674" w14:textId="609977D4" w:rsidR="0056016B" w:rsidRPr="00BC2079" w:rsidRDefault="00C45704" w:rsidP="00C042F2">
      <w:pPr>
        <w:pStyle w:val="NoteLevel4"/>
        <w:rPr>
          <w:rFonts w:ascii="Times" w:hAnsi="Times"/>
          <w:b/>
          <w:u w:val="single"/>
        </w:rPr>
      </w:pPr>
      <w:r>
        <w:rPr>
          <w:rFonts w:ascii="Times" w:hAnsi="Times"/>
        </w:rPr>
        <w:t>Para 76: Sexual Harassment</w:t>
      </w:r>
      <w:r w:rsidRPr="00C45704">
        <w:rPr>
          <w:rFonts w:ascii="Times" w:hAnsi="Times"/>
        </w:rPr>
        <w:sym w:font="Wingdings" w:char="F0E0"/>
      </w:r>
      <w:r>
        <w:rPr>
          <w:rFonts w:ascii="Times" w:hAnsi="Times"/>
        </w:rPr>
        <w:t xml:space="preserve"> </w:t>
      </w:r>
      <w:r w:rsidR="007D0437">
        <w:rPr>
          <w:rFonts w:ascii="Times" w:hAnsi="Times"/>
        </w:rPr>
        <w:t>in Janzen v. Platy, held that sexual harassment in the workplace constituted sex discrimination</w:t>
      </w:r>
      <w:r w:rsidR="008F231B">
        <w:rPr>
          <w:rFonts w:ascii="Times" w:hAnsi="Times"/>
        </w:rPr>
        <w:t xml:space="preserve"> (Dickson C.J)</w:t>
      </w:r>
    </w:p>
    <w:p w14:paraId="00A6C5D3" w14:textId="48054CFA" w:rsidR="00BC2079" w:rsidRPr="00BC2079" w:rsidRDefault="00BC2079" w:rsidP="00C042F2">
      <w:pPr>
        <w:pStyle w:val="NoteLevel4"/>
        <w:rPr>
          <w:rFonts w:ascii="Times" w:hAnsi="Times"/>
          <w:b/>
          <w:u w:val="single"/>
        </w:rPr>
      </w:pPr>
      <w:r w:rsidRPr="00BC2079">
        <w:rPr>
          <w:rFonts w:ascii="Times" w:hAnsi="Times"/>
          <w:i/>
        </w:rPr>
        <w:t>Gibbs</w:t>
      </w:r>
      <w:r>
        <w:rPr>
          <w:rFonts w:ascii="Times" w:hAnsi="Times"/>
        </w:rPr>
        <w:t xml:space="preserve"> </w:t>
      </w:r>
      <w:r w:rsidRPr="00BC2079">
        <w:rPr>
          <w:rFonts w:ascii="Times" w:hAnsi="Times"/>
        </w:rPr>
        <w:sym w:font="Wingdings" w:char="F0E0"/>
      </w:r>
      <w:r>
        <w:rPr>
          <w:rFonts w:ascii="Times" w:hAnsi="Times"/>
        </w:rPr>
        <w:t xml:space="preserve"> another case where disabilities were treated differently—mental disability and physical disability</w:t>
      </w:r>
    </w:p>
    <w:p w14:paraId="3A3CC2AD" w14:textId="28B5EC76" w:rsidR="00BC2079" w:rsidRPr="00B932EE" w:rsidRDefault="00C436AE" w:rsidP="00C042F2">
      <w:pPr>
        <w:pStyle w:val="NoteLevel4"/>
        <w:rPr>
          <w:rFonts w:ascii="Times" w:hAnsi="Times"/>
          <w:b/>
          <w:u w:val="single"/>
        </w:rPr>
      </w:pPr>
      <w:r>
        <w:rPr>
          <w:rFonts w:ascii="Times" w:hAnsi="Times"/>
          <w:i/>
        </w:rPr>
        <w:t xml:space="preserve">Granovsky </w:t>
      </w:r>
      <w:r w:rsidRPr="00C436AE">
        <w:rPr>
          <w:rFonts w:ascii="Times" w:hAnsi="Times"/>
        </w:rPr>
        <w:sym w:font="Wingdings" w:char="F0E0"/>
      </w:r>
      <w:r>
        <w:rPr>
          <w:rFonts w:ascii="Times" w:hAnsi="Times"/>
        </w:rPr>
        <w:t xml:space="preserve"> held that a legislative distinction between temporary and permanent disability was based on the enumerated ground of “physical disability” </w:t>
      </w:r>
      <w:r w:rsidR="00B932EE">
        <w:rPr>
          <w:rFonts w:ascii="Times" w:hAnsi="Times"/>
        </w:rPr>
        <w:t xml:space="preserve"> (but he lost at the discrimination stage)</w:t>
      </w:r>
    </w:p>
    <w:p w14:paraId="1487618C" w14:textId="35AD1D45" w:rsidR="00B932EE" w:rsidRPr="00313DD4" w:rsidRDefault="00EF17B5" w:rsidP="00C042F2">
      <w:pPr>
        <w:pStyle w:val="NoteLevel4"/>
        <w:rPr>
          <w:rFonts w:ascii="Times" w:hAnsi="Times"/>
          <w:b/>
          <w:u w:val="single"/>
        </w:rPr>
      </w:pPr>
      <w:r>
        <w:rPr>
          <w:rFonts w:ascii="Times" w:hAnsi="Times"/>
        </w:rPr>
        <w:t xml:space="preserve">Court gives their own hypothetical example at para 80: “For instance, there could be no doubt that a legislative distinction </w:t>
      </w:r>
      <w:r w:rsidR="00313DD4">
        <w:rPr>
          <w:rFonts w:ascii="Times" w:hAnsi="Times"/>
        </w:rPr>
        <w:t>favoring</w:t>
      </w:r>
      <w:r>
        <w:rPr>
          <w:rFonts w:ascii="Times" w:hAnsi="Times"/>
        </w:rPr>
        <w:t xml:space="preserve"> </w:t>
      </w:r>
      <w:r w:rsidR="00313DD4">
        <w:rPr>
          <w:rFonts w:ascii="Times" w:hAnsi="Times"/>
        </w:rPr>
        <w:t>persons of</w:t>
      </w:r>
      <w:r>
        <w:rPr>
          <w:rFonts w:ascii="Times" w:hAnsi="Times"/>
        </w:rPr>
        <w:t xml:space="preserve"> Asian origin over those of African origin would be “based on” race, ethnic origin</w:t>
      </w:r>
      <w:r w:rsidR="00313DD4">
        <w:rPr>
          <w:rFonts w:ascii="Times" w:hAnsi="Times"/>
        </w:rPr>
        <w:t xml:space="preserve"> </w:t>
      </w:r>
      <w:r>
        <w:rPr>
          <w:rFonts w:ascii="Times" w:hAnsi="Times"/>
        </w:rPr>
        <w:t>or colour, or that a law imposing a disadvantage on Buddhists relative to Muslims would draw a distinction “based on” religion</w:t>
      </w:r>
      <w:r w:rsidR="00313DD4">
        <w:rPr>
          <w:rFonts w:ascii="Times" w:hAnsi="Times"/>
        </w:rPr>
        <w:t>”</w:t>
      </w:r>
    </w:p>
    <w:p w14:paraId="4D48B03D" w14:textId="77777777" w:rsidR="00313DD4" w:rsidRDefault="00313DD4" w:rsidP="00D31BF1">
      <w:pPr>
        <w:pStyle w:val="NoteLevel1"/>
        <w:rPr>
          <w:rFonts w:ascii="Times" w:hAnsi="Times"/>
          <w:b/>
          <w:u w:val="single"/>
        </w:rPr>
      </w:pPr>
    </w:p>
    <w:p w14:paraId="723A5F8E" w14:textId="1BBE7E7F" w:rsidR="00BC2660" w:rsidRPr="00BC2660" w:rsidRDefault="00BC2660" w:rsidP="00D31BF1">
      <w:pPr>
        <w:pStyle w:val="NoteLevel1"/>
        <w:rPr>
          <w:rFonts w:ascii="Times" w:hAnsi="Times"/>
          <w:b/>
        </w:rPr>
      </w:pPr>
      <w:r w:rsidRPr="00BC2660">
        <w:rPr>
          <w:rFonts w:ascii="Times" w:hAnsi="Times"/>
          <w:b/>
        </w:rPr>
        <w:t>Next Week</w:t>
      </w:r>
      <w:r>
        <w:rPr>
          <w:rFonts w:ascii="Times" w:hAnsi="Times"/>
          <w:b/>
        </w:rPr>
        <w:t>: Hodg</w:t>
      </w:r>
      <w:r w:rsidR="00397EC9">
        <w:rPr>
          <w:rFonts w:ascii="Times" w:hAnsi="Times"/>
          <w:b/>
        </w:rPr>
        <w:t>e and With</w:t>
      </w:r>
      <w:r>
        <w:rPr>
          <w:rFonts w:ascii="Times" w:hAnsi="Times"/>
          <w:b/>
        </w:rPr>
        <w:t xml:space="preserve">ler </w:t>
      </w:r>
    </w:p>
    <w:p w14:paraId="332C84AA" w14:textId="77777777" w:rsidR="00D324DE" w:rsidRDefault="00D324DE" w:rsidP="00C042F2">
      <w:pPr>
        <w:pStyle w:val="NoteLevel2"/>
        <w:numPr>
          <w:ilvl w:val="0"/>
          <w:numId w:val="0"/>
        </w:numPr>
        <w:ind w:left="1080"/>
        <w:rPr>
          <w:rFonts w:ascii="Times" w:hAnsi="Times"/>
          <w:u w:val="single"/>
        </w:rPr>
        <w:sectPr w:rsidR="00D324DE" w:rsidSect="000F1ACD">
          <w:headerReference w:type="first" r:id="rId13"/>
          <w:pgSz w:w="12240" w:h="15840"/>
          <w:pgMar w:top="1440" w:right="1440" w:bottom="1440" w:left="1440" w:header="708" w:footer="708" w:gutter="0"/>
          <w:cols w:space="708"/>
          <w:titlePg/>
          <w:docGrid w:type="lines" w:linePitch="360"/>
        </w:sectPr>
      </w:pPr>
    </w:p>
    <w:p w14:paraId="5695E041" w14:textId="77777777" w:rsidR="00E5576F" w:rsidRPr="00E5576F" w:rsidRDefault="00E5576F" w:rsidP="00E5576F">
      <w:pPr>
        <w:pStyle w:val="NoteLevel1"/>
        <w:numPr>
          <w:ilvl w:val="0"/>
          <w:numId w:val="0"/>
        </w:numPr>
        <w:rPr>
          <w:rFonts w:ascii="Times" w:hAnsi="Times"/>
          <w:i/>
          <w:u w:val="single"/>
        </w:rPr>
      </w:pPr>
      <w:r w:rsidRPr="00E5576F">
        <w:rPr>
          <w:rFonts w:ascii="Times" w:hAnsi="Times"/>
          <w:i/>
          <w:u w:val="single"/>
        </w:rPr>
        <w:t xml:space="preserve">Nova Scotia (Workers’ Compensation Board) v. Martin  [2003] 2 S.C.R 504 </w:t>
      </w:r>
    </w:p>
    <w:p w14:paraId="34A883F6" w14:textId="65581A75" w:rsidR="00397EC9" w:rsidRPr="004C58FF" w:rsidRDefault="00397EC9" w:rsidP="00D324DE">
      <w:pPr>
        <w:pStyle w:val="NoteLevel1"/>
        <w:rPr>
          <w:rFonts w:ascii="Times" w:hAnsi="Times"/>
          <w:u w:val="single"/>
        </w:rPr>
      </w:pPr>
      <w:r>
        <w:rPr>
          <w:rFonts w:ascii="Times" w:hAnsi="Times"/>
        </w:rPr>
        <w:t>-</w:t>
      </w:r>
      <w:r w:rsidR="0008460C">
        <w:rPr>
          <w:rFonts w:ascii="Times" w:hAnsi="Times"/>
        </w:rPr>
        <w:t xml:space="preserve"> </w:t>
      </w:r>
      <w:r>
        <w:rPr>
          <w:rFonts w:ascii="Times" w:hAnsi="Times"/>
        </w:rPr>
        <w:t xml:space="preserve">Begin discrimination at para 84 </w:t>
      </w:r>
    </w:p>
    <w:p w14:paraId="1EE78C4A" w14:textId="23E83AAA" w:rsidR="0062744F" w:rsidRPr="00D13199" w:rsidRDefault="004C58FF" w:rsidP="0062744F">
      <w:pPr>
        <w:pStyle w:val="NoteLevel1"/>
        <w:rPr>
          <w:rFonts w:ascii="Times" w:hAnsi="Times"/>
          <w:u w:val="single"/>
        </w:rPr>
      </w:pPr>
      <w:r w:rsidRPr="0062744F">
        <w:rPr>
          <w:rFonts w:ascii="Times" w:hAnsi="Times"/>
        </w:rPr>
        <w:t>- There is also a s.1 analysis in this case</w:t>
      </w:r>
      <w:r w:rsidR="00887E35" w:rsidRPr="0062744F">
        <w:rPr>
          <w:rFonts w:ascii="Times" w:hAnsi="Times"/>
        </w:rPr>
        <w:t xml:space="preserve"> (</w:t>
      </w:r>
      <w:r w:rsidR="00C76E4E" w:rsidRPr="0062744F">
        <w:rPr>
          <w:rFonts w:ascii="Times" w:hAnsi="Times"/>
        </w:rPr>
        <w:t xml:space="preserve">para </w:t>
      </w:r>
      <w:r w:rsidR="00887E35" w:rsidRPr="0062744F">
        <w:rPr>
          <w:rFonts w:ascii="Times" w:hAnsi="Times"/>
        </w:rPr>
        <w:t>107-121)</w:t>
      </w:r>
      <w:r w:rsidR="00D048C1" w:rsidRPr="0062744F">
        <w:rPr>
          <w:rFonts w:ascii="Times" w:hAnsi="Times"/>
        </w:rPr>
        <w:t xml:space="preserve"> **read on our own time</w:t>
      </w:r>
      <w:r w:rsidR="0062744F" w:rsidRPr="0062744F">
        <w:rPr>
          <w:rFonts w:ascii="Times" w:hAnsi="Times"/>
        </w:rPr>
        <w:t xml:space="preserve">: </w:t>
      </w:r>
    </w:p>
    <w:p w14:paraId="08BAC321" w14:textId="671D48BC" w:rsidR="00D13199" w:rsidRPr="00EF2F76" w:rsidRDefault="001B30BE" w:rsidP="00D13199">
      <w:pPr>
        <w:pStyle w:val="NoteLevel2"/>
        <w:rPr>
          <w:rFonts w:ascii="Times" w:hAnsi="Times"/>
          <w:u w:val="single"/>
        </w:rPr>
      </w:pPr>
      <w:r>
        <w:rPr>
          <w:rFonts w:ascii="Times" w:hAnsi="Times"/>
        </w:rPr>
        <w:t>[108]</w:t>
      </w:r>
      <w:r w:rsidR="00D13199">
        <w:rPr>
          <w:rFonts w:ascii="Times" w:hAnsi="Times"/>
        </w:rPr>
        <w:t xml:space="preserve"> </w:t>
      </w:r>
      <w:r w:rsidR="00095B29">
        <w:rPr>
          <w:rFonts w:ascii="Times" w:hAnsi="Times"/>
        </w:rPr>
        <w:t xml:space="preserve">First difficulty to arise under s.1 in this case is the ambiguity of the respondents’ submissions with respect to the legislative objective pursued by the challenged provisions: the first concern is to maintain the viability of the Accident Fund set up by the Act to compensate injured workers; second is the need to develop a consistent legislative response to the administrative challenges raise by the processing of chronic pain claims; third is to avoid potential fraudulent claims based on chronic pain, which would be difficult to detect under the normal compensation system, given that no objective findings are available to support chronic pain claims; </w:t>
      </w:r>
      <w:r w:rsidR="00EF2F76">
        <w:rPr>
          <w:rFonts w:ascii="Times" w:hAnsi="Times"/>
        </w:rPr>
        <w:t xml:space="preserve"> fourth &amp; last objective is to implement early medical intervention &amp; return to work as the optimal treatment for chronic pain according to current scientific knowledge</w:t>
      </w:r>
    </w:p>
    <w:p w14:paraId="6023E015" w14:textId="020FBAC9" w:rsidR="00EF2F76" w:rsidRPr="00EF2F76" w:rsidRDefault="001B30BE" w:rsidP="00D13199">
      <w:pPr>
        <w:pStyle w:val="NoteLevel2"/>
        <w:rPr>
          <w:rFonts w:ascii="Times" w:hAnsi="Times"/>
          <w:u w:val="single"/>
        </w:rPr>
      </w:pPr>
      <w:r>
        <w:rPr>
          <w:rFonts w:ascii="Times" w:hAnsi="Times"/>
        </w:rPr>
        <w:t>[109]</w:t>
      </w:r>
      <w:r w:rsidR="00EF2F76">
        <w:rPr>
          <w:rFonts w:ascii="Times" w:hAnsi="Times"/>
        </w:rPr>
        <w:t xml:space="preserve"> The first concern, maintaining the financial viability of the Accident Fund, may be dealt w/ swiftly. Budgetary considerations in and of themselves cannot normally be invoked as a free-standing pressing &amp; substantial objective under s. 1 […] Nothing establishes that the chronic pain claims in and of themselves placed sufficient strain upon the Accident Fund to threaten its viability, or that such claims significantly contributed to its present unfunded liability</w:t>
      </w:r>
    </w:p>
    <w:p w14:paraId="0A1B41F0" w14:textId="2F2DD655" w:rsidR="00EF2F76" w:rsidRPr="00741D34" w:rsidRDefault="001B30BE" w:rsidP="00D13199">
      <w:pPr>
        <w:pStyle w:val="NoteLevel2"/>
        <w:rPr>
          <w:rFonts w:ascii="Times" w:hAnsi="Times"/>
          <w:u w:val="single"/>
        </w:rPr>
      </w:pPr>
      <w:r>
        <w:rPr>
          <w:rFonts w:ascii="Times" w:hAnsi="Times"/>
        </w:rPr>
        <w:t xml:space="preserve">[110] </w:t>
      </w:r>
      <w:r w:rsidR="00ED5BF9">
        <w:rPr>
          <w:rFonts w:ascii="Times" w:hAnsi="Times"/>
        </w:rPr>
        <w:t xml:space="preserve">The second objective, developing a consistent legislative response to chronic pain claims, couldn’t stand on its own. </w:t>
      </w:r>
      <w:r w:rsidR="008143D8">
        <w:rPr>
          <w:rFonts w:ascii="Times" w:hAnsi="Times"/>
        </w:rPr>
        <w:t xml:space="preserve">Administrative expediency or conceptual elegance cannot be sufficiently pressing and substantial to override a </w:t>
      </w:r>
      <w:r w:rsidR="008143D8">
        <w:rPr>
          <w:rFonts w:ascii="Times" w:hAnsi="Times"/>
          <w:i/>
        </w:rPr>
        <w:t>Charter</w:t>
      </w:r>
      <w:r w:rsidR="008143D8">
        <w:rPr>
          <w:rFonts w:ascii="Times" w:hAnsi="Times"/>
        </w:rPr>
        <w:t xml:space="preserve"> right. This objective only becomes meaningful when examined with the third objective, avoiding fraudulent claims based on chronic pain</w:t>
      </w:r>
      <w:r w:rsidR="003300F9">
        <w:rPr>
          <w:rFonts w:ascii="Times" w:hAnsi="Times"/>
        </w:rPr>
        <w:t>. That objective is consistent with the general objective of the Act, as avoiding such claims ensures that the resources of the workers’ compensation scheme are properly directed to workers who are genuinely unable to work by reason of a work-related accident. In my view, it is clearly pressing and substantial.</w:t>
      </w:r>
    </w:p>
    <w:p w14:paraId="04DB47EB" w14:textId="75EDCB6F" w:rsidR="00741D34" w:rsidRPr="00741D34" w:rsidRDefault="001B30BE" w:rsidP="00D13199">
      <w:pPr>
        <w:pStyle w:val="NoteLevel2"/>
        <w:rPr>
          <w:rFonts w:ascii="Times" w:hAnsi="Times"/>
          <w:u w:val="single"/>
        </w:rPr>
      </w:pPr>
      <w:r>
        <w:rPr>
          <w:rFonts w:ascii="Times" w:hAnsi="Times"/>
        </w:rPr>
        <w:t>[111]</w:t>
      </w:r>
      <w:r w:rsidR="00741D34">
        <w:rPr>
          <w:rFonts w:ascii="Times" w:hAnsi="Times"/>
        </w:rPr>
        <w:t xml:space="preserve"> The challenged provisions of the Act are rationally connected to this objective. There can be no doubt that, by excluding all claims connected to the chronic pain from the purview of the Act and, in the case of workers injured after Feb 1, 1996, providing strictly limited benefits in the form of a four-week Functional Restoration Program virtually eliminate the possibility of fraudulent claims based on chronic pain for all other types of benefits </w:t>
      </w:r>
    </w:p>
    <w:p w14:paraId="374E3EAA" w14:textId="0D9EDB86" w:rsidR="00741D34" w:rsidRPr="006C5314" w:rsidRDefault="001B30BE" w:rsidP="00D13199">
      <w:pPr>
        <w:pStyle w:val="NoteLevel2"/>
        <w:rPr>
          <w:rFonts w:ascii="Times" w:hAnsi="Times"/>
          <w:u w:val="single"/>
        </w:rPr>
      </w:pPr>
      <w:r>
        <w:rPr>
          <w:rFonts w:ascii="Times" w:hAnsi="Times"/>
        </w:rPr>
        <w:t>[112]</w:t>
      </w:r>
      <w:r w:rsidR="00723899">
        <w:rPr>
          <w:rFonts w:ascii="Times" w:hAnsi="Times"/>
        </w:rPr>
        <w:t xml:space="preserve"> The same reasoning makes it patently obvious that the challenged provisions don’t minimally impair the equality rights of chronic pain sufferers</w:t>
      </w:r>
      <w:r w:rsidR="00477582">
        <w:rPr>
          <w:rFonts w:ascii="Times" w:hAnsi="Times"/>
        </w:rPr>
        <w:t>. Tempting to say that they solve the potential problem of fraudulent claims by preemptively deeming all chronic pain claims to be fraudulent. Despite the fact that chronic pain may become sufficiently severe to produce genuine and long-lasting incapacity to work, the provisions make no effort whatsoever to determine who is genuinely unable to work</w:t>
      </w:r>
      <w:r w:rsidR="006C5314">
        <w:rPr>
          <w:rFonts w:ascii="Times" w:hAnsi="Times"/>
        </w:rPr>
        <w:t xml:space="preserve"> and who is abusing the system. […] Even a brief examination of the possible alternatives, including chronic pain regimes adopted in other provinces, clearly reveals that the wholesale exclusion of chronic pain cannot conceivably be considered a minimum impairment of the rights of injured workers suffering from this disability</w:t>
      </w:r>
    </w:p>
    <w:p w14:paraId="4E2E797D" w14:textId="74220888" w:rsidR="006C5314" w:rsidRPr="009041F3" w:rsidRDefault="001B30BE" w:rsidP="00D13199">
      <w:pPr>
        <w:pStyle w:val="NoteLevel2"/>
        <w:rPr>
          <w:rFonts w:ascii="Times" w:hAnsi="Times"/>
          <w:u w:val="single"/>
        </w:rPr>
      </w:pPr>
      <w:r>
        <w:rPr>
          <w:rFonts w:ascii="Times" w:hAnsi="Times"/>
        </w:rPr>
        <w:t>[</w:t>
      </w:r>
      <w:r w:rsidR="00005D56">
        <w:rPr>
          <w:rFonts w:ascii="Times" w:hAnsi="Times"/>
        </w:rPr>
        <w:t>11</w:t>
      </w:r>
      <w:r>
        <w:rPr>
          <w:rFonts w:ascii="Times" w:hAnsi="Times"/>
        </w:rPr>
        <w:t>3]</w:t>
      </w:r>
      <w:r w:rsidR="00005D56">
        <w:rPr>
          <w:rFonts w:ascii="Times" w:hAnsi="Times"/>
        </w:rPr>
        <w:t xml:space="preserve"> Even recognizing the Nova Scotia legislature’s constitutional entitlement to select from a range of acceptable policy options, it is impossible to conclude that the blanket exclusion it enacted was necessary to achieve a principled response to chronic pain and avoid fraudulent claims. (Other provinces provide compensation for chronic pain/</w:t>
      </w:r>
      <w:r w:rsidR="009041F3">
        <w:rPr>
          <w:rFonts w:ascii="Times" w:hAnsi="Times"/>
        </w:rPr>
        <w:t xml:space="preserve">scientific evidence concludes that there is no basis to limit benefits for chronic pain) </w:t>
      </w:r>
    </w:p>
    <w:p w14:paraId="38AD8708" w14:textId="631EA9F2" w:rsidR="009041F3" w:rsidRPr="009041F3" w:rsidRDefault="009041F3" w:rsidP="00D13199">
      <w:pPr>
        <w:pStyle w:val="NoteLevel2"/>
        <w:rPr>
          <w:rFonts w:ascii="Times" w:hAnsi="Times"/>
          <w:u w:val="single"/>
        </w:rPr>
      </w:pPr>
      <w:r>
        <w:rPr>
          <w:rFonts w:ascii="Times" w:hAnsi="Times"/>
        </w:rPr>
        <w:t>[114] Since I conclude that the challenged provisions can’t survive the third stage of the Oakes test on the basis of this objective, it’s unnecessary to consider the general proportionality stage</w:t>
      </w:r>
    </w:p>
    <w:p w14:paraId="4BA71007" w14:textId="24CB0DA2" w:rsidR="009041F3" w:rsidRPr="005C41F8" w:rsidRDefault="005C41F8" w:rsidP="00D13199">
      <w:pPr>
        <w:pStyle w:val="NoteLevel2"/>
        <w:rPr>
          <w:rFonts w:ascii="Times" w:hAnsi="Times"/>
          <w:u w:val="single"/>
        </w:rPr>
      </w:pPr>
      <w:r>
        <w:rPr>
          <w:rFonts w:ascii="Times" w:hAnsi="Times"/>
        </w:rPr>
        <w:t>[115] In my view, when a legislative provision that draws a distinction based on disability is found not to correspond to the needs and circumstances of the claimants to such a degree that it demeans their essential human dignity, the government will face a steep evidentiary burden if it chooses to allege that the provision is rationally connected to the objective of providing the best available treatment to such claimants</w:t>
      </w:r>
    </w:p>
    <w:p w14:paraId="79694F72" w14:textId="4ACCA206" w:rsidR="005C41F8" w:rsidRPr="00FF4ADE" w:rsidRDefault="005C41F8" w:rsidP="00D13199">
      <w:pPr>
        <w:pStyle w:val="NoteLevel2"/>
        <w:rPr>
          <w:rFonts w:ascii="Times" w:hAnsi="Times"/>
          <w:u w:val="single"/>
        </w:rPr>
      </w:pPr>
      <w:r>
        <w:rPr>
          <w:rFonts w:ascii="Times" w:hAnsi="Times"/>
        </w:rPr>
        <w:t xml:space="preserve">[116] </w:t>
      </w:r>
      <w:r w:rsidR="00FF4ADE">
        <w:rPr>
          <w:rFonts w:ascii="Times" w:hAnsi="Times"/>
        </w:rPr>
        <w:t>That being said, assuming without deciding the point, that the objective of early return to work is pressing &amp; substantial and that the challenged provisions are rationally connected to it, I’m of the view that they fail the minimum impairment and general proportionality tests. […] No evidence indicates that an automatic cut-off of benefits regardless of the individual needs and circumstances is necessary to achieve the state goal. This is particularly true with respect to ameliorative benefits which would actually facilitate return to work, such as vocational rehabilitation, medial aid and the rights to re-employment and accommodation. It can’t be seriously countenanced that the challenged measures are minimally impairing of s.15(1) right. Moreover, as discussed above, the legislation deprives workers whose chronic pain does not improve as a result of early medical intervention and return to work from receiving any benefits beyond the four-week program. Others are not even admissible to this program because of the date of their injuries. The deleterious effects of the challenged provisions on these workers clearly outweigh their potential beneficial effects</w:t>
      </w:r>
    </w:p>
    <w:p w14:paraId="0CC709B8" w14:textId="1228B20F" w:rsidR="00FF4ADE" w:rsidRPr="00E36F3C" w:rsidRDefault="00FF4ADE" w:rsidP="00D13199">
      <w:pPr>
        <w:pStyle w:val="NoteLevel2"/>
        <w:rPr>
          <w:rFonts w:ascii="Times" w:hAnsi="Times"/>
          <w:u w:val="single"/>
        </w:rPr>
      </w:pPr>
      <w:r>
        <w:rPr>
          <w:rFonts w:ascii="Times" w:hAnsi="Times"/>
        </w:rPr>
        <w:t xml:space="preserve">[117] I conclude that the challenged provisions aren’t reasonably justified under s.1 of the </w:t>
      </w:r>
      <w:r>
        <w:rPr>
          <w:rFonts w:ascii="Times" w:hAnsi="Times"/>
          <w:i/>
        </w:rPr>
        <w:t>Charter</w:t>
      </w:r>
      <w:r>
        <w:rPr>
          <w:rFonts w:ascii="Times" w:hAnsi="Times"/>
        </w:rPr>
        <w:t xml:space="preserve"> </w:t>
      </w:r>
    </w:p>
    <w:p w14:paraId="29EFEB56" w14:textId="77777777" w:rsidR="00E36F3C" w:rsidRPr="0062744F" w:rsidRDefault="00E36F3C" w:rsidP="0012207E">
      <w:pPr>
        <w:pStyle w:val="NoteLevel1"/>
        <w:rPr>
          <w:rFonts w:ascii="Times" w:hAnsi="Times"/>
          <w:u w:val="single"/>
        </w:rPr>
      </w:pPr>
    </w:p>
    <w:p w14:paraId="1F1F57AA" w14:textId="77777777" w:rsidR="0062744F" w:rsidRPr="0062744F" w:rsidRDefault="0062744F" w:rsidP="0062744F">
      <w:pPr>
        <w:pStyle w:val="NoteLevel1"/>
        <w:rPr>
          <w:rFonts w:ascii="Times" w:hAnsi="Times"/>
          <w:highlight w:val="cyan"/>
          <w:u w:val="single"/>
        </w:rPr>
      </w:pPr>
    </w:p>
    <w:p w14:paraId="5103B38F" w14:textId="26163CC1" w:rsidR="004552B9" w:rsidRPr="00A42555" w:rsidRDefault="004F6DBA" w:rsidP="00D324DE">
      <w:pPr>
        <w:pStyle w:val="NoteLevel1"/>
        <w:rPr>
          <w:rFonts w:ascii="Times" w:hAnsi="Times"/>
          <w:u w:val="single"/>
        </w:rPr>
      </w:pPr>
      <w:r>
        <w:rPr>
          <w:rFonts w:ascii="Times" w:hAnsi="Times"/>
        </w:rPr>
        <w:t>*</w:t>
      </w:r>
      <w:r w:rsidR="004552B9">
        <w:rPr>
          <w:rFonts w:ascii="Times" w:hAnsi="Times"/>
        </w:rPr>
        <w:t xml:space="preserve"> In cases where there is nobody to compare the claimant with, the Court will stop right at the beginning</w:t>
      </w:r>
      <w:r>
        <w:rPr>
          <w:rFonts w:ascii="Times" w:hAnsi="Times"/>
        </w:rPr>
        <w:t xml:space="preserve">—this happens in Auton and Hodge </w:t>
      </w:r>
    </w:p>
    <w:p w14:paraId="5B4BB4B0" w14:textId="41A400CA" w:rsidR="00A42555" w:rsidRPr="00585202" w:rsidRDefault="00585202" w:rsidP="00D324DE">
      <w:pPr>
        <w:pStyle w:val="NoteLevel1"/>
        <w:rPr>
          <w:rFonts w:ascii="Times" w:hAnsi="Times"/>
          <w:u w:val="single"/>
        </w:rPr>
      </w:pPr>
      <w:r>
        <w:rPr>
          <w:rFonts w:ascii="Times" w:hAnsi="Times"/>
        </w:rPr>
        <w:t xml:space="preserve">- As we saw in Martin, a good comparison can make or break your case </w:t>
      </w:r>
    </w:p>
    <w:p w14:paraId="07CF956C" w14:textId="1CB5D6CD" w:rsidR="00585202" w:rsidRPr="00F8490F" w:rsidRDefault="00F8490F" w:rsidP="00D324DE">
      <w:pPr>
        <w:pStyle w:val="NoteLevel1"/>
        <w:rPr>
          <w:rFonts w:ascii="Times" w:hAnsi="Times"/>
          <w:u w:val="single"/>
        </w:rPr>
      </w:pPr>
      <w:r>
        <w:rPr>
          <w:rFonts w:ascii="Times" w:hAnsi="Times"/>
        </w:rPr>
        <w:t>-</w:t>
      </w:r>
      <w:r w:rsidR="00501AF3">
        <w:rPr>
          <w:rFonts w:ascii="Times" w:hAnsi="Times"/>
        </w:rPr>
        <w:t xml:space="preserve"> Four Contextual Factors As Applied in this </w:t>
      </w:r>
      <w:r>
        <w:rPr>
          <w:rFonts w:ascii="Times" w:hAnsi="Times"/>
        </w:rPr>
        <w:t>Case</w:t>
      </w:r>
      <w:r w:rsidR="00887E35">
        <w:rPr>
          <w:rFonts w:ascii="Times" w:hAnsi="Times"/>
        </w:rPr>
        <w:t xml:space="preserve"> </w:t>
      </w:r>
      <w:r w:rsidR="00887E35" w:rsidRPr="0062744F">
        <w:rPr>
          <w:rFonts w:ascii="Times" w:hAnsi="Times"/>
        </w:rPr>
        <w:t>(begin at para 86-106)</w:t>
      </w:r>
      <w:r w:rsidRPr="0062744F">
        <w:rPr>
          <w:rFonts w:ascii="Times" w:hAnsi="Times"/>
        </w:rPr>
        <w:t>:</w:t>
      </w:r>
    </w:p>
    <w:p w14:paraId="7B8668E2" w14:textId="6F55A49F" w:rsidR="00F8490F" w:rsidRPr="00A75AC2" w:rsidRDefault="000E3F47" w:rsidP="00F8490F">
      <w:pPr>
        <w:pStyle w:val="NoteLevel2"/>
        <w:rPr>
          <w:rFonts w:ascii="Times" w:hAnsi="Times"/>
          <w:u w:val="single"/>
        </w:rPr>
      </w:pPr>
      <w:r>
        <w:rPr>
          <w:rFonts w:ascii="Times" w:hAnsi="Times"/>
        </w:rPr>
        <w:t xml:space="preserve">Pre-Existing Disadvantage: you don’t have to look at the most disadvantaged group—“this enquiry does not direct the appellants and respondents to a ‘race to the bottom’ i.e., the claimants are not required to establish that they are more disadvantaged than the comparator group”—in this case chronic pain suffers vs. non-chronic pain sufferers who are still disabled </w:t>
      </w:r>
    </w:p>
    <w:p w14:paraId="36298E8B" w14:textId="1BEC75F1" w:rsidR="00952838" w:rsidRPr="00536D0F" w:rsidRDefault="00AE3DCD" w:rsidP="00536D0F">
      <w:pPr>
        <w:pStyle w:val="NoteLevel2"/>
        <w:rPr>
          <w:rFonts w:ascii="Times" w:hAnsi="Times"/>
          <w:u w:val="single"/>
        </w:rPr>
      </w:pPr>
      <w:r>
        <w:rPr>
          <w:rFonts w:ascii="Times" w:hAnsi="Times"/>
        </w:rPr>
        <w:t>Correspondence with the Needs, Cap</w:t>
      </w:r>
      <w:r w:rsidR="00611735">
        <w:rPr>
          <w:rFonts w:ascii="Times" w:hAnsi="Times"/>
        </w:rPr>
        <w:t xml:space="preserve">acities, and Circumstances of the Claimant: </w:t>
      </w:r>
      <w:r>
        <w:rPr>
          <w:rFonts w:ascii="Times" w:hAnsi="Times"/>
        </w:rPr>
        <w:t xml:space="preserve"> </w:t>
      </w:r>
      <w:r w:rsidR="00611735">
        <w:rPr>
          <w:rFonts w:ascii="Times" w:hAnsi="Times"/>
        </w:rPr>
        <w:t>“</w:t>
      </w:r>
      <w:r>
        <w:rPr>
          <w:rFonts w:ascii="Times" w:hAnsi="Times"/>
        </w:rPr>
        <w:t>vital to keep in mind the rationale underlying the prohibition of discrimination based on disability</w:t>
      </w:r>
      <w:r w:rsidR="00611735">
        <w:rPr>
          <w:rFonts w:ascii="Times" w:hAnsi="Times"/>
        </w:rPr>
        <w:t xml:space="preserve">” </w:t>
      </w:r>
      <w:r w:rsidR="004A66AA">
        <w:rPr>
          <w:rFonts w:ascii="Times" w:hAnsi="Times"/>
        </w:rPr>
        <w:t xml:space="preserve"> (para 92) </w:t>
      </w:r>
    </w:p>
    <w:p w14:paraId="59755ACB" w14:textId="3D2DEFDA" w:rsidR="00536D0F" w:rsidRPr="0062365C" w:rsidRDefault="00FE75B6" w:rsidP="00536D0F">
      <w:pPr>
        <w:pStyle w:val="NoteLevel2"/>
        <w:rPr>
          <w:rFonts w:ascii="Times" w:hAnsi="Times"/>
          <w:u w:val="single"/>
        </w:rPr>
      </w:pPr>
      <w:r>
        <w:rPr>
          <w:rFonts w:ascii="Times" w:hAnsi="Times"/>
        </w:rPr>
        <w:t>Ameliorative</w:t>
      </w:r>
      <w:r w:rsidR="00536D0F">
        <w:rPr>
          <w:rFonts w:ascii="Times" w:hAnsi="Times"/>
        </w:rPr>
        <w:t xml:space="preserve"> Purpose (para 102): </w:t>
      </w:r>
      <w:r w:rsidR="00366AAB">
        <w:rPr>
          <w:rFonts w:ascii="Times" w:hAnsi="Times"/>
        </w:rPr>
        <w:t>--because of Kapp, we know that we’re not looking at the ameliorative purpose unless it’s a 15(2) case</w:t>
      </w:r>
      <w:r w:rsidR="00020CAA">
        <w:rPr>
          <w:rFonts w:ascii="Times" w:hAnsi="Times"/>
        </w:rPr>
        <w:t>—but we’re looking at the effect; “while some individuals in the comparator group—injured workers without chronic pain—may be more severely disabled than the appellants, there is no evidence that the comparator group as a class is in a more disadvantaged position than the group of injured workers suffering from chronic pain”</w:t>
      </w:r>
      <w:r w:rsidR="002B4544">
        <w:rPr>
          <w:rFonts w:ascii="Times" w:hAnsi="Times"/>
        </w:rPr>
        <w:t xml:space="preserve">—“As such, there is no ameliorative purpose upon which the respondents can rely.” </w:t>
      </w:r>
    </w:p>
    <w:p w14:paraId="21982526" w14:textId="1F339C86" w:rsidR="0062365C" w:rsidRPr="009B11C4" w:rsidRDefault="00D22E58" w:rsidP="00536D0F">
      <w:pPr>
        <w:pStyle w:val="NoteLevel2"/>
        <w:rPr>
          <w:rFonts w:ascii="Times" w:hAnsi="Times"/>
          <w:u w:val="single"/>
        </w:rPr>
      </w:pPr>
      <w:r>
        <w:rPr>
          <w:rFonts w:ascii="Times" w:hAnsi="Times"/>
        </w:rPr>
        <w:t xml:space="preserve">Nature of the Interest Affected (para 104): </w:t>
      </w:r>
      <w:r w:rsidR="00316180">
        <w:rPr>
          <w:rFonts w:ascii="Times" w:hAnsi="Times"/>
        </w:rPr>
        <w:t xml:space="preserve">“given the circumstances of injured workers, particularly those who may be permanently </w:t>
      </w:r>
      <w:r w:rsidR="006567D2">
        <w:rPr>
          <w:rFonts w:ascii="Times" w:hAnsi="Times"/>
        </w:rPr>
        <w:t>impaired</w:t>
      </w:r>
      <w:r w:rsidR="00316180">
        <w:rPr>
          <w:rFonts w:ascii="Times" w:hAnsi="Times"/>
        </w:rPr>
        <w:t xml:space="preserve"> by chronic pain and have no source of support other than the provincial compensation scheme, it cannot be said that the loss of financial benefits here is a trivial matter. More importantly, I cannot agree that the interest affected by the chronic pain provisions in purely, or even primarily, economic. Beyond the financial benefits at stake, injured workers suffering from chronic pain are also denied an opportunity to access the compensation scheme available to other injured workers in the province, on the basis of the nature of their disability.</w:t>
      </w:r>
      <w:r w:rsidR="00D007EA">
        <w:rPr>
          <w:rFonts w:ascii="Times" w:hAnsi="Times"/>
        </w:rPr>
        <w:t xml:space="preserve"> They are also deprived of ameliorative benefits such as vocational rehabilitation services, medial aid and a right to accommodation, which would clearly assist them in preserving and improving their dignity by returning to work when possible.” </w:t>
      </w:r>
    </w:p>
    <w:p w14:paraId="2E5CDF30" w14:textId="3F9837EC" w:rsidR="009B11C4" w:rsidRPr="00D048C1" w:rsidRDefault="00D048C1" w:rsidP="00536D0F">
      <w:pPr>
        <w:pStyle w:val="NoteLevel2"/>
        <w:rPr>
          <w:rFonts w:ascii="Times" w:hAnsi="Times"/>
          <w:u w:val="single"/>
        </w:rPr>
      </w:pPr>
      <w:r>
        <w:rPr>
          <w:rFonts w:ascii="Times" w:hAnsi="Times"/>
        </w:rPr>
        <w:t xml:space="preserve">Chronic pain sufferers are thus deprived of recognition of the reality of their pain and impairment, as well as of a chance to establish their eligibility for benefits on an equal footing with others. This message clearly indicates that, in the Nova Scotia legislature’s eyes, chronic pain sufferers are not equally valued as members of Canadian society. </w:t>
      </w:r>
    </w:p>
    <w:p w14:paraId="2E34EDEC" w14:textId="77777777" w:rsidR="00D048C1" w:rsidRDefault="00D048C1" w:rsidP="0043240B">
      <w:pPr>
        <w:pStyle w:val="NoteLevel1"/>
        <w:rPr>
          <w:rFonts w:ascii="Times" w:hAnsi="Times"/>
          <w:u w:val="single"/>
        </w:rPr>
      </w:pPr>
    </w:p>
    <w:p w14:paraId="6424CDD3" w14:textId="2DA74AC8" w:rsidR="0043240B" w:rsidRPr="004B66B5" w:rsidRDefault="006B1A3B" w:rsidP="0043240B">
      <w:pPr>
        <w:pStyle w:val="NoteLevel1"/>
        <w:rPr>
          <w:rFonts w:ascii="Times" w:hAnsi="Times"/>
          <w:i/>
          <w:u w:val="single"/>
        </w:rPr>
      </w:pPr>
      <w:r w:rsidRPr="004B66B5">
        <w:rPr>
          <w:rFonts w:ascii="Times" w:hAnsi="Times"/>
          <w:i/>
          <w:u w:val="single"/>
        </w:rPr>
        <w:t xml:space="preserve">Hodge v. Canada (Minister </w:t>
      </w:r>
      <w:r w:rsidR="007F6AFD">
        <w:rPr>
          <w:rFonts w:ascii="Times" w:hAnsi="Times"/>
          <w:i/>
          <w:u w:val="single"/>
        </w:rPr>
        <w:t>of Human Resources Development)</w:t>
      </w:r>
      <w:r w:rsidR="007F6AFD">
        <w:rPr>
          <w:rFonts w:ascii="Times" w:hAnsi="Times"/>
          <w:u w:val="single"/>
        </w:rPr>
        <w:t xml:space="preserve"> [2004] 3 S.C.R 357 </w:t>
      </w:r>
    </w:p>
    <w:p w14:paraId="7FD2B2EE" w14:textId="39E9EF55" w:rsidR="00654C9E" w:rsidRPr="000B3773" w:rsidRDefault="00BF1BB9" w:rsidP="008A3CA6">
      <w:pPr>
        <w:pStyle w:val="NoteLevel1"/>
        <w:rPr>
          <w:rFonts w:ascii="Times" w:hAnsi="Times"/>
          <w:i/>
          <w:u w:val="single"/>
        </w:rPr>
      </w:pPr>
      <w:r>
        <w:rPr>
          <w:rFonts w:ascii="Times" w:hAnsi="Times"/>
        </w:rPr>
        <w:t xml:space="preserve">- </w:t>
      </w:r>
      <w:r w:rsidR="00654C9E">
        <w:rPr>
          <w:rFonts w:ascii="Times" w:hAnsi="Times"/>
        </w:rPr>
        <w:t>5 years after Nancy Law</w:t>
      </w:r>
      <w:r w:rsidR="008A3CA6">
        <w:rPr>
          <w:rFonts w:ascii="Times" w:hAnsi="Times"/>
        </w:rPr>
        <w:t>, but in this case, Hodge was not in a common-law relationship at the time of the contributor’s death</w:t>
      </w:r>
      <w:r w:rsidR="000B3773">
        <w:rPr>
          <w:rFonts w:ascii="Times" w:hAnsi="Times"/>
        </w:rPr>
        <w:t>—so the CPP determined that there was no amount to be paid</w:t>
      </w:r>
    </w:p>
    <w:p w14:paraId="2893672D" w14:textId="71BD7000" w:rsidR="000B3773" w:rsidRPr="00B96BDC" w:rsidRDefault="000B3773" w:rsidP="000B3773">
      <w:pPr>
        <w:pStyle w:val="NoteLevel2"/>
        <w:rPr>
          <w:rFonts w:ascii="Times" w:hAnsi="Times"/>
          <w:i/>
          <w:u w:val="single"/>
        </w:rPr>
      </w:pPr>
      <w:r>
        <w:rPr>
          <w:rFonts w:ascii="Times" w:hAnsi="Times"/>
        </w:rPr>
        <w:t xml:space="preserve">If she was married and then divorced she would also not get a pension; if </w:t>
      </w:r>
      <w:r w:rsidRPr="000B3773">
        <w:rPr>
          <w:rFonts w:ascii="Times" w:hAnsi="Times"/>
        </w:rPr>
        <w:t>she was married and separated she would’ve gotten a pension</w:t>
      </w:r>
    </w:p>
    <w:p w14:paraId="33909A26" w14:textId="3A9E7DBC" w:rsidR="00B96BDC" w:rsidRPr="00B27E33" w:rsidRDefault="00FA403B" w:rsidP="000B3773">
      <w:pPr>
        <w:pStyle w:val="NoteLevel2"/>
        <w:rPr>
          <w:rFonts w:ascii="Times" w:hAnsi="Times"/>
          <w:i/>
          <w:u w:val="single"/>
        </w:rPr>
      </w:pPr>
      <w:r>
        <w:rPr>
          <w:rFonts w:ascii="Times" w:hAnsi="Times"/>
        </w:rPr>
        <w:t xml:space="preserve">“The claim at the separated married spouse may be displaced by that of a common law spouse who is cohabitating with the contributor at the time of the latter’s death and had been doing so for the prior year.” </w:t>
      </w:r>
    </w:p>
    <w:p w14:paraId="4F8FF6DE" w14:textId="3708767C" w:rsidR="00B27E33" w:rsidRPr="009A47A5" w:rsidRDefault="00B27E33" w:rsidP="000B3773">
      <w:pPr>
        <w:pStyle w:val="NoteLevel2"/>
        <w:rPr>
          <w:rFonts w:ascii="Times" w:hAnsi="Times"/>
          <w:i/>
          <w:u w:val="single"/>
        </w:rPr>
      </w:pPr>
      <w:r>
        <w:rPr>
          <w:rFonts w:ascii="Times" w:hAnsi="Times"/>
        </w:rPr>
        <w:t>She compared herself with separated spouses who still receive benefits</w:t>
      </w:r>
      <w:r w:rsidR="000736A0">
        <w:rPr>
          <w:rFonts w:ascii="Times" w:hAnsi="Times"/>
        </w:rPr>
        <w:t>—which the Court of Appeal agreed with “The court agreed with the respondent…”</w:t>
      </w:r>
    </w:p>
    <w:p w14:paraId="49AF0EC7" w14:textId="11764C80" w:rsidR="009A47A5" w:rsidRPr="00A81C22" w:rsidRDefault="00A81C22" w:rsidP="000B3773">
      <w:pPr>
        <w:pStyle w:val="NoteLevel2"/>
        <w:rPr>
          <w:rFonts w:ascii="Times" w:hAnsi="Times"/>
          <w:i/>
          <w:u w:val="single"/>
        </w:rPr>
      </w:pPr>
      <w:r>
        <w:rPr>
          <w:rFonts w:ascii="Times" w:hAnsi="Times"/>
        </w:rPr>
        <w:t xml:space="preserve">Appeal Court found discrimination but the SCC reversed that </w:t>
      </w:r>
    </w:p>
    <w:p w14:paraId="684746DC" w14:textId="279CEEF2" w:rsidR="00A81C22" w:rsidRPr="000736A0" w:rsidRDefault="00F96DB8" w:rsidP="000B3773">
      <w:pPr>
        <w:pStyle w:val="NoteLevel2"/>
        <w:rPr>
          <w:rFonts w:ascii="Times" w:hAnsi="Times"/>
          <w:i/>
          <w:u w:val="single"/>
        </w:rPr>
      </w:pPr>
      <w:r>
        <w:rPr>
          <w:rFonts w:ascii="Times" w:hAnsi="Times"/>
        </w:rPr>
        <w:t xml:space="preserve">Three stages to establish a breach of s.15: 1) differential treatment 2) on the basis of an enumerated or analogous grounds 3) which conflicts with the purpose of s.15 </w:t>
      </w:r>
    </w:p>
    <w:p w14:paraId="4B5FEF42" w14:textId="793972BA" w:rsidR="000736A0" w:rsidRPr="000736A0" w:rsidRDefault="000736A0" w:rsidP="000B3773">
      <w:pPr>
        <w:pStyle w:val="NoteLevel2"/>
        <w:rPr>
          <w:rFonts w:ascii="Times" w:hAnsi="Times"/>
          <w:i/>
          <w:u w:val="single"/>
        </w:rPr>
      </w:pPr>
      <w:r>
        <w:rPr>
          <w:rFonts w:ascii="Times" w:hAnsi="Times"/>
        </w:rPr>
        <w:t xml:space="preserve">“The outcome of s.15 cannot be skewed by a claimant attempting to associated himself or herself with a group whose relevant characteristics don’t reflect the claimant’s actual circumstances, or by targeting the benefits of a group whose relevant characteristics are simply not comparable” </w:t>
      </w:r>
      <w:r w:rsidRPr="000736A0">
        <w:rPr>
          <w:rFonts w:ascii="Times" w:hAnsi="Times"/>
        </w:rPr>
        <w:sym w:font="Wingdings" w:char="F0E0"/>
      </w:r>
      <w:r>
        <w:rPr>
          <w:rFonts w:ascii="Times" w:hAnsi="Times"/>
        </w:rPr>
        <w:t xml:space="preserve"> comparing with single people </w:t>
      </w:r>
    </w:p>
    <w:p w14:paraId="77BC96B9" w14:textId="77777777" w:rsidR="007E3FD8" w:rsidRPr="007E3FD8" w:rsidRDefault="000736A0" w:rsidP="007E3FD8">
      <w:pPr>
        <w:pStyle w:val="NoteLevel2"/>
        <w:rPr>
          <w:rFonts w:ascii="Times" w:hAnsi="Times"/>
          <w:i/>
          <w:u w:val="single"/>
        </w:rPr>
      </w:pPr>
      <w:r>
        <w:rPr>
          <w:rFonts w:ascii="Times" w:hAnsi="Times"/>
        </w:rPr>
        <w:t>Para 21-23</w:t>
      </w:r>
      <w:r w:rsidR="00AA6885">
        <w:rPr>
          <w:rFonts w:ascii="Times" w:hAnsi="Times"/>
        </w:rPr>
        <w:t xml:space="preserve">, </w:t>
      </w:r>
    </w:p>
    <w:p w14:paraId="0352EA75" w14:textId="7DEB182B" w:rsidR="00AA6885" w:rsidRPr="007E3FD8" w:rsidRDefault="007E3FD8" w:rsidP="007E3FD8">
      <w:pPr>
        <w:pStyle w:val="NoteLevel2"/>
        <w:rPr>
          <w:rFonts w:ascii="Times" w:hAnsi="Times"/>
          <w:i/>
          <w:u w:val="single"/>
        </w:rPr>
      </w:pPr>
      <w:r>
        <w:rPr>
          <w:rFonts w:ascii="Times" w:hAnsi="Times"/>
        </w:rPr>
        <w:t xml:space="preserve">Para </w:t>
      </w:r>
      <w:r w:rsidR="00AA6885">
        <w:rPr>
          <w:rFonts w:ascii="Times" w:hAnsi="Times"/>
        </w:rPr>
        <w:t>2</w:t>
      </w:r>
      <w:r w:rsidR="00AA6885" w:rsidRPr="007E3FD8">
        <w:rPr>
          <w:rFonts w:ascii="Times" w:hAnsi="Times"/>
        </w:rPr>
        <w:t xml:space="preserve">5-26 (mirror comparator) </w:t>
      </w:r>
      <w:r>
        <w:rPr>
          <w:rFonts w:ascii="Times" w:hAnsi="Times"/>
        </w:rPr>
        <w:t>“The universe of people potentially entitled to equal treatment in relation to the subject matter of the claim must be identified. I use the phrase “potentially entitled” because the legislative definition, being the subject matter of the quality rights challenge, is not the last word. Otherwise, a survivor’s pension restricted to white protestant males could be defended on the ground that all surviving white protestant males were being treated equally…”</w:t>
      </w:r>
    </w:p>
    <w:p w14:paraId="3F0B1358" w14:textId="2B2005E7" w:rsidR="007E3FD8" w:rsidRPr="00192C06" w:rsidRDefault="007E3FD8" w:rsidP="007E3FD8">
      <w:pPr>
        <w:pStyle w:val="NoteLevel2"/>
        <w:rPr>
          <w:rFonts w:ascii="Times" w:hAnsi="Times"/>
          <w:i/>
          <w:u w:val="single"/>
        </w:rPr>
      </w:pPr>
      <w:r>
        <w:rPr>
          <w:rFonts w:ascii="Times" w:hAnsi="Times"/>
        </w:rPr>
        <w:t>Para 38</w:t>
      </w:r>
      <w:r w:rsidR="00F41C9C">
        <w:rPr>
          <w:rFonts w:ascii="Times" w:hAnsi="Times"/>
        </w:rPr>
        <w:t>-39</w:t>
      </w:r>
    </w:p>
    <w:p w14:paraId="2C7E3403" w14:textId="4B21E1AC" w:rsidR="00192C06" w:rsidRPr="00192C06" w:rsidRDefault="00192C06" w:rsidP="007E3FD8">
      <w:pPr>
        <w:pStyle w:val="NoteLevel2"/>
        <w:rPr>
          <w:rFonts w:ascii="Times" w:hAnsi="Times"/>
          <w:i/>
          <w:u w:val="single"/>
        </w:rPr>
      </w:pPr>
      <w:r>
        <w:rPr>
          <w:rFonts w:ascii="Times" w:hAnsi="Times"/>
        </w:rPr>
        <w:t xml:space="preserve">This case ends on the note that there is no differential treatment </w:t>
      </w:r>
    </w:p>
    <w:p w14:paraId="009E11EA" w14:textId="77777777" w:rsidR="00192C06" w:rsidRDefault="00192C06" w:rsidP="00192C06">
      <w:pPr>
        <w:pStyle w:val="NoteLevel1"/>
        <w:rPr>
          <w:rFonts w:ascii="Times" w:hAnsi="Times"/>
          <w:i/>
          <w:u w:val="single"/>
        </w:rPr>
      </w:pPr>
    </w:p>
    <w:p w14:paraId="6DDB6F01" w14:textId="3E757114" w:rsidR="00192C06" w:rsidRPr="0094016C" w:rsidRDefault="00192C06" w:rsidP="00192C06">
      <w:pPr>
        <w:pStyle w:val="NoteLevel1"/>
        <w:rPr>
          <w:rFonts w:ascii="Times" w:hAnsi="Times"/>
          <w:i/>
          <w:u w:val="single"/>
        </w:rPr>
      </w:pPr>
      <w:r>
        <w:rPr>
          <w:rFonts w:ascii="Times" w:hAnsi="Times"/>
          <w:i/>
          <w:u w:val="single"/>
        </w:rPr>
        <w:t xml:space="preserve">Auton (Guardian ad Litem of) v. British Columbia </w:t>
      </w:r>
      <w:r w:rsidR="009D1414">
        <w:rPr>
          <w:rFonts w:ascii="Times" w:hAnsi="Times"/>
          <w:i/>
          <w:u w:val="single"/>
        </w:rPr>
        <w:t xml:space="preserve">(Attorney General), </w:t>
      </w:r>
      <w:r w:rsidR="009D1414">
        <w:rPr>
          <w:rFonts w:ascii="Times" w:hAnsi="Times"/>
          <w:u w:val="single"/>
        </w:rPr>
        <w:t xml:space="preserve">[2004] 3 S.C.R. 657 </w:t>
      </w:r>
    </w:p>
    <w:p w14:paraId="39E70DD2" w14:textId="7D1EAAB6" w:rsidR="0094016C" w:rsidRPr="00275F46" w:rsidRDefault="004331F1" w:rsidP="00192C06">
      <w:pPr>
        <w:pStyle w:val="NoteLevel1"/>
        <w:rPr>
          <w:rFonts w:ascii="Times" w:hAnsi="Times"/>
          <w:i/>
          <w:u w:val="single"/>
        </w:rPr>
      </w:pPr>
      <w:r>
        <w:rPr>
          <w:rFonts w:ascii="Times" w:hAnsi="Times"/>
        </w:rPr>
        <w:t xml:space="preserve">- Petitioners are autistic children and their parents—Auton is a child </w:t>
      </w:r>
      <w:r w:rsidR="006B551B">
        <w:rPr>
          <w:rFonts w:ascii="Times" w:hAnsi="Times"/>
        </w:rPr>
        <w:t xml:space="preserve"> </w:t>
      </w:r>
    </w:p>
    <w:p w14:paraId="54EA7266" w14:textId="749E0504" w:rsidR="00275F46" w:rsidRPr="007E3FD8" w:rsidRDefault="00D8761A" w:rsidP="00192C06">
      <w:pPr>
        <w:pStyle w:val="NoteLevel1"/>
        <w:rPr>
          <w:rFonts w:ascii="Times" w:hAnsi="Times"/>
          <w:i/>
          <w:u w:val="single"/>
        </w:rPr>
      </w:pPr>
      <w:r>
        <w:rPr>
          <w:rFonts w:ascii="Times" w:hAnsi="Times"/>
        </w:rPr>
        <w:t xml:space="preserve">- </w:t>
      </w:r>
      <w:r w:rsidR="00BB48C9">
        <w:rPr>
          <w:rFonts w:ascii="Times" w:hAnsi="Times"/>
        </w:rPr>
        <w:t xml:space="preserve">Autism case in which parents of autistic children wanted the gov’t of BC to provide funding for an experimental form of treatment—issue is whether the province of BC’s refusal to provide the funding for preschool aged autistic children is a violated under the Charter </w:t>
      </w:r>
    </w:p>
    <w:p w14:paraId="7EB456E6" w14:textId="4335EB01" w:rsidR="008F08BA" w:rsidRPr="00F53D5C" w:rsidRDefault="008F08BA" w:rsidP="008F08BA">
      <w:pPr>
        <w:pStyle w:val="NoteLevel1"/>
        <w:rPr>
          <w:rFonts w:ascii="Times" w:hAnsi="Times"/>
          <w:u w:val="single"/>
        </w:rPr>
      </w:pPr>
      <w:r>
        <w:rPr>
          <w:rFonts w:ascii="Times" w:hAnsi="Times"/>
        </w:rPr>
        <w:t xml:space="preserve">- Para 1: “In the background lies the larger issue of when, if ever, a province’s public health plan under the </w:t>
      </w:r>
      <w:r w:rsidRPr="008F08BA">
        <w:rPr>
          <w:rFonts w:ascii="Times" w:hAnsi="Times"/>
          <w:i/>
        </w:rPr>
        <w:t>Canada Health Act,</w:t>
      </w:r>
      <w:r>
        <w:rPr>
          <w:rFonts w:ascii="Times" w:hAnsi="Times"/>
        </w:rPr>
        <w:t xml:space="preserve"> is required to provide a particular health treatment outside the “core” services administered by doctors and hospitals. </w:t>
      </w:r>
      <w:r w:rsidR="00F53D5C">
        <w:rPr>
          <w:rFonts w:ascii="Times" w:hAnsi="Times"/>
        </w:rPr>
        <w:t>“</w:t>
      </w:r>
    </w:p>
    <w:p w14:paraId="383ADEFB" w14:textId="0AEA836B" w:rsidR="00F53D5C" w:rsidRPr="00A94183" w:rsidRDefault="00AB436C" w:rsidP="008F08BA">
      <w:pPr>
        <w:pStyle w:val="NoteLevel1"/>
        <w:rPr>
          <w:rFonts w:ascii="Times" w:hAnsi="Times"/>
          <w:u w:val="single"/>
        </w:rPr>
      </w:pPr>
      <w:r>
        <w:rPr>
          <w:rFonts w:ascii="Times" w:hAnsi="Times"/>
        </w:rPr>
        <w:t xml:space="preserve">- </w:t>
      </w:r>
      <w:r w:rsidR="00F50BF7">
        <w:rPr>
          <w:rFonts w:ascii="Times" w:hAnsi="Times"/>
        </w:rPr>
        <w:t xml:space="preserve">Para 2: “The issue before us is not what the public health system should provide, which is a matter for Parliament and the legislature. The issue is rather whether the British Columbia gov’ts failure to fund these services under the health plan amounted to an unequal and discriminatory denial of benefits under that plan, contrary to s.. 15 of the </w:t>
      </w:r>
      <w:r w:rsidR="00F50BF7">
        <w:rPr>
          <w:rFonts w:ascii="Times" w:hAnsi="Times"/>
          <w:i/>
        </w:rPr>
        <w:t>Charter.</w:t>
      </w:r>
      <w:r w:rsidR="00F50BF7">
        <w:rPr>
          <w:rFonts w:ascii="Times" w:hAnsi="Times"/>
        </w:rPr>
        <w:t xml:space="preserve"> Despite their forceful argument, the petitioners fail to establish that the denial of benefits violated the </w:t>
      </w:r>
      <w:r w:rsidR="00F50BF7">
        <w:rPr>
          <w:rFonts w:ascii="Times" w:hAnsi="Times"/>
          <w:i/>
        </w:rPr>
        <w:t>Charter</w:t>
      </w:r>
      <w:r w:rsidR="00F50BF7">
        <w:rPr>
          <w:rFonts w:ascii="Times" w:hAnsi="Times"/>
        </w:rPr>
        <w:t xml:space="preserve">.” </w:t>
      </w:r>
    </w:p>
    <w:p w14:paraId="007730D9" w14:textId="3642B940" w:rsidR="00A94183" w:rsidRPr="007C4EE9" w:rsidRDefault="00A94183" w:rsidP="008F08BA">
      <w:pPr>
        <w:pStyle w:val="NoteLevel1"/>
        <w:rPr>
          <w:rFonts w:ascii="Times" w:hAnsi="Times"/>
          <w:u w:val="single"/>
        </w:rPr>
      </w:pPr>
      <w:r>
        <w:rPr>
          <w:rFonts w:ascii="Times" w:hAnsi="Times"/>
        </w:rPr>
        <w:t xml:space="preserve">- </w:t>
      </w:r>
      <w:r w:rsidR="007C4EE9">
        <w:rPr>
          <w:rFonts w:ascii="Times" w:hAnsi="Times"/>
        </w:rPr>
        <w:t xml:space="preserve">Para 3: “The government must provide the services authorized by law in a non-discriminatory manner. Here, however, discrimination has not been established. First, the claim for discrimination is based on the erroneous assumption that the CHA and the relevant BC legislation provided the benefit claimed. Second, on the facts here and applying the appropriate comparator, it is not established that the government excluded autistic children….” </w:t>
      </w:r>
    </w:p>
    <w:p w14:paraId="6357B189" w14:textId="15CCBCB7" w:rsidR="007C4EE9" w:rsidRPr="007C4EE9" w:rsidRDefault="007C4EE9" w:rsidP="008F08BA">
      <w:pPr>
        <w:pStyle w:val="NoteLevel1"/>
        <w:rPr>
          <w:rFonts w:ascii="Times" w:hAnsi="Times"/>
          <w:u w:val="single"/>
        </w:rPr>
      </w:pPr>
      <w:r>
        <w:rPr>
          <w:rFonts w:ascii="Times" w:hAnsi="Times"/>
        </w:rPr>
        <w:t xml:space="preserve">- </w:t>
      </w:r>
      <w:r w:rsidRPr="007C4EE9">
        <w:rPr>
          <w:rFonts w:ascii="Times" w:hAnsi="Times"/>
          <w:i/>
        </w:rPr>
        <w:t>Eldridge</w:t>
      </w:r>
      <w:r>
        <w:rPr>
          <w:rFonts w:ascii="Times" w:hAnsi="Times"/>
        </w:rPr>
        <w:t xml:space="preserve"> reference in para 38: “The petitioners rely on Eldridge in arguing for equal provisions of medial benefits. In Eldridge, this Court held that the Province was obligated to provide translators to the deaf so that they could have equal access to core benefits accorded to everyone under the BC medicare scheme […] Eldridge was concerned with unequal access to a benefit that the law conferred and with applying a benefit-granting law in a non-discriminatory fashion. By contrast, this case is concerned w/ access to a benefit tha</w:t>
      </w:r>
      <w:r w:rsidR="00751F6F">
        <w:rPr>
          <w:rFonts w:ascii="Times" w:hAnsi="Times"/>
        </w:rPr>
        <w:t>t was not conferred by law…</w:t>
      </w:r>
      <w:r>
        <w:rPr>
          <w:rFonts w:ascii="Times" w:hAnsi="Times"/>
        </w:rPr>
        <w:t>”</w:t>
      </w:r>
    </w:p>
    <w:p w14:paraId="0B25422B" w14:textId="25EC19DE" w:rsidR="007C4EE9" w:rsidRPr="007C4EE9" w:rsidRDefault="007C4EE9" w:rsidP="008F08BA">
      <w:pPr>
        <w:pStyle w:val="NoteLevel1"/>
        <w:rPr>
          <w:rFonts w:ascii="Times" w:hAnsi="Times"/>
          <w:u w:val="single"/>
        </w:rPr>
      </w:pPr>
      <w:r>
        <w:rPr>
          <w:rFonts w:ascii="Times" w:hAnsi="Times"/>
        </w:rPr>
        <w:t xml:space="preserve">- Is the claim for a benefit provided by law? </w:t>
      </w:r>
    </w:p>
    <w:p w14:paraId="0E302A41" w14:textId="368D0B83" w:rsidR="00751F6F" w:rsidRPr="00751F6F" w:rsidRDefault="007C4EE9" w:rsidP="00751F6F">
      <w:pPr>
        <w:pStyle w:val="NoteLevel2"/>
        <w:rPr>
          <w:rFonts w:ascii="Times" w:hAnsi="Times"/>
          <w:u w:val="single"/>
        </w:rPr>
      </w:pPr>
      <w:r>
        <w:rPr>
          <w:rFonts w:ascii="Times" w:hAnsi="Times"/>
        </w:rPr>
        <w:t>“</w:t>
      </w:r>
      <w:r w:rsidR="00272E07">
        <w:rPr>
          <w:rFonts w:ascii="Times" w:hAnsi="Times"/>
        </w:rPr>
        <w:t>In</w:t>
      </w:r>
      <w:r>
        <w:rPr>
          <w:rFonts w:ascii="Times" w:hAnsi="Times"/>
        </w:rPr>
        <w:t xml:space="preserve"> order to succeed the claimants must show unequal treatment under the law—more specifically that they failed to received a benefit that the law provided, or was saddled with a burden the law did not impose on someone else.” </w:t>
      </w:r>
    </w:p>
    <w:p w14:paraId="5BFF81EC" w14:textId="4C4C7923" w:rsidR="00751F6F" w:rsidRPr="00751F6F" w:rsidRDefault="00751F6F" w:rsidP="00751F6F">
      <w:pPr>
        <w:pStyle w:val="NoteLevel2"/>
        <w:rPr>
          <w:rFonts w:ascii="Times" w:hAnsi="Times"/>
          <w:u w:val="single"/>
        </w:rPr>
      </w:pPr>
      <w:r>
        <w:rPr>
          <w:rFonts w:ascii="Times" w:hAnsi="Times"/>
        </w:rPr>
        <w:t xml:space="preserve">“In this case, the issue of whether the benefit claimed is on conferred by law does arise […] The unequal treatment is said to lie in funding medically required treatments for non-disabled Canadian children or adults with mental illness, while failing to fund medically required ABA/IBI therapy to autistic children.” </w:t>
      </w:r>
    </w:p>
    <w:p w14:paraId="16476723" w14:textId="17889089" w:rsidR="00751F6F" w:rsidRPr="00DF042A" w:rsidRDefault="00751F6F" w:rsidP="00751F6F">
      <w:pPr>
        <w:pStyle w:val="NoteLevel2"/>
        <w:rPr>
          <w:rFonts w:ascii="Times" w:hAnsi="Times"/>
          <w:u w:val="single"/>
        </w:rPr>
      </w:pPr>
      <w:r>
        <w:rPr>
          <w:rFonts w:ascii="Times" w:hAnsi="Times"/>
        </w:rPr>
        <w:t xml:space="preserve">The trail judge &amp; Court of Appeal judge ruled that the discrimination lay in denying a “medically necessary” service to a disadvantaged group while providing “medically necessary services for others”. </w:t>
      </w:r>
    </w:p>
    <w:p w14:paraId="00511F20" w14:textId="49DC141E" w:rsidR="00DF042A" w:rsidRPr="00DF042A" w:rsidRDefault="00DF042A" w:rsidP="00DF042A">
      <w:pPr>
        <w:pStyle w:val="NoteLevel1"/>
        <w:rPr>
          <w:rFonts w:ascii="Times" w:hAnsi="Times"/>
          <w:u w:val="single"/>
        </w:rPr>
      </w:pPr>
      <w:r>
        <w:rPr>
          <w:rFonts w:ascii="Times" w:hAnsi="Times"/>
        </w:rPr>
        <w:t xml:space="preserve">- Similar to </w:t>
      </w:r>
      <w:r>
        <w:rPr>
          <w:rFonts w:ascii="Times" w:hAnsi="Times"/>
          <w:i/>
        </w:rPr>
        <w:t>Martin</w:t>
      </w:r>
      <w:r>
        <w:rPr>
          <w:rFonts w:ascii="Times" w:hAnsi="Times"/>
        </w:rPr>
        <w:t xml:space="preserve">, this is a sub-group compared to another sub-group </w:t>
      </w:r>
    </w:p>
    <w:p w14:paraId="1AFC9DA4" w14:textId="0A4F5BCD" w:rsidR="00DF042A" w:rsidRPr="00E0145B" w:rsidRDefault="00E94949" w:rsidP="00DF042A">
      <w:pPr>
        <w:pStyle w:val="NoteLevel1"/>
        <w:rPr>
          <w:rFonts w:ascii="Times" w:hAnsi="Times"/>
          <w:u w:val="single"/>
        </w:rPr>
      </w:pPr>
      <w:r>
        <w:rPr>
          <w:rFonts w:ascii="Times" w:hAnsi="Times"/>
        </w:rPr>
        <w:t>- Para 35</w:t>
      </w:r>
      <w:r w:rsidR="00041B89">
        <w:rPr>
          <w:rFonts w:ascii="Times" w:hAnsi="Times"/>
        </w:rPr>
        <w:t xml:space="preserve">: “In summary, the legislative scheme does not promise that any Canadian will receive funding for all medically required treatment. All that is conferred is core funding for services provided by medical practitioners, with funding for non-core services left to the Province’s discretion. Thus, the benefit here claimed—funding for all medically required services—was not provided for by the law.” </w:t>
      </w:r>
    </w:p>
    <w:p w14:paraId="150AE504" w14:textId="07D72679" w:rsidR="00E0145B" w:rsidRPr="00E0145B" w:rsidRDefault="00E0145B" w:rsidP="00E0145B">
      <w:pPr>
        <w:pStyle w:val="NoteLevel2"/>
        <w:rPr>
          <w:rFonts w:ascii="Times" w:hAnsi="Times"/>
          <w:u w:val="single"/>
        </w:rPr>
      </w:pPr>
      <w:r>
        <w:rPr>
          <w:rFonts w:ascii="Times" w:hAnsi="Times"/>
        </w:rPr>
        <w:t>Para 36: “More specifically, the law did not provided funding for ABA/IBI therapy for autistic children. “</w:t>
      </w:r>
    </w:p>
    <w:p w14:paraId="63EB9F3C" w14:textId="14E2B892" w:rsidR="00E0145B" w:rsidRPr="00E0145B" w:rsidRDefault="00E0145B" w:rsidP="00E0145B">
      <w:pPr>
        <w:pStyle w:val="NoteLevel1"/>
        <w:rPr>
          <w:rFonts w:ascii="Times" w:hAnsi="Times"/>
          <w:u w:val="single"/>
        </w:rPr>
      </w:pPr>
      <w:r>
        <w:rPr>
          <w:rFonts w:ascii="Times" w:hAnsi="Times"/>
        </w:rPr>
        <w:t>- Para 47: (Chief Justice) “I concluded that the benefit claimed, no matter how it is viewed, is not a benefit provided by law. This is sufficient to end the inquiry. However, since this is the first case of this type to reach this Court, it is appropriate to consider whether the petitioners would have succeeded had they established that ABA/IBI therapy…”</w:t>
      </w:r>
    </w:p>
    <w:p w14:paraId="58CF8697" w14:textId="1E99AE54" w:rsidR="00E0145B" w:rsidRPr="004941E4" w:rsidRDefault="00E0145B" w:rsidP="00E0145B">
      <w:pPr>
        <w:pStyle w:val="NoteLevel1"/>
        <w:rPr>
          <w:rFonts w:ascii="Times" w:hAnsi="Times"/>
          <w:u w:val="single"/>
        </w:rPr>
      </w:pPr>
      <w:r>
        <w:rPr>
          <w:rFonts w:ascii="Times" w:hAnsi="Times"/>
        </w:rPr>
        <w:t xml:space="preserve">- </w:t>
      </w:r>
      <w:r w:rsidR="007919CF">
        <w:rPr>
          <w:rFonts w:ascii="Times" w:hAnsi="Times"/>
        </w:rPr>
        <w:t>Para 50-54</w:t>
      </w:r>
      <w:r w:rsidR="004941E4">
        <w:rPr>
          <w:rFonts w:ascii="Times" w:hAnsi="Times"/>
        </w:rPr>
        <w:t xml:space="preserve"> &amp; 55</w:t>
      </w:r>
      <w:r w:rsidR="007919CF">
        <w:rPr>
          <w:rFonts w:ascii="Times" w:hAnsi="Times"/>
        </w:rPr>
        <w:t xml:space="preserve">: </w:t>
      </w:r>
    </w:p>
    <w:p w14:paraId="075839C4" w14:textId="49F32D94" w:rsidR="004941E4" w:rsidRPr="00285384" w:rsidRDefault="004941E4" w:rsidP="004941E4">
      <w:pPr>
        <w:pStyle w:val="NoteLevel1"/>
        <w:rPr>
          <w:rFonts w:ascii="Times" w:hAnsi="Times"/>
          <w:u w:val="single"/>
        </w:rPr>
      </w:pPr>
      <w:r>
        <w:rPr>
          <w:rFonts w:ascii="Times" w:hAnsi="Times"/>
        </w:rPr>
        <w:t xml:space="preserve">- Para 55: “I conclude that the appropriate comparator for the petitioners is a non-disabled persons or a person suffering a disability other than a mental disability, seeking or receiving funding for a non-core therapy important for his/her present and future health, which is emergent and only recently becoming recognized as medically required.” </w:t>
      </w:r>
    </w:p>
    <w:p w14:paraId="34D12A8E" w14:textId="3D39768A" w:rsidR="00285384" w:rsidRPr="003F0C6A" w:rsidRDefault="00285384" w:rsidP="00285384">
      <w:pPr>
        <w:pStyle w:val="NoteLevel2"/>
        <w:rPr>
          <w:rFonts w:ascii="Times" w:hAnsi="Times"/>
          <w:u w:val="single"/>
        </w:rPr>
      </w:pPr>
      <w:r>
        <w:rPr>
          <w:rFonts w:ascii="Times" w:hAnsi="Times"/>
        </w:rPr>
        <w:t xml:space="preserve">“The comparators, as noted, must be like the claimants in all ways save for characteristics relating to the alleged ground of discrimination. People receiving well-established non-core therapies are not in the same position as people claiming relatively new non-core benefits.” </w:t>
      </w:r>
    </w:p>
    <w:p w14:paraId="705A94DB" w14:textId="5E0D8D38" w:rsidR="003F0C6A" w:rsidRPr="008B104C" w:rsidRDefault="003F0C6A" w:rsidP="00285384">
      <w:pPr>
        <w:pStyle w:val="NoteLevel2"/>
        <w:rPr>
          <w:rFonts w:ascii="Times" w:hAnsi="Times"/>
          <w:u w:val="single"/>
        </w:rPr>
      </w:pPr>
      <w:r>
        <w:rPr>
          <w:rFonts w:ascii="Times" w:hAnsi="Times"/>
        </w:rPr>
        <w:t xml:space="preserve">Re-stated in para 57 </w:t>
      </w:r>
    </w:p>
    <w:p w14:paraId="6CDE6252" w14:textId="77777777" w:rsidR="008B104C" w:rsidRPr="00E0145B" w:rsidRDefault="008B104C" w:rsidP="008B104C">
      <w:pPr>
        <w:pStyle w:val="NoteLevel1"/>
        <w:rPr>
          <w:rFonts w:ascii="Times" w:hAnsi="Times"/>
          <w:u w:val="single"/>
        </w:rPr>
      </w:pPr>
    </w:p>
    <w:p w14:paraId="70CDC08C" w14:textId="77777777" w:rsidR="006C3EDF" w:rsidRDefault="006C3EDF" w:rsidP="00E0145B">
      <w:pPr>
        <w:pStyle w:val="NoteLevel1"/>
        <w:rPr>
          <w:rFonts w:ascii="Times" w:hAnsi="Times"/>
          <w:u w:val="single"/>
        </w:rPr>
        <w:sectPr w:rsidR="006C3EDF" w:rsidSect="00D324DE">
          <w:headerReference w:type="first" r:id="rId14"/>
          <w:pgSz w:w="12240" w:h="15840"/>
          <w:pgMar w:top="1440" w:right="1440" w:bottom="1440" w:left="1440" w:header="708" w:footer="708" w:gutter="0"/>
          <w:cols w:space="708"/>
          <w:titlePg/>
          <w:docGrid w:type="lines" w:linePitch="360"/>
        </w:sectPr>
      </w:pPr>
    </w:p>
    <w:p w14:paraId="7472DB9F" w14:textId="77777777" w:rsidR="006C3EDF" w:rsidRPr="006C3EDF" w:rsidRDefault="006C3EDF" w:rsidP="006C3EDF">
      <w:pPr>
        <w:pStyle w:val="NoteLevel1"/>
        <w:rPr>
          <w:rFonts w:ascii="Times" w:hAnsi="Times"/>
          <w:u w:val="single"/>
          <w:lang w:val="en-CA"/>
        </w:rPr>
      </w:pPr>
      <w:bookmarkStart w:id="14" w:name="_GoBack"/>
      <w:bookmarkEnd w:id="14"/>
      <w:r w:rsidRPr="006C3EDF">
        <w:rPr>
          <w:rFonts w:ascii="Times" w:hAnsi="Times"/>
          <w:u w:val="single"/>
          <w:lang w:val="en-CA"/>
        </w:rPr>
        <w:t xml:space="preserve">Review: </w:t>
      </w:r>
    </w:p>
    <w:p w14:paraId="3765D8AA" w14:textId="7FE8C537" w:rsidR="006C3EDF" w:rsidRPr="006C3EDF" w:rsidRDefault="006C3EDF" w:rsidP="006C3EDF">
      <w:pPr>
        <w:pStyle w:val="NoteLevel1"/>
        <w:rPr>
          <w:rFonts w:ascii="Times" w:hAnsi="Times"/>
          <w:lang w:val="en-CA"/>
        </w:rPr>
      </w:pPr>
      <w:r>
        <w:rPr>
          <w:rFonts w:ascii="Times" w:hAnsi="Times"/>
          <w:lang w:val="en-CA"/>
        </w:rPr>
        <w:t xml:space="preserve">- </w:t>
      </w:r>
      <w:r w:rsidRPr="006C3EDF">
        <w:rPr>
          <w:rFonts w:ascii="Times" w:hAnsi="Times"/>
          <w:lang w:val="en-CA"/>
        </w:rPr>
        <w:t>Assignment #2 due next week</w:t>
      </w:r>
    </w:p>
    <w:p w14:paraId="5935B98A" w14:textId="0C99B606" w:rsidR="006C3EDF" w:rsidRPr="006C3EDF" w:rsidRDefault="006C3EDF" w:rsidP="006C3EDF">
      <w:pPr>
        <w:pStyle w:val="NoteLevel1"/>
        <w:rPr>
          <w:rFonts w:ascii="Times" w:hAnsi="Times"/>
          <w:lang w:val="en-CA"/>
        </w:rPr>
      </w:pPr>
      <w:r>
        <w:rPr>
          <w:rFonts w:ascii="Times" w:hAnsi="Times"/>
          <w:lang w:val="en-CA"/>
        </w:rPr>
        <w:t xml:space="preserve">- </w:t>
      </w:r>
      <w:r w:rsidRPr="006C3EDF">
        <w:rPr>
          <w:rFonts w:ascii="Times" w:hAnsi="Times"/>
          <w:lang w:val="en-CA"/>
        </w:rPr>
        <w:t>Assignment #3 due the week after (Dec 2</w:t>
      </w:r>
      <w:r w:rsidRPr="006C3EDF">
        <w:rPr>
          <w:rFonts w:ascii="Times" w:hAnsi="Times"/>
          <w:vertAlign w:val="superscript"/>
          <w:lang w:val="en-CA"/>
        </w:rPr>
        <w:t>nd</w:t>
      </w:r>
      <w:r w:rsidRPr="006C3EDF">
        <w:rPr>
          <w:rFonts w:ascii="Times" w:hAnsi="Times"/>
          <w:lang w:val="en-CA"/>
        </w:rPr>
        <w:t>)</w:t>
      </w:r>
    </w:p>
    <w:p w14:paraId="7D1BBD6B" w14:textId="5944A610" w:rsidR="006C3EDF" w:rsidRPr="006C3EDF" w:rsidRDefault="006C3EDF" w:rsidP="006C3EDF">
      <w:pPr>
        <w:pStyle w:val="NoteLevel1"/>
        <w:rPr>
          <w:rFonts w:ascii="Times" w:hAnsi="Times"/>
          <w:lang w:val="en-CA"/>
        </w:rPr>
      </w:pPr>
      <w:r>
        <w:rPr>
          <w:rFonts w:ascii="Times" w:hAnsi="Times"/>
          <w:lang w:val="en-CA"/>
        </w:rPr>
        <w:t xml:space="preserve">- </w:t>
      </w:r>
      <w:r w:rsidRPr="006C3EDF">
        <w:rPr>
          <w:rFonts w:ascii="Times" w:hAnsi="Times"/>
          <w:lang w:val="en-CA"/>
        </w:rPr>
        <w:t xml:space="preserve">What he hopes we get out of this assignment is that a finding of discrimination is not the end.  </w:t>
      </w:r>
      <w:r>
        <w:rPr>
          <w:rFonts w:ascii="Times" w:hAnsi="Times"/>
          <w:lang w:val="en-CA"/>
        </w:rPr>
        <w:t xml:space="preserve">- - </w:t>
      </w:r>
      <w:r w:rsidRPr="006C3EDF">
        <w:rPr>
          <w:rFonts w:ascii="Times" w:hAnsi="Times"/>
          <w:lang w:val="en-CA"/>
        </w:rPr>
        <w:t>It isn’t the remedy you want until it is found to also be unjustifiable (s1).</w:t>
      </w:r>
    </w:p>
    <w:p w14:paraId="2C3EAD5B" w14:textId="39A3A674" w:rsidR="006C3EDF" w:rsidRPr="006C3EDF" w:rsidRDefault="006C3EDF" w:rsidP="006C3EDF">
      <w:pPr>
        <w:pStyle w:val="NoteLevel1"/>
        <w:rPr>
          <w:rFonts w:ascii="Times" w:hAnsi="Times"/>
          <w:lang w:val="en-CA"/>
        </w:rPr>
      </w:pPr>
      <w:r>
        <w:rPr>
          <w:rFonts w:ascii="Times" w:hAnsi="Times"/>
          <w:lang w:val="en-CA"/>
        </w:rPr>
        <w:t xml:space="preserve">- </w:t>
      </w:r>
      <w:r w:rsidRPr="006C3EDF">
        <w:rPr>
          <w:rFonts w:ascii="Times" w:hAnsi="Times"/>
          <w:lang w:val="en-CA"/>
        </w:rPr>
        <w:t>In this case 7/9 found that the law was discriminatory, but 4/7 found the discrimination to be justifiable.</w:t>
      </w:r>
    </w:p>
    <w:p w14:paraId="7B8D3CB8" w14:textId="77777777" w:rsidR="006C3EDF" w:rsidRPr="006C3EDF" w:rsidRDefault="006C3EDF" w:rsidP="006C3EDF">
      <w:pPr>
        <w:pStyle w:val="NoteLevel1"/>
        <w:rPr>
          <w:rFonts w:ascii="Times" w:hAnsi="Times"/>
          <w:lang w:val="en-CA"/>
        </w:rPr>
      </w:pPr>
    </w:p>
    <w:p w14:paraId="0866D15A" w14:textId="0197EC07" w:rsidR="006C3EDF" w:rsidRPr="006C3EDF" w:rsidRDefault="006C3EDF" w:rsidP="006C3EDF">
      <w:pPr>
        <w:pStyle w:val="NoteLevel1"/>
        <w:rPr>
          <w:rFonts w:ascii="Times" w:hAnsi="Times"/>
          <w:lang w:val="en-CA"/>
        </w:rPr>
      </w:pPr>
      <w:r>
        <w:rPr>
          <w:rFonts w:ascii="Times" w:hAnsi="Times"/>
          <w:lang w:val="en-CA"/>
        </w:rPr>
        <w:t xml:space="preserve">- </w:t>
      </w:r>
      <w:r w:rsidRPr="006C3EDF">
        <w:rPr>
          <w:rFonts w:ascii="Times" w:hAnsi="Times"/>
          <w:lang w:val="en-CA"/>
        </w:rPr>
        <w:t xml:space="preserve">Courts today want as much as possible to get to be able to do the substantive review for discrimination (the 4 contextual factors).  In order to get to that, need to find that (1) there was differential treatment (issues with deciding on comparator group) and (2) based on enumerated or analogous grounds (issues with defining analogous).  If (1) and (2) are defined too narrowly, you won’t get to the substantive review.  Cases we have been looking at starting last week and now into today are how the courts moved from a narrow view for comparator groups, to a wider view.  </w:t>
      </w:r>
    </w:p>
    <w:p w14:paraId="3C466A90" w14:textId="77777777" w:rsidR="006C3EDF" w:rsidRPr="006C3EDF" w:rsidRDefault="006C3EDF" w:rsidP="006C3EDF">
      <w:pPr>
        <w:pStyle w:val="NoteLevel1"/>
        <w:rPr>
          <w:rFonts w:ascii="Times" w:hAnsi="Times"/>
          <w:u w:val="single"/>
          <w:lang w:val="en-CA"/>
        </w:rPr>
      </w:pPr>
    </w:p>
    <w:p w14:paraId="6B7A14C7" w14:textId="77777777" w:rsidR="006C3EDF" w:rsidRPr="006C3EDF" w:rsidRDefault="006C3EDF" w:rsidP="006C3EDF">
      <w:pPr>
        <w:pStyle w:val="NoteLevel1"/>
        <w:rPr>
          <w:rFonts w:ascii="Times" w:hAnsi="Times"/>
          <w:u w:val="single"/>
          <w:lang w:val="en-CA"/>
        </w:rPr>
      </w:pPr>
      <w:r w:rsidRPr="006C3EDF">
        <w:rPr>
          <w:rFonts w:ascii="Times" w:hAnsi="Times"/>
          <w:u w:val="single"/>
          <w:lang w:val="en-CA"/>
        </w:rPr>
        <w:t>Withler:</w:t>
      </w:r>
    </w:p>
    <w:p w14:paraId="457C0124" w14:textId="56358688" w:rsidR="006C3EDF" w:rsidRPr="006C3EDF" w:rsidRDefault="006C3EDF" w:rsidP="006C3EDF">
      <w:pPr>
        <w:pStyle w:val="NoteLevel1"/>
        <w:rPr>
          <w:rFonts w:ascii="Times" w:hAnsi="Times"/>
          <w:lang w:val="en-CA"/>
        </w:rPr>
      </w:pPr>
      <w:r>
        <w:rPr>
          <w:rFonts w:ascii="Times" w:hAnsi="Times"/>
          <w:lang w:val="en-CA"/>
        </w:rPr>
        <w:t xml:space="preserve">- </w:t>
      </w:r>
      <w:r w:rsidRPr="006C3EDF">
        <w:rPr>
          <w:rFonts w:ascii="Times" w:hAnsi="Times"/>
          <w:lang w:val="en-CA"/>
        </w:rPr>
        <w:t>Canadian Forces/Public Service pensions- supplementary death benefit</w:t>
      </w:r>
    </w:p>
    <w:p w14:paraId="41449CD1" w14:textId="5E76F9CE" w:rsidR="006C3EDF" w:rsidRPr="006C3EDF" w:rsidRDefault="006C3EDF" w:rsidP="006C3EDF">
      <w:pPr>
        <w:pStyle w:val="NoteLevel1"/>
        <w:rPr>
          <w:rFonts w:ascii="Times" w:hAnsi="Times"/>
          <w:lang w:val="en-CA"/>
        </w:rPr>
      </w:pPr>
      <w:r>
        <w:rPr>
          <w:rFonts w:ascii="Times" w:hAnsi="Times"/>
          <w:lang w:val="en-CA"/>
        </w:rPr>
        <w:t xml:space="preserve">- </w:t>
      </w:r>
      <w:r w:rsidRPr="006C3EDF">
        <w:rPr>
          <w:rFonts w:ascii="Times" w:hAnsi="Times"/>
          <w:lang w:val="en-CA"/>
        </w:rPr>
        <w:t>Benefit is 2X the employee’s annual salary payable to the beneficiary- but this benefit is reduced by 10% for every year the employee is over 65.</w:t>
      </w:r>
    </w:p>
    <w:p w14:paraId="0040D67F" w14:textId="155A2AFB" w:rsidR="006C3EDF" w:rsidRPr="006C3EDF" w:rsidRDefault="006C3EDF" w:rsidP="006C3EDF">
      <w:pPr>
        <w:pStyle w:val="NoteLevel1"/>
        <w:rPr>
          <w:rFonts w:ascii="Times" w:hAnsi="Times"/>
          <w:lang w:val="en-CA"/>
        </w:rPr>
      </w:pPr>
      <w:r>
        <w:rPr>
          <w:rFonts w:ascii="Times" w:hAnsi="Times"/>
          <w:lang w:val="en-CA"/>
        </w:rPr>
        <w:t xml:space="preserve">- </w:t>
      </w:r>
      <w:r w:rsidRPr="006C3EDF">
        <w:rPr>
          <w:rFonts w:ascii="Times" w:hAnsi="Times"/>
          <w:lang w:val="en-CA"/>
        </w:rPr>
        <w:t>Claimants alleged discrimination on the basis of age.</w:t>
      </w:r>
    </w:p>
    <w:p w14:paraId="52716E13" w14:textId="3F2F9C2D" w:rsidR="006C3EDF" w:rsidRPr="006C3EDF" w:rsidRDefault="006C3EDF" w:rsidP="006C3EDF">
      <w:pPr>
        <w:pStyle w:val="NoteLevel1"/>
        <w:rPr>
          <w:rFonts w:ascii="Times" w:hAnsi="Times"/>
          <w:lang w:val="en-CA"/>
        </w:rPr>
      </w:pPr>
      <w:r>
        <w:rPr>
          <w:rFonts w:ascii="Times" w:hAnsi="Times"/>
          <w:lang w:val="en-CA"/>
        </w:rPr>
        <w:t xml:space="preserve">- </w:t>
      </w:r>
      <w:r w:rsidRPr="006C3EDF">
        <w:rPr>
          <w:rFonts w:ascii="Times" w:hAnsi="Times"/>
          <w:lang w:val="en-CA"/>
        </w:rPr>
        <w:t>Trial judge, appeal court and SCC all found against them, that there was no discrimination.</w:t>
      </w:r>
    </w:p>
    <w:p w14:paraId="6498A19F" w14:textId="20873EA5" w:rsidR="006C3EDF" w:rsidRPr="006C3EDF" w:rsidRDefault="006C3EDF" w:rsidP="006C3EDF">
      <w:pPr>
        <w:pStyle w:val="NoteLevel1"/>
        <w:rPr>
          <w:rFonts w:ascii="Times" w:hAnsi="Times"/>
          <w:lang w:val="en-CA"/>
        </w:rPr>
      </w:pPr>
      <w:r>
        <w:rPr>
          <w:rFonts w:ascii="Times" w:hAnsi="Times"/>
          <w:lang w:val="en-CA"/>
        </w:rPr>
        <w:t xml:space="preserve">- </w:t>
      </w:r>
      <w:r w:rsidRPr="006C3EDF">
        <w:rPr>
          <w:rFonts w:ascii="Times" w:hAnsi="Times"/>
          <w:lang w:val="en-CA"/>
        </w:rPr>
        <w:t>The important take away from this case is how the SCC said to do a s15 analysis</w:t>
      </w:r>
    </w:p>
    <w:p w14:paraId="4E7D4D5E" w14:textId="7F7B00AD" w:rsidR="006C3EDF" w:rsidRPr="006C3EDF" w:rsidRDefault="006C3EDF" w:rsidP="006C3EDF">
      <w:pPr>
        <w:pStyle w:val="NoteLevel1"/>
        <w:rPr>
          <w:rFonts w:ascii="Times" w:hAnsi="Times"/>
          <w:lang w:val="en-CA"/>
        </w:rPr>
      </w:pPr>
      <w:r>
        <w:rPr>
          <w:rFonts w:ascii="Times" w:hAnsi="Times"/>
          <w:lang w:val="en-CA"/>
        </w:rPr>
        <w:t xml:space="preserve">- </w:t>
      </w:r>
      <w:r w:rsidRPr="006C3EDF">
        <w:rPr>
          <w:rFonts w:ascii="Times" w:hAnsi="Times"/>
          <w:lang w:val="en-CA"/>
        </w:rPr>
        <w:t>Para 2: “The central s15(1) concern is substantive, not formal, equality.  A formal equality analysis based on mirror….”  The SCC found that this was too mechanical an approach, and the courts must take care to avoid “formalistic and arbitrary search for the ‘proper’ contributor group.”  Right away the SCC is coming out and we are getting signs that they are going to be going against their previous findings in Hodge.  “At the end of the day…” the question is whether there has been a violation of substantive equality.</w:t>
      </w:r>
    </w:p>
    <w:p w14:paraId="380DEB9C" w14:textId="08B86C16" w:rsidR="006C3EDF" w:rsidRPr="006C3EDF" w:rsidRDefault="006C3EDF" w:rsidP="006C3EDF">
      <w:pPr>
        <w:pStyle w:val="NoteLevel1"/>
        <w:rPr>
          <w:rFonts w:ascii="Times" w:hAnsi="Times"/>
          <w:lang w:val="en-CA"/>
        </w:rPr>
      </w:pPr>
      <w:r>
        <w:rPr>
          <w:rFonts w:ascii="Times" w:hAnsi="Times"/>
          <w:lang w:val="en-CA"/>
        </w:rPr>
        <w:t xml:space="preserve">- </w:t>
      </w:r>
      <w:r w:rsidRPr="006C3EDF">
        <w:rPr>
          <w:rFonts w:ascii="Times" w:hAnsi="Times"/>
          <w:lang w:val="en-CA"/>
        </w:rPr>
        <w:t>Para 3: What the court defines discrimination as “the question is whether…of the Charter…”</w:t>
      </w:r>
    </w:p>
    <w:p w14:paraId="09149F0F" w14:textId="26174656" w:rsidR="006C3EDF" w:rsidRPr="006C3EDF" w:rsidRDefault="006C3EDF" w:rsidP="006C3EDF">
      <w:pPr>
        <w:pStyle w:val="NoteLevel1"/>
        <w:rPr>
          <w:rFonts w:ascii="Times" w:hAnsi="Times"/>
          <w:lang w:val="en-CA"/>
        </w:rPr>
      </w:pPr>
      <w:r>
        <w:rPr>
          <w:rFonts w:ascii="Times" w:hAnsi="Times"/>
          <w:lang w:val="en-CA"/>
        </w:rPr>
        <w:t xml:space="preserve">- </w:t>
      </w:r>
      <w:r w:rsidRPr="006C3EDF">
        <w:rPr>
          <w:rFonts w:ascii="Times" w:hAnsi="Times"/>
          <w:lang w:val="en-CA"/>
        </w:rPr>
        <w:t>Para 14: Issue- statutory age-based distinction- claimants argue that it is arbitrary and unrelated to legislative goal.  The need for financial assistance does not decrease, that this is a stereotype and the law is perpetuating the stereotype and disadvantage.</w:t>
      </w:r>
    </w:p>
    <w:p w14:paraId="7726BEB0" w14:textId="65F20983" w:rsidR="006C3EDF" w:rsidRPr="006C3EDF" w:rsidRDefault="006C3EDF" w:rsidP="006C3EDF">
      <w:pPr>
        <w:pStyle w:val="NoteLevel1"/>
        <w:rPr>
          <w:rFonts w:ascii="Times" w:hAnsi="Times"/>
          <w:lang w:val="en-CA"/>
        </w:rPr>
      </w:pPr>
      <w:r>
        <w:rPr>
          <w:rFonts w:ascii="Times" w:hAnsi="Times"/>
          <w:lang w:val="en-CA"/>
        </w:rPr>
        <w:t xml:space="preserve">- </w:t>
      </w:r>
      <w:r w:rsidRPr="006C3EDF">
        <w:rPr>
          <w:rFonts w:ascii="Times" w:hAnsi="Times"/>
          <w:lang w:val="en-CA"/>
        </w:rPr>
        <w:t>Para 15: The AG counters that the benefit is only one benefit in as suite of benefits, that they need to look at the entire plan and what is available. Failure to not meet the needs of all people at all times doesn’t make it discriminatory.</w:t>
      </w:r>
    </w:p>
    <w:p w14:paraId="246E67A4" w14:textId="1163D03E" w:rsidR="006C3EDF" w:rsidRPr="006C3EDF" w:rsidRDefault="006C3EDF" w:rsidP="006C3EDF">
      <w:pPr>
        <w:pStyle w:val="NoteLevel1"/>
        <w:rPr>
          <w:rFonts w:ascii="Times" w:hAnsi="Times"/>
          <w:lang w:val="en-CA"/>
        </w:rPr>
      </w:pPr>
      <w:r>
        <w:rPr>
          <w:rFonts w:ascii="Times" w:hAnsi="Times"/>
          <w:lang w:val="en-CA"/>
        </w:rPr>
        <w:t xml:space="preserve">- </w:t>
      </w:r>
      <w:r w:rsidRPr="006C3EDF">
        <w:rPr>
          <w:rFonts w:ascii="Times" w:hAnsi="Times"/>
          <w:lang w:val="en-CA"/>
        </w:rPr>
        <w:t>Issues:</w:t>
      </w:r>
    </w:p>
    <w:p w14:paraId="3A8AC23D" w14:textId="77777777" w:rsidR="006C3EDF" w:rsidRPr="006C3EDF" w:rsidRDefault="006C3EDF" w:rsidP="006C3EDF">
      <w:pPr>
        <w:pStyle w:val="NoteLevel2"/>
        <w:rPr>
          <w:rFonts w:ascii="Times" w:hAnsi="Times"/>
          <w:lang w:val="en-CA"/>
        </w:rPr>
      </w:pPr>
      <w:r w:rsidRPr="006C3EDF">
        <w:rPr>
          <w:rFonts w:ascii="Times" w:hAnsi="Times"/>
          <w:lang w:val="en-CA"/>
        </w:rPr>
        <w:t>Standing: whether the claimants have the right to even make the claim (the person being discriminated against is really the employee- it is based on their characteristics, not the beneficiary).  But we don’t look at this in this course.</w:t>
      </w:r>
    </w:p>
    <w:p w14:paraId="784A78D2" w14:textId="77777777" w:rsidR="006C3EDF" w:rsidRPr="006C3EDF" w:rsidRDefault="006C3EDF" w:rsidP="006C3EDF">
      <w:pPr>
        <w:pStyle w:val="NoteLevel2"/>
        <w:rPr>
          <w:rFonts w:ascii="Times" w:hAnsi="Times"/>
          <w:lang w:val="en-CA"/>
        </w:rPr>
      </w:pPr>
      <w:r w:rsidRPr="006C3EDF">
        <w:rPr>
          <w:rFonts w:ascii="Times" w:hAnsi="Times"/>
          <w:lang w:val="en-CA"/>
        </w:rPr>
        <w:t>Equality claim: Para25- “clarification of role of mirror comparator groups and comparison in s15 analysis”</w:t>
      </w:r>
    </w:p>
    <w:p w14:paraId="5C0A083F" w14:textId="16060889" w:rsidR="006C3EDF" w:rsidRPr="006C3EDF" w:rsidRDefault="006C3EDF" w:rsidP="006C3EDF">
      <w:pPr>
        <w:pStyle w:val="NoteLevel1"/>
        <w:rPr>
          <w:rFonts w:ascii="Times" w:hAnsi="Times"/>
          <w:lang w:val="en-CA"/>
        </w:rPr>
      </w:pPr>
      <w:r>
        <w:rPr>
          <w:rFonts w:ascii="Times" w:hAnsi="Times"/>
          <w:lang w:val="en-CA"/>
        </w:rPr>
        <w:t xml:space="preserve">- Substantive Equality: </w:t>
      </w:r>
      <w:r w:rsidRPr="006C3EDF">
        <w:rPr>
          <w:rFonts w:ascii="Times" w:hAnsi="Times"/>
          <w:lang w:val="en-CA"/>
        </w:rPr>
        <w:t>Overview</w:t>
      </w:r>
    </w:p>
    <w:p w14:paraId="07EB51C0" w14:textId="77777777" w:rsidR="006C3EDF" w:rsidRPr="006C3EDF" w:rsidRDefault="006C3EDF" w:rsidP="006C3EDF">
      <w:pPr>
        <w:pStyle w:val="NoteLevel2"/>
        <w:rPr>
          <w:rFonts w:ascii="Times" w:hAnsi="Times"/>
          <w:lang w:val="en-CA"/>
        </w:rPr>
      </w:pPr>
      <w:r w:rsidRPr="006C3EDF">
        <w:rPr>
          <w:rFonts w:ascii="Times" w:hAnsi="Times"/>
          <w:lang w:val="en-CA"/>
        </w:rPr>
        <w:t>Para 30- a two part test (1) differential treatment based on enumerated or analogous grounds, and (2) perpetuating a disadvantage or stereotype.  (Law broke this into three factors, but it is the same here, only broken into just two).</w:t>
      </w:r>
    </w:p>
    <w:p w14:paraId="69ABE5B3" w14:textId="77777777" w:rsidR="006C3EDF" w:rsidRPr="006C3EDF" w:rsidRDefault="006C3EDF" w:rsidP="006C3EDF">
      <w:pPr>
        <w:pStyle w:val="NoteLevel2"/>
        <w:rPr>
          <w:rFonts w:ascii="Times" w:hAnsi="Times"/>
          <w:lang w:val="en-CA"/>
        </w:rPr>
      </w:pPr>
      <w:r w:rsidRPr="006C3EDF">
        <w:rPr>
          <w:rFonts w:ascii="Times" w:hAnsi="Times"/>
          <w:lang w:val="en-CA"/>
        </w:rPr>
        <w:t>Para 31- equality is not about sameness. What must do to establish the violation “must show not only…not receiving equal treatment…but in addition must show that the legislative impact of the law is discriminatory.”</w:t>
      </w:r>
    </w:p>
    <w:p w14:paraId="0297F1A7" w14:textId="10DE79DE" w:rsidR="006C3EDF" w:rsidRPr="006C3EDF" w:rsidRDefault="006C3EDF" w:rsidP="006C3EDF">
      <w:pPr>
        <w:pStyle w:val="NoteLevel2"/>
        <w:rPr>
          <w:rFonts w:ascii="Times" w:hAnsi="Times"/>
          <w:lang w:val="en-CA"/>
        </w:rPr>
      </w:pPr>
      <w:r w:rsidRPr="006C3EDF">
        <w:rPr>
          <w:rFonts w:ascii="Times" w:hAnsi="Times"/>
          <w:lang w:val="en-CA"/>
        </w:rPr>
        <w:t>Para 32- Two concepts: (1) perpetuation of prejudice or disadvantage to members of the group on the basis of personal characteristics identified in enumerated and analogous grounds, (2) stereotyping on the basis of these grounds that resu</w:t>
      </w:r>
      <w:r>
        <w:rPr>
          <w:rFonts w:ascii="Times" w:hAnsi="Times"/>
          <w:lang w:val="en-CA"/>
        </w:rPr>
        <w:t>lts in a decision that does not correspond</w:t>
      </w:r>
      <w:r w:rsidR="00120CD7">
        <w:rPr>
          <w:rFonts w:ascii="Times" w:hAnsi="Times"/>
          <w:lang w:val="en-CA"/>
        </w:rPr>
        <w:t xml:space="preserve"> (could argue that this comes out of the “correspondence” factor in the 4 contextual factors; the relationship between the claimant and the benefit denied; is it related to who they are?)</w:t>
      </w:r>
      <w:r>
        <w:rPr>
          <w:rFonts w:ascii="Times" w:hAnsi="Times"/>
          <w:lang w:val="en-CA"/>
        </w:rPr>
        <w:t xml:space="preserve"> </w:t>
      </w:r>
      <w:r w:rsidRPr="006C3EDF">
        <w:rPr>
          <w:rFonts w:ascii="Times" w:hAnsi="Times"/>
          <w:lang w:val="en-CA"/>
        </w:rPr>
        <w:t>to a claimants or groups actual circumstances and characteristics.</w:t>
      </w:r>
    </w:p>
    <w:p w14:paraId="1A1E3D2E" w14:textId="77777777" w:rsidR="006C3EDF" w:rsidRPr="006C3EDF" w:rsidRDefault="006C3EDF" w:rsidP="006C3EDF">
      <w:pPr>
        <w:pStyle w:val="NoteLevel2"/>
        <w:rPr>
          <w:rFonts w:ascii="Times" w:hAnsi="Times"/>
          <w:lang w:val="en-CA"/>
        </w:rPr>
      </w:pPr>
      <w:r w:rsidRPr="006C3EDF">
        <w:rPr>
          <w:rFonts w:ascii="Times" w:hAnsi="Times"/>
          <w:lang w:val="en-CA"/>
        </w:rPr>
        <w:t>Para 33- First step in analysis- address only those distinctions that are intended to be prohibited by the Charter ; “worthiness”</w:t>
      </w:r>
    </w:p>
    <w:p w14:paraId="151DD952" w14:textId="77777777" w:rsidR="006C3EDF" w:rsidRPr="006C3EDF" w:rsidRDefault="006C3EDF" w:rsidP="006C3EDF">
      <w:pPr>
        <w:pStyle w:val="NoteLevel2"/>
        <w:rPr>
          <w:rFonts w:ascii="Times" w:hAnsi="Times"/>
          <w:lang w:val="en-CA"/>
        </w:rPr>
      </w:pPr>
      <w:r w:rsidRPr="006C3EDF">
        <w:rPr>
          <w:rFonts w:ascii="Times" w:hAnsi="Times"/>
          <w:lang w:val="en-CA"/>
        </w:rPr>
        <w:t>Para 34- distinction by itself is not sufficient to found violation, must show that the law has a discriminatory impact in terms of prejudicing or stereotyping in the sense expressed in Andrews.</w:t>
      </w:r>
    </w:p>
    <w:p w14:paraId="3526CD78" w14:textId="77777777" w:rsidR="006C3EDF" w:rsidRPr="006C3EDF" w:rsidRDefault="006C3EDF" w:rsidP="006C3EDF">
      <w:pPr>
        <w:pStyle w:val="NoteLevel2"/>
        <w:rPr>
          <w:rFonts w:ascii="Times" w:hAnsi="Times"/>
          <w:lang w:val="en-CA"/>
        </w:rPr>
      </w:pPr>
      <w:r w:rsidRPr="006C3EDF">
        <w:rPr>
          <w:rFonts w:ascii="Times" w:hAnsi="Times"/>
          <w:lang w:val="en-CA"/>
        </w:rPr>
        <w:t>Para 35- “The first way substantive inequality may be established…” the impugned law in purpose (government purposefully wrote the law that way) or effect (law is neutral on face but when applied it results in differential treatment) perpetuates prejudice and disadvantage…</w:t>
      </w:r>
    </w:p>
    <w:p w14:paraId="2CA554A7" w14:textId="77777777" w:rsidR="006C3EDF" w:rsidRPr="006C3EDF" w:rsidRDefault="006C3EDF" w:rsidP="006C3EDF">
      <w:pPr>
        <w:pStyle w:val="NoteLevel2"/>
        <w:rPr>
          <w:rFonts w:ascii="Times" w:hAnsi="Times"/>
          <w:lang w:val="en-CA"/>
        </w:rPr>
      </w:pPr>
      <w:r w:rsidRPr="006C3EDF">
        <w:rPr>
          <w:rFonts w:ascii="Times" w:hAnsi="Times"/>
          <w:lang w:val="en-CA"/>
        </w:rPr>
        <w:t>Para 36- “The second way that substantive inequality may be established…” disadvantage by the law is based on a stereotype that does not correspond to the actual circumstances and characteristics of the claimant.</w:t>
      </w:r>
    </w:p>
    <w:p w14:paraId="5DAD5F43" w14:textId="77777777" w:rsidR="006C3EDF" w:rsidRPr="006C3EDF" w:rsidRDefault="006C3EDF" w:rsidP="006C3EDF">
      <w:pPr>
        <w:pStyle w:val="NoteLevel2"/>
        <w:rPr>
          <w:rFonts w:ascii="Times" w:hAnsi="Times"/>
          <w:lang w:val="en-CA"/>
        </w:rPr>
      </w:pPr>
      <w:r w:rsidRPr="006C3EDF">
        <w:rPr>
          <w:rFonts w:ascii="Times" w:hAnsi="Times"/>
          <w:lang w:val="en-CA"/>
        </w:rPr>
        <w:t>“However, it is conceivable…not historically experienced disadvantage…but if permitted to continue would create a discriminatory impact.” (This may be an opening to creating new analogous grounds.</w:t>
      </w:r>
    </w:p>
    <w:p w14:paraId="5F2C69F3" w14:textId="77777777" w:rsidR="006C3EDF" w:rsidRPr="006C3EDF" w:rsidRDefault="006C3EDF" w:rsidP="006C3EDF">
      <w:pPr>
        <w:pStyle w:val="NoteLevel2"/>
        <w:rPr>
          <w:rFonts w:ascii="Times" w:hAnsi="Times"/>
          <w:lang w:val="en-CA"/>
        </w:rPr>
      </w:pPr>
      <w:r w:rsidRPr="006C3EDF">
        <w:rPr>
          <w:rFonts w:ascii="Times" w:hAnsi="Times"/>
          <w:lang w:val="en-CA"/>
        </w:rPr>
        <w:t>Para 38- “without attempting…discrimination analysis”- the factors listed are the same as in Law (1) pre-existing disadvantage, (2) correspondence, (3)part of the larger interest, and (4)nature of the interest (will add two more factors later on in the decision)</w:t>
      </w:r>
    </w:p>
    <w:p w14:paraId="45E97C99" w14:textId="77777777" w:rsidR="006C3EDF" w:rsidRPr="006C3EDF" w:rsidRDefault="006C3EDF" w:rsidP="006C3EDF">
      <w:pPr>
        <w:pStyle w:val="NoteLevel2"/>
        <w:rPr>
          <w:rFonts w:ascii="Times" w:hAnsi="Times"/>
          <w:lang w:val="en-CA"/>
        </w:rPr>
      </w:pPr>
      <w:r w:rsidRPr="006C3EDF">
        <w:rPr>
          <w:rFonts w:ascii="Times" w:hAnsi="Times"/>
          <w:lang w:val="en-CA"/>
        </w:rPr>
        <w:t>Para 39/40- more about substantive equality, want to get there, not about mirror comparisons, but a comparison is still needed to show differential treatment- “going behind the façade”. “What is required is not a formal comparison with a selected mirror comparator group, but an approach that looks at the full context…”</w:t>
      </w:r>
    </w:p>
    <w:p w14:paraId="295DD3F2" w14:textId="77699AA2" w:rsidR="006C3EDF" w:rsidRPr="0062744F" w:rsidRDefault="006C3EDF" w:rsidP="006C3EDF">
      <w:pPr>
        <w:pStyle w:val="NoteLevel1"/>
        <w:rPr>
          <w:rFonts w:ascii="Times" w:hAnsi="Times"/>
          <w:lang w:val="en-CA"/>
        </w:rPr>
      </w:pPr>
      <w:r w:rsidRPr="0062744F">
        <w:rPr>
          <w:rFonts w:ascii="Times" w:hAnsi="Times"/>
          <w:lang w:val="en-CA"/>
        </w:rPr>
        <w:t>- The Role of the Comparison- Para 41-54</w:t>
      </w:r>
    </w:p>
    <w:p w14:paraId="0F98C701" w14:textId="295E275F" w:rsidR="006C3EDF" w:rsidRPr="0062744F" w:rsidRDefault="006C3EDF" w:rsidP="006C3EDF">
      <w:pPr>
        <w:pStyle w:val="NoteLevel1"/>
        <w:rPr>
          <w:rFonts w:ascii="Times" w:hAnsi="Times"/>
          <w:lang w:val="en-CA"/>
        </w:rPr>
      </w:pPr>
      <w:r w:rsidRPr="0062744F">
        <w:rPr>
          <w:rFonts w:ascii="Times" w:hAnsi="Times"/>
          <w:lang w:val="en-CA"/>
        </w:rPr>
        <w:t>- Concerns with the Use of Mirror Comparator Groups- Para 55-60</w:t>
      </w:r>
    </w:p>
    <w:p w14:paraId="73172DE7" w14:textId="1C193E5B" w:rsidR="006C3EDF" w:rsidRPr="0062744F" w:rsidRDefault="006C3EDF" w:rsidP="006C3EDF">
      <w:pPr>
        <w:pStyle w:val="NoteLevel1"/>
        <w:rPr>
          <w:rFonts w:ascii="Times" w:hAnsi="Times"/>
          <w:lang w:val="en-CA"/>
        </w:rPr>
      </w:pPr>
      <w:r w:rsidRPr="0062744F">
        <w:rPr>
          <w:rFonts w:ascii="Times" w:hAnsi="Times"/>
          <w:lang w:val="en-CA"/>
        </w:rPr>
        <w:t>- The Proper Approach to Comparison- Para 61-67</w:t>
      </w:r>
    </w:p>
    <w:p w14:paraId="540DC2E9" w14:textId="1E6C25CC" w:rsidR="006C3EDF" w:rsidRPr="006C3EDF" w:rsidRDefault="006C3EDF" w:rsidP="00172625">
      <w:pPr>
        <w:pStyle w:val="NoteLevel2"/>
        <w:rPr>
          <w:rFonts w:ascii="Times" w:hAnsi="Times"/>
          <w:lang w:val="en-CA"/>
        </w:rPr>
      </w:pPr>
      <w:r w:rsidRPr="006C3EDF">
        <w:rPr>
          <w:rFonts w:ascii="Times" w:hAnsi="Times"/>
          <w:lang w:val="en-CA"/>
        </w:rPr>
        <w:t>As said above it is a two part test- comparison plays a role through the analysis, just taking away “mirror”.</w:t>
      </w:r>
    </w:p>
    <w:p w14:paraId="17E44188" w14:textId="3AFA4E2C" w:rsidR="006C3EDF" w:rsidRPr="006C3EDF" w:rsidRDefault="006C3EDF" w:rsidP="00172625">
      <w:pPr>
        <w:pStyle w:val="NoteLevel2"/>
        <w:rPr>
          <w:rFonts w:ascii="Times" w:hAnsi="Times"/>
          <w:lang w:val="en-CA"/>
        </w:rPr>
      </w:pPr>
      <w:r w:rsidRPr="006C3EDF">
        <w:rPr>
          <w:rFonts w:ascii="Times" w:hAnsi="Times"/>
          <w:lang w:val="en-CA"/>
        </w:rPr>
        <w:t>How comparison is engaged at first step:</w:t>
      </w:r>
    </w:p>
    <w:p w14:paraId="2AB2B435" w14:textId="77777777" w:rsidR="006C3EDF" w:rsidRPr="006C3EDF" w:rsidRDefault="006C3EDF" w:rsidP="00172625">
      <w:pPr>
        <w:pStyle w:val="NoteLevel3"/>
        <w:rPr>
          <w:rFonts w:ascii="Times" w:hAnsi="Times"/>
          <w:lang w:val="en-CA"/>
        </w:rPr>
      </w:pPr>
      <w:r w:rsidRPr="006C3EDF">
        <w:rPr>
          <w:rFonts w:ascii="Times" w:hAnsi="Times"/>
          <w:lang w:val="en-CA"/>
        </w:rPr>
        <w:t>Para 62- comparison engaged…denied a benefit that others are granted to carries a burden that others do not, by reason of…(enum or analog grounds)</w:t>
      </w:r>
    </w:p>
    <w:p w14:paraId="24B818C4" w14:textId="77777777" w:rsidR="006C3EDF" w:rsidRPr="006C3EDF" w:rsidRDefault="006C3EDF" w:rsidP="00172625">
      <w:pPr>
        <w:pStyle w:val="NoteLevel3"/>
        <w:rPr>
          <w:rFonts w:ascii="Times" w:hAnsi="Times"/>
          <w:lang w:val="en-CA"/>
        </w:rPr>
      </w:pPr>
      <w:r w:rsidRPr="006C3EDF">
        <w:rPr>
          <w:rFonts w:ascii="Times" w:hAnsi="Times"/>
          <w:lang w:val="en-CA"/>
        </w:rPr>
        <w:t>Para 63- unnecessary to pinpoint a group with precise correspondence; ‘provides the flexibility to accommodate claims based on intersecting grounds of discrimination…avoids eliminating claims at the outset..”</w:t>
      </w:r>
    </w:p>
    <w:p w14:paraId="459AE3EE" w14:textId="77777777" w:rsidR="006C3EDF" w:rsidRPr="006C3EDF" w:rsidRDefault="006C3EDF" w:rsidP="00172625">
      <w:pPr>
        <w:pStyle w:val="NoteLevel3"/>
        <w:rPr>
          <w:rFonts w:ascii="Times" w:hAnsi="Times"/>
          <w:lang w:val="en-CA"/>
        </w:rPr>
      </w:pPr>
      <w:r w:rsidRPr="006C3EDF">
        <w:rPr>
          <w:rFonts w:ascii="Times" w:hAnsi="Times"/>
          <w:lang w:val="en-CA"/>
        </w:rPr>
        <w:t>Para 64- some cases the distinction is straight-forward because the law makes the distinction on its face, in other it is more difficult (indirect discrimination- in “effect”)</w:t>
      </w:r>
    </w:p>
    <w:p w14:paraId="6226FB4C" w14:textId="2F95D40A" w:rsidR="006C3EDF" w:rsidRPr="006C3EDF" w:rsidRDefault="006C3EDF" w:rsidP="00172625">
      <w:pPr>
        <w:pStyle w:val="NoteLevel2"/>
        <w:rPr>
          <w:rFonts w:ascii="Times" w:hAnsi="Times"/>
          <w:lang w:val="en-CA"/>
        </w:rPr>
      </w:pPr>
      <w:r w:rsidRPr="006C3EDF">
        <w:rPr>
          <w:rFonts w:ascii="Times" w:hAnsi="Times"/>
          <w:lang w:val="en-CA"/>
        </w:rPr>
        <w:t xml:space="preserve">How comparison is engaged at second step: </w:t>
      </w:r>
    </w:p>
    <w:p w14:paraId="0C838AA6" w14:textId="77777777" w:rsidR="006C3EDF" w:rsidRPr="006C3EDF" w:rsidRDefault="006C3EDF" w:rsidP="00172625">
      <w:pPr>
        <w:pStyle w:val="NoteLevel3"/>
        <w:rPr>
          <w:rFonts w:ascii="Times" w:hAnsi="Times"/>
          <w:lang w:val="en-CA"/>
        </w:rPr>
      </w:pPr>
      <w:r w:rsidRPr="006C3EDF">
        <w:rPr>
          <w:rFonts w:ascii="Times" w:hAnsi="Times"/>
          <w:lang w:val="en-CA"/>
        </w:rPr>
        <w:t>Para 65- “Comparison may bolster the contextual understanding of a claimant’s place with a legislative scheme and society at large and thus help determine whether the impugned law or decision perpetuates disadvantage or stereotyping.”</w:t>
      </w:r>
    </w:p>
    <w:p w14:paraId="2D6AB555" w14:textId="77777777" w:rsidR="006C3EDF" w:rsidRPr="006C3EDF" w:rsidRDefault="006C3EDF" w:rsidP="00172625">
      <w:pPr>
        <w:pStyle w:val="NoteLevel3"/>
        <w:rPr>
          <w:rFonts w:ascii="Times" w:hAnsi="Times"/>
          <w:lang w:val="en-CA"/>
        </w:rPr>
      </w:pPr>
      <w:r w:rsidRPr="006C3EDF">
        <w:rPr>
          <w:rFonts w:ascii="Times" w:hAnsi="Times"/>
          <w:lang w:val="en-CA"/>
        </w:rPr>
        <w:t>Para 66- contextual factors may vary, the 4 from Law may be helpful, but don’t need all 4 in all cases, will also be cases where factors not considered in Law will be contemplated (this is the opening to 5&amp;6)</w:t>
      </w:r>
    </w:p>
    <w:p w14:paraId="71BB4C1A" w14:textId="77777777" w:rsidR="006C3EDF" w:rsidRPr="006C3EDF" w:rsidRDefault="006C3EDF" w:rsidP="00172625">
      <w:pPr>
        <w:pStyle w:val="NoteLevel3"/>
        <w:rPr>
          <w:rFonts w:ascii="Times" w:hAnsi="Times"/>
          <w:lang w:val="en-CA"/>
        </w:rPr>
      </w:pPr>
      <w:r w:rsidRPr="006C3EDF">
        <w:rPr>
          <w:rFonts w:ascii="Times" w:hAnsi="Times"/>
          <w:lang w:val="en-CA"/>
        </w:rPr>
        <w:t>Para 67-  Contextual factor #5- “take into account the fact that such programs are designed to benefit a number of different groups and necessarily draw lines on factors like age…”  Contextual factor #6- “allocation of resources and particular policy goals that the legislature may be seeking to achieve may also be considered”.</w:t>
      </w:r>
    </w:p>
    <w:p w14:paraId="39637390" w14:textId="77777777" w:rsidR="006C3EDF" w:rsidRPr="006C3EDF" w:rsidRDefault="006C3EDF" w:rsidP="006C3EDF">
      <w:pPr>
        <w:pStyle w:val="NoteLevel1"/>
        <w:rPr>
          <w:rFonts w:ascii="Times" w:hAnsi="Times"/>
          <w:lang w:val="en-CA"/>
        </w:rPr>
      </w:pPr>
    </w:p>
    <w:p w14:paraId="58D402A2" w14:textId="77777777" w:rsidR="006C3EDF" w:rsidRPr="006C3EDF" w:rsidRDefault="006C3EDF" w:rsidP="006C3EDF">
      <w:pPr>
        <w:pStyle w:val="NoteLevel1"/>
        <w:rPr>
          <w:rFonts w:ascii="Times" w:hAnsi="Times"/>
          <w:u w:val="single"/>
          <w:lang w:val="en-CA"/>
        </w:rPr>
      </w:pPr>
      <w:r w:rsidRPr="006C3EDF">
        <w:rPr>
          <w:rFonts w:ascii="Times" w:hAnsi="Times"/>
          <w:u w:val="single"/>
          <w:lang w:val="en-CA"/>
        </w:rPr>
        <w:t>Corbiere:</w:t>
      </w:r>
    </w:p>
    <w:p w14:paraId="5875F79D" w14:textId="601F3ADD" w:rsidR="006C3EDF" w:rsidRPr="006C3EDF" w:rsidRDefault="006C3EDF" w:rsidP="006C3EDF">
      <w:pPr>
        <w:pStyle w:val="NoteLevel1"/>
        <w:rPr>
          <w:rFonts w:ascii="Times" w:hAnsi="Times"/>
          <w:lang w:val="en-CA"/>
        </w:rPr>
      </w:pPr>
      <w:r>
        <w:rPr>
          <w:rFonts w:ascii="Times" w:hAnsi="Times"/>
          <w:lang w:val="en-CA"/>
        </w:rPr>
        <w:t xml:space="preserve">- </w:t>
      </w:r>
      <w:r w:rsidRPr="006C3EDF">
        <w:rPr>
          <w:rFonts w:ascii="Times" w:hAnsi="Times"/>
          <w:lang w:val="en-CA"/>
        </w:rPr>
        <w:t>Relevance to course- how to determine an analogous ground</w:t>
      </w:r>
    </w:p>
    <w:p w14:paraId="2143DF53" w14:textId="77777777" w:rsidR="006C3EDF" w:rsidRDefault="006C3EDF" w:rsidP="006C3EDF">
      <w:pPr>
        <w:pStyle w:val="NoteLevel1"/>
        <w:rPr>
          <w:rFonts w:ascii="Times" w:hAnsi="Times"/>
          <w:lang w:val="en-CA"/>
        </w:rPr>
      </w:pPr>
      <w:r>
        <w:rPr>
          <w:rFonts w:ascii="Times" w:hAnsi="Times"/>
          <w:lang w:val="en-CA"/>
        </w:rPr>
        <w:t xml:space="preserve">- </w:t>
      </w:r>
      <w:r w:rsidRPr="006C3EDF">
        <w:rPr>
          <w:rFonts w:ascii="Times" w:hAnsi="Times"/>
          <w:lang w:val="en-CA"/>
        </w:rPr>
        <w:t>Need to determine what is being denied/interest affected- in this</w:t>
      </w:r>
      <w:r>
        <w:rPr>
          <w:rFonts w:ascii="Times" w:hAnsi="Times"/>
          <w:lang w:val="en-CA"/>
        </w:rPr>
        <w:t xml:space="preserve"> case it is the right to vote.</w:t>
      </w:r>
    </w:p>
    <w:p w14:paraId="40A9180E" w14:textId="4CAD1A66" w:rsidR="006C3EDF" w:rsidRPr="006C3EDF" w:rsidRDefault="006C3EDF" w:rsidP="006C3EDF">
      <w:pPr>
        <w:pStyle w:val="NoteLevel1"/>
        <w:rPr>
          <w:rFonts w:ascii="Times" w:hAnsi="Times"/>
          <w:lang w:val="en-CA"/>
        </w:rPr>
      </w:pPr>
      <w:r>
        <w:rPr>
          <w:rFonts w:ascii="Times" w:hAnsi="Times"/>
          <w:lang w:val="en-CA"/>
        </w:rPr>
        <w:t xml:space="preserve">- </w:t>
      </w:r>
      <w:r w:rsidRPr="006C3EDF">
        <w:rPr>
          <w:rFonts w:ascii="Times" w:hAnsi="Times"/>
          <w:lang w:val="en-CA"/>
        </w:rPr>
        <w:t>Indian Act- those living off reserve were not allowed to vote in band elections.  This is a case that talks about how to identify personal characteristics that rise to level of analogous grounds.</w:t>
      </w:r>
    </w:p>
    <w:p w14:paraId="320C98A5" w14:textId="27DA865C" w:rsidR="006C3EDF" w:rsidRPr="006C3EDF" w:rsidRDefault="006C3EDF" w:rsidP="006C3EDF">
      <w:pPr>
        <w:pStyle w:val="NoteLevel1"/>
        <w:rPr>
          <w:rFonts w:ascii="Times" w:hAnsi="Times"/>
          <w:lang w:val="en-CA"/>
        </w:rPr>
      </w:pPr>
      <w:r>
        <w:rPr>
          <w:rFonts w:ascii="Times" w:hAnsi="Times"/>
          <w:lang w:val="en-CA"/>
        </w:rPr>
        <w:t xml:space="preserve">- </w:t>
      </w:r>
      <w:r w:rsidRPr="006C3EDF">
        <w:rPr>
          <w:rFonts w:ascii="Times" w:hAnsi="Times"/>
          <w:lang w:val="en-CA"/>
        </w:rPr>
        <w:t xml:space="preserve">Does residence on/off reserve equal an analogous ground? If not, discrimination claim fails from the outset </w:t>
      </w:r>
    </w:p>
    <w:p w14:paraId="2848B754" w14:textId="05613FF5" w:rsidR="006C3EDF" w:rsidRPr="006C3EDF" w:rsidRDefault="006C3EDF" w:rsidP="006C3EDF">
      <w:pPr>
        <w:pStyle w:val="NoteLevel1"/>
        <w:rPr>
          <w:rFonts w:ascii="Times" w:hAnsi="Times"/>
          <w:lang w:val="en-CA"/>
        </w:rPr>
      </w:pPr>
      <w:r>
        <w:rPr>
          <w:rFonts w:ascii="Times" w:hAnsi="Times"/>
          <w:lang w:val="en-CA"/>
        </w:rPr>
        <w:t xml:space="preserve">- </w:t>
      </w:r>
      <w:r w:rsidRPr="006C3EDF">
        <w:rPr>
          <w:rFonts w:ascii="Times" w:hAnsi="Times"/>
          <w:lang w:val="en-CA"/>
        </w:rPr>
        <w:t xml:space="preserve">Para 4: First step- distinction that denies equal benefit or an unequal burden? Yes. </w:t>
      </w:r>
    </w:p>
    <w:p w14:paraId="08ADCCA3" w14:textId="7EDF46E2" w:rsidR="006C3EDF" w:rsidRPr="006C3EDF" w:rsidRDefault="006C3EDF" w:rsidP="006C3EDF">
      <w:pPr>
        <w:pStyle w:val="NoteLevel1"/>
        <w:rPr>
          <w:rFonts w:ascii="Times" w:hAnsi="Times"/>
          <w:lang w:val="en-CA"/>
        </w:rPr>
      </w:pPr>
      <w:r>
        <w:rPr>
          <w:rFonts w:ascii="Times" w:hAnsi="Times"/>
          <w:lang w:val="en-CA"/>
        </w:rPr>
        <w:t xml:space="preserve">- </w:t>
      </w:r>
      <w:r w:rsidRPr="006C3EDF">
        <w:rPr>
          <w:rFonts w:ascii="Times" w:hAnsi="Times"/>
          <w:lang w:val="en-CA"/>
        </w:rPr>
        <w:t>Para 5: Second step- Is the distinction based on enumerated or analogous grounds? Yes.</w:t>
      </w:r>
    </w:p>
    <w:p w14:paraId="0E9048C2" w14:textId="56AF44BC" w:rsidR="006C3EDF" w:rsidRPr="006C3EDF" w:rsidRDefault="006C3EDF" w:rsidP="006C3EDF">
      <w:pPr>
        <w:pStyle w:val="NoteLevel1"/>
        <w:rPr>
          <w:rFonts w:ascii="Times" w:hAnsi="Times"/>
          <w:lang w:val="en-CA"/>
        </w:rPr>
      </w:pPr>
      <w:r>
        <w:rPr>
          <w:rFonts w:ascii="Times" w:hAnsi="Times"/>
          <w:lang w:val="en-CA"/>
        </w:rPr>
        <w:t xml:space="preserve">- </w:t>
      </w:r>
      <w:r w:rsidRPr="006C3EDF">
        <w:rPr>
          <w:rFonts w:ascii="Times" w:hAnsi="Times"/>
          <w:lang w:val="en-CA"/>
        </w:rPr>
        <w:t>Para 6: Court just wanted to clarify something in minority decision- whether or not it can be considered analogous is not dependant on the circumstances, an analogous ground is just that.  It doesn’t automatically mean just because you found it to be an analogous ground that there is discrimination, you still have to go through the four contextual factors.  It is just a marker.  Then you move the analysis to the 3</w:t>
      </w:r>
      <w:r w:rsidRPr="006C3EDF">
        <w:rPr>
          <w:rFonts w:ascii="Times" w:hAnsi="Times"/>
          <w:vertAlign w:val="superscript"/>
          <w:lang w:val="en-CA"/>
        </w:rPr>
        <w:t>rd</w:t>
      </w:r>
      <w:r w:rsidRPr="006C3EDF">
        <w:rPr>
          <w:rFonts w:ascii="Times" w:hAnsi="Times"/>
          <w:lang w:val="en-CA"/>
        </w:rPr>
        <w:t xml:space="preserve"> stage, whether it amounts to discrimination in purpose or effect on facts of case (contextual factors).</w:t>
      </w:r>
    </w:p>
    <w:p w14:paraId="5043EF27" w14:textId="1CECCB39" w:rsidR="006C3EDF" w:rsidRPr="0062744F" w:rsidRDefault="006C3EDF" w:rsidP="006C3EDF">
      <w:pPr>
        <w:pStyle w:val="NoteLevel1"/>
        <w:rPr>
          <w:rFonts w:ascii="Times" w:hAnsi="Times"/>
          <w:color w:val="008000"/>
          <w:lang w:val="en-CA"/>
        </w:rPr>
      </w:pPr>
      <w:r w:rsidRPr="0062744F">
        <w:rPr>
          <w:rFonts w:ascii="Times" w:hAnsi="Times"/>
          <w:color w:val="008000"/>
          <w:lang w:val="en-CA"/>
        </w:rPr>
        <w:t>- Para 13 (very important- need this for final exam- make sure you have a copy of this paragraph in your notes):</w:t>
      </w:r>
    </w:p>
    <w:p w14:paraId="593A793E" w14:textId="0F372AD6" w:rsidR="006C3EDF" w:rsidRPr="006C3EDF" w:rsidRDefault="006C3EDF" w:rsidP="00B0421D">
      <w:pPr>
        <w:pStyle w:val="NoteLevel2"/>
        <w:rPr>
          <w:rFonts w:ascii="Times" w:hAnsi="Times"/>
          <w:lang w:val="en-CA"/>
        </w:rPr>
      </w:pPr>
      <w:r w:rsidRPr="006C3EDF">
        <w:rPr>
          <w:rFonts w:ascii="Times" w:hAnsi="Times"/>
          <w:lang w:val="en-CA"/>
        </w:rPr>
        <w:t>Criteria by which we identify a ground of distinction as analogous?  Well, what do enumerated grounds have in common?  They all serve as the basis for stereotypical decisions made, not on the basis of merit, but on the basis of a personal characteristic that is immutable or changeable only at an unacceptable cost to personal identity.  (Grounds we can’t change like race or skin colour, or grounds that the government has not legitimate interest in expecting us to change to receive equal treatment like religion).</w:t>
      </w:r>
    </w:p>
    <w:p w14:paraId="334A23B4" w14:textId="16F1D86E" w:rsidR="006C3EDF" w:rsidRPr="006C3EDF" w:rsidRDefault="006C3EDF" w:rsidP="006C3EDF">
      <w:pPr>
        <w:pStyle w:val="NoteLevel1"/>
        <w:rPr>
          <w:rFonts w:ascii="Times" w:hAnsi="Times"/>
          <w:lang w:val="en-CA"/>
        </w:rPr>
      </w:pPr>
      <w:r>
        <w:rPr>
          <w:rFonts w:ascii="Times" w:hAnsi="Times"/>
          <w:lang w:val="en-CA"/>
        </w:rPr>
        <w:t xml:space="preserve">- </w:t>
      </w:r>
      <w:r w:rsidRPr="006C3EDF">
        <w:rPr>
          <w:rFonts w:ascii="Times" w:hAnsi="Times"/>
          <w:lang w:val="en-CA"/>
        </w:rPr>
        <w:t>Para 15- don’t confuse ordinary residence decisions faced by average Canadians with the profound decisions Aboriginals band members face to live on or off the reserves.</w:t>
      </w:r>
    </w:p>
    <w:p w14:paraId="2FF44A22" w14:textId="77777777" w:rsidR="0074241F" w:rsidRDefault="0074241F" w:rsidP="006C3EDF">
      <w:pPr>
        <w:pStyle w:val="NoteLevel1"/>
        <w:rPr>
          <w:rFonts w:ascii="Times" w:hAnsi="Times"/>
        </w:rPr>
        <w:sectPr w:rsidR="0074241F" w:rsidSect="006C3EDF">
          <w:headerReference w:type="first" r:id="rId15"/>
          <w:pgSz w:w="12240" w:h="15840"/>
          <w:pgMar w:top="1440" w:right="1440" w:bottom="1440" w:left="1440" w:header="708" w:footer="708" w:gutter="0"/>
          <w:cols w:space="708"/>
          <w:titlePg/>
          <w:docGrid w:type="lines" w:linePitch="360"/>
        </w:sectPr>
      </w:pPr>
    </w:p>
    <w:p w14:paraId="1CDC41CC" w14:textId="1B8D73E5" w:rsidR="00943CD9" w:rsidRDefault="00943CD9" w:rsidP="00943CD9">
      <w:pPr>
        <w:pStyle w:val="NoteLevel1"/>
        <w:rPr>
          <w:rFonts w:ascii="Times" w:hAnsi="Times"/>
        </w:rPr>
      </w:pPr>
      <w:r>
        <w:rPr>
          <w:rFonts w:ascii="Times" w:hAnsi="Times"/>
          <w:u w:val="single"/>
        </w:rPr>
        <w:t>Falkiner v. Ontario (Ministry of Community and Social Services, Income Maintenance Branch)</w:t>
      </w:r>
    </w:p>
    <w:p w14:paraId="1CA3EA3E" w14:textId="1AC06886" w:rsidR="00943CD9" w:rsidRDefault="00943CD9" w:rsidP="00943CD9">
      <w:pPr>
        <w:pStyle w:val="NoteLevel1"/>
        <w:rPr>
          <w:rFonts w:ascii="Times" w:hAnsi="Times"/>
        </w:rPr>
      </w:pPr>
      <w:r>
        <w:rPr>
          <w:rFonts w:ascii="Times" w:hAnsi="Times"/>
        </w:rPr>
        <w:t xml:space="preserve">- </w:t>
      </w:r>
      <w:r w:rsidR="003666C4">
        <w:rPr>
          <w:rFonts w:ascii="Times" w:hAnsi="Times"/>
        </w:rPr>
        <w:t xml:space="preserve">Between 197-95, regulations under Ontario Family Benefits Act deemed persons spouses if they lived together for at least 3 years </w:t>
      </w:r>
    </w:p>
    <w:p w14:paraId="4A36289A" w14:textId="5E576CF5" w:rsidR="003666C4" w:rsidRDefault="003666C4" w:rsidP="00943CD9">
      <w:pPr>
        <w:pStyle w:val="NoteLevel1"/>
        <w:rPr>
          <w:rFonts w:ascii="Times" w:hAnsi="Times"/>
        </w:rPr>
      </w:pPr>
      <w:r>
        <w:rPr>
          <w:rFonts w:ascii="Times" w:hAnsi="Times"/>
        </w:rPr>
        <w:t xml:space="preserve">- In 1995, the amendment defined the spouse to include persons of the opposite sex, living in the same place who had “a mutual agreement or arrangement regarding their financial affairs” and a relationship that amounted to “cohabitation”. Under this amendment, once persons of the opposite sex began living together they were presumed to be spouses unless they provided evidence to the contrary. It is this 1995 definition of spouse that is in issue in these appeals. </w:t>
      </w:r>
    </w:p>
    <w:p w14:paraId="1A4EDBEA" w14:textId="56E418AB" w:rsidR="003666C4" w:rsidRDefault="003666C4" w:rsidP="003666C4">
      <w:pPr>
        <w:pStyle w:val="NoteLevel2"/>
        <w:rPr>
          <w:rFonts w:ascii="Times" w:hAnsi="Times"/>
        </w:rPr>
      </w:pPr>
      <w:r>
        <w:rPr>
          <w:rFonts w:ascii="Times" w:hAnsi="Times"/>
        </w:rPr>
        <w:t xml:space="preserve">Colloquially called the “spouse in the house” rule </w:t>
      </w:r>
    </w:p>
    <w:p w14:paraId="54AEF46F" w14:textId="35C7E7F9" w:rsidR="003666C4" w:rsidRDefault="00904CEE" w:rsidP="003666C4">
      <w:pPr>
        <w:pStyle w:val="NoteLevel1"/>
        <w:rPr>
          <w:rFonts w:ascii="Times" w:hAnsi="Times"/>
        </w:rPr>
      </w:pPr>
      <w:r>
        <w:rPr>
          <w:rFonts w:ascii="Times" w:hAnsi="Times"/>
        </w:rPr>
        <w:t xml:space="preserve">- </w:t>
      </w:r>
      <w:r w:rsidR="00426EAD">
        <w:rPr>
          <w:rFonts w:ascii="Times" w:hAnsi="Times"/>
        </w:rPr>
        <w:t xml:space="preserve">In this appeal, each respondent was an unmarried woman, had a dependent child or children, and was in a “try on” relationship w/ a man with whom she had lived for less than a year. Prior to 1995, both receiving social assistance as a single mother. After the </w:t>
      </w:r>
      <w:r w:rsidR="00B03A0A">
        <w:rPr>
          <w:rFonts w:ascii="Times" w:hAnsi="Times"/>
        </w:rPr>
        <w:t>‘</w:t>
      </w:r>
      <w:r w:rsidR="00426EAD">
        <w:rPr>
          <w:rFonts w:ascii="Times" w:hAnsi="Times"/>
        </w:rPr>
        <w:t xml:space="preserve">95 amendments, they were re-classified as souses which mean that each respondent lost eligibility to receive family benefits as a “sole support parent” </w:t>
      </w:r>
    </w:p>
    <w:p w14:paraId="66CB7EEE" w14:textId="5519AD9E" w:rsidR="00426EAD" w:rsidRDefault="00426EAD" w:rsidP="00426EAD">
      <w:pPr>
        <w:pStyle w:val="NoteLevel2"/>
        <w:rPr>
          <w:rFonts w:ascii="Times" w:hAnsi="Times"/>
        </w:rPr>
      </w:pPr>
      <w:r>
        <w:rPr>
          <w:rFonts w:ascii="Times" w:hAnsi="Times"/>
        </w:rPr>
        <w:t xml:space="preserve">“Try on” meaning that they were not necessarily ready for common law relationships. The women in this appeal had all suffered previously from abusive relationships, and therefore were not ready to jump into the commitment of common law. </w:t>
      </w:r>
    </w:p>
    <w:p w14:paraId="682E5903" w14:textId="70238916" w:rsidR="00426EAD" w:rsidRDefault="00D9792A" w:rsidP="00426EAD">
      <w:pPr>
        <w:pStyle w:val="NoteLevel1"/>
        <w:rPr>
          <w:rFonts w:ascii="Times" w:hAnsi="Times"/>
        </w:rPr>
      </w:pPr>
      <w:r>
        <w:rPr>
          <w:rFonts w:ascii="Times" w:hAnsi="Times"/>
        </w:rPr>
        <w:t xml:space="preserve">- </w:t>
      </w:r>
      <w:r w:rsidR="00B03A0A">
        <w:rPr>
          <w:rFonts w:ascii="Times" w:hAnsi="Times"/>
        </w:rPr>
        <w:t>The Ontario gov’t contends that the ’95 definition was intended to legislate equality between married &amp; common law couples and too allocate social assistance to those most in need. They submit that this promotes equality</w:t>
      </w:r>
    </w:p>
    <w:p w14:paraId="6A389231" w14:textId="6FC8FA9C" w:rsidR="00B03A0A" w:rsidRDefault="00B03A0A" w:rsidP="00426EAD">
      <w:pPr>
        <w:pStyle w:val="NoteLevel1"/>
        <w:rPr>
          <w:rFonts w:ascii="Times" w:hAnsi="Times"/>
        </w:rPr>
      </w:pPr>
      <w:r>
        <w:rPr>
          <w:rFonts w:ascii="Times" w:hAnsi="Times"/>
        </w:rPr>
        <w:t xml:space="preserve">- The respondents submit that the definition distinguished between social assistance recipients and all others, and between women and single mothers on social assistance and others on social assistance </w:t>
      </w:r>
    </w:p>
    <w:p w14:paraId="0162FF11" w14:textId="5DEF891D" w:rsidR="006957E7" w:rsidRDefault="00522F3E" w:rsidP="00426EAD">
      <w:pPr>
        <w:pStyle w:val="NoteLevel1"/>
        <w:rPr>
          <w:rFonts w:ascii="Times" w:hAnsi="Times"/>
        </w:rPr>
      </w:pPr>
      <w:r>
        <w:rPr>
          <w:rFonts w:ascii="Times" w:hAnsi="Times"/>
        </w:rPr>
        <w:t>- Para 11 &amp; 12</w:t>
      </w:r>
      <w:r w:rsidR="00A05920">
        <w:rPr>
          <w:rFonts w:ascii="Times" w:hAnsi="Times"/>
        </w:rPr>
        <w:t>: c</w:t>
      </w:r>
      <w:r>
        <w:rPr>
          <w:rFonts w:ascii="Times" w:hAnsi="Times"/>
        </w:rPr>
        <w:t>ontextualize social assistance</w:t>
      </w:r>
    </w:p>
    <w:p w14:paraId="2E8AB1A7" w14:textId="1ABBCC09" w:rsidR="00890634" w:rsidRPr="00890634" w:rsidRDefault="00A05920" w:rsidP="00890634">
      <w:pPr>
        <w:pStyle w:val="NoteLevel1"/>
        <w:rPr>
          <w:rFonts w:ascii="Times" w:hAnsi="Times"/>
        </w:rPr>
      </w:pPr>
      <w:r>
        <w:rPr>
          <w:rFonts w:ascii="Times" w:hAnsi="Times"/>
        </w:rPr>
        <w:t xml:space="preserve">- Para 77: </w:t>
      </w:r>
      <w:r w:rsidR="00BD7D97">
        <w:rPr>
          <w:rFonts w:ascii="Times" w:hAnsi="Times"/>
        </w:rPr>
        <w:t xml:space="preserve">table of % on social assistance/affected by the definition </w:t>
      </w:r>
    </w:p>
    <w:p w14:paraId="1E69BD6D" w14:textId="2F6B0CBA" w:rsidR="005A5E4C" w:rsidRDefault="005A5E4C" w:rsidP="00890634">
      <w:pPr>
        <w:pStyle w:val="NoteLevel1"/>
        <w:rPr>
          <w:rFonts w:ascii="Times" w:hAnsi="Times"/>
        </w:rPr>
      </w:pPr>
      <w:r>
        <w:rPr>
          <w:rFonts w:ascii="Times" w:hAnsi="Times"/>
        </w:rPr>
        <w:t xml:space="preserve">- Comparisons: </w:t>
      </w:r>
    </w:p>
    <w:p w14:paraId="6D83F91E" w14:textId="77777777" w:rsidR="002F0288" w:rsidRPr="002F0288" w:rsidRDefault="002F0288" w:rsidP="002F0288">
      <w:pPr>
        <w:pStyle w:val="NoteLevel2"/>
        <w:rPr>
          <w:rFonts w:ascii="Times" w:hAnsi="Times"/>
        </w:rPr>
      </w:pPr>
      <w:r w:rsidRPr="002F0288">
        <w:rPr>
          <w:rFonts w:ascii="Times" w:hAnsi="Times"/>
        </w:rPr>
        <w:t xml:space="preserve">Women on Social Assistance vs. Men on Social Assistance </w:t>
      </w:r>
    </w:p>
    <w:p w14:paraId="7AF8E5A3" w14:textId="77777777" w:rsidR="00890634" w:rsidRPr="002F0288" w:rsidRDefault="002F0288" w:rsidP="002F0288">
      <w:pPr>
        <w:pStyle w:val="NoteLevel3"/>
        <w:rPr>
          <w:rFonts w:ascii="Times" w:hAnsi="Times"/>
        </w:rPr>
      </w:pPr>
      <w:r w:rsidRPr="002F0288">
        <w:rPr>
          <w:rFonts w:ascii="Times" w:hAnsi="Times"/>
        </w:rPr>
        <w:t>Differential treatment based on gender, which is an enumerated ground, therefore you run through the contextual factors and determine whether or not there is discrimination</w:t>
      </w:r>
    </w:p>
    <w:p w14:paraId="398E943A" w14:textId="77777777" w:rsidR="002F0288" w:rsidRPr="002F0288" w:rsidRDefault="002F0288" w:rsidP="002F0288">
      <w:pPr>
        <w:pStyle w:val="NoteLevel2"/>
        <w:rPr>
          <w:rFonts w:ascii="Times" w:hAnsi="Times"/>
        </w:rPr>
      </w:pPr>
      <w:r w:rsidRPr="002F0288">
        <w:rPr>
          <w:rFonts w:ascii="Times" w:hAnsi="Times"/>
        </w:rPr>
        <w:t xml:space="preserve">Single Mothers on Social Assistance vs. Single Fathers on Social Assistance </w:t>
      </w:r>
    </w:p>
    <w:p w14:paraId="633B1AE7" w14:textId="16D71FD3" w:rsidR="002F0288" w:rsidRPr="002F0288" w:rsidRDefault="002F0288" w:rsidP="002F0288">
      <w:pPr>
        <w:pStyle w:val="NoteLevel3"/>
        <w:rPr>
          <w:rFonts w:ascii="Times" w:hAnsi="Times"/>
        </w:rPr>
      </w:pPr>
      <w:r w:rsidRPr="002F0288">
        <w:rPr>
          <w:rFonts w:ascii="Times" w:hAnsi="Times"/>
        </w:rPr>
        <w:t xml:space="preserve">Differential treatment based on either gender or family status, you have a comparison and analogous ground (except for family status, this is not an established enumerated or analogous ground), and can continue with the rest **can also go on marital status because they are single people </w:t>
      </w:r>
    </w:p>
    <w:p w14:paraId="64F3819B" w14:textId="7424FDA1" w:rsidR="00642A5D" w:rsidRDefault="000F18DF" w:rsidP="008A1F7B">
      <w:pPr>
        <w:pStyle w:val="NoteLevel2"/>
        <w:rPr>
          <w:rFonts w:ascii="Times" w:hAnsi="Times"/>
        </w:rPr>
      </w:pPr>
      <w:r>
        <w:rPr>
          <w:rFonts w:ascii="Times" w:hAnsi="Times"/>
        </w:rPr>
        <w:t xml:space="preserve">People on </w:t>
      </w:r>
      <w:r w:rsidR="008A1F7B">
        <w:rPr>
          <w:rFonts w:ascii="Times" w:hAnsi="Times"/>
        </w:rPr>
        <w:t>S</w:t>
      </w:r>
      <w:r w:rsidR="005A5E4C">
        <w:rPr>
          <w:rFonts w:ascii="Times" w:hAnsi="Times"/>
        </w:rPr>
        <w:t xml:space="preserve">ocial </w:t>
      </w:r>
      <w:r w:rsidR="008A1F7B">
        <w:rPr>
          <w:rFonts w:ascii="Times" w:hAnsi="Times"/>
        </w:rPr>
        <w:t>A</w:t>
      </w:r>
      <w:r w:rsidR="005A5E4C">
        <w:rPr>
          <w:rFonts w:ascii="Times" w:hAnsi="Times"/>
        </w:rPr>
        <w:t>ssistance and in a “</w:t>
      </w:r>
      <w:r w:rsidR="004757C5">
        <w:rPr>
          <w:rFonts w:ascii="Times" w:hAnsi="Times"/>
        </w:rPr>
        <w:t>Try O</w:t>
      </w:r>
      <w:r w:rsidR="005A5E4C">
        <w:rPr>
          <w:rFonts w:ascii="Times" w:hAnsi="Times"/>
        </w:rPr>
        <w:t xml:space="preserve">n” vs. </w:t>
      </w:r>
      <w:r>
        <w:rPr>
          <w:rFonts w:ascii="Times" w:hAnsi="Times"/>
        </w:rPr>
        <w:t>People n</w:t>
      </w:r>
      <w:r w:rsidR="005A5E4C">
        <w:rPr>
          <w:rFonts w:ascii="Times" w:hAnsi="Times"/>
        </w:rPr>
        <w:t>ot on Social Assistance and in a “</w:t>
      </w:r>
      <w:r w:rsidR="004757C5">
        <w:rPr>
          <w:rFonts w:ascii="Times" w:hAnsi="Times"/>
        </w:rPr>
        <w:t>Try O</w:t>
      </w:r>
      <w:r w:rsidR="005A5E4C">
        <w:rPr>
          <w:rFonts w:ascii="Times" w:hAnsi="Times"/>
        </w:rPr>
        <w:t>n”</w:t>
      </w:r>
      <w:r w:rsidR="004757C5">
        <w:rPr>
          <w:rFonts w:ascii="Times" w:hAnsi="Times"/>
        </w:rPr>
        <w:t xml:space="preserve"> R</w:t>
      </w:r>
      <w:r w:rsidR="005A5E4C">
        <w:rPr>
          <w:rFonts w:ascii="Times" w:hAnsi="Times"/>
        </w:rPr>
        <w:t>elationship</w:t>
      </w:r>
      <w:r w:rsidR="00041791">
        <w:rPr>
          <w:rFonts w:ascii="Times" w:hAnsi="Times"/>
        </w:rPr>
        <w:t xml:space="preserve"> </w:t>
      </w:r>
    </w:p>
    <w:p w14:paraId="31876822" w14:textId="116736B3" w:rsidR="0088098A" w:rsidRDefault="00356524" w:rsidP="0088098A">
      <w:pPr>
        <w:pStyle w:val="NoteLevel3"/>
        <w:rPr>
          <w:rFonts w:ascii="Times" w:hAnsi="Times"/>
        </w:rPr>
      </w:pPr>
      <w:r>
        <w:rPr>
          <w:rFonts w:ascii="Times" w:hAnsi="Times"/>
        </w:rPr>
        <w:t xml:space="preserve">Para 73: “The respondents urge a comparison btwn themselves and persons who are not on social assistance […] Framing the comparison in this way shows that the respondents have been treated unequally. They have suffered adverse state-imposed financial consequences because they began living in try-on relationships. By contrast, single people who are not on social assistance are free to have these relationships w/o attracting any kind of state-imposed financial consequences. These adverse consequences visited on the respondents represent one aspect of differential treatment they have received.” </w:t>
      </w:r>
    </w:p>
    <w:p w14:paraId="5D78B556" w14:textId="31A80CEC" w:rsidR="007A760B" w:rsidRPr="008A1F7B" w:rsidRDefault="00223D03" w:rsidP="00223D03">
      <w:pPr>
        <w:pStyle w:val="NoteLevel1"/>
        <w:rPr>
          <w:rFonts w:ascii="Times" w:hAnsi="Times"/>
        </w:rPr>
      </w:pPr>
      <w:r>
        <w:rPr>
          <w:rFonts w:ascii="Times" w:hAnsi="Times"/>
        </w:rPr>
        <w:t xml:space="preserve">- Best example for differential treatment = Withler; Analogous Grounds = Corbiere </w:t>
      </w:r>
    </w:p>
    <w:p w14:paraId="45D3DFD1" w14:textId="565D4CF0" w:rsidR="00F37498" w:rsidRDefault="00AD3A08" w:rsidP="00AD3A08">
      <w:pPr>
        <w:pStyle w:val="NoteLevel1"/>
        <w:rPr>
          <w:rFonts w:ascii="Times" w:hAnsi="Times"/>
        </w:rPr>
      </w:pPr>
      <w:r>
        <w:rPr>
          <w:rFonts w:ascii="Times" w:hAnsi="Times"/>
        </w:rPr>
        <w:t>- Whether or not people on social assistance can qualify for analogous ground</w:t>
      </w:r>
    </w:p>
    <w:p w14:paraId="12EAD796" w14:textId="21EA7E66" w:rsidR="00AD3A08" w:rsidRDefault="002D4AC4" w:rsidP="00AD3A08">
      <w:pPr>
        <w:pStyle w:val="NoteLevel2"/>
        <w:rPr>
          <w:rFonts w:ascii="Times" w:hAnsi="Times"/>
        </w:rPr>
      </w:pPr>
      <w:r>
        <w:rPr>
          <w:rFonts w:ascii="Times" w:hAnsi="Times"/>
        </w:rPr>
        <w:t xml:space="preserve">Para 84: </w:t>
      </w:r>
      <w:r w:rsidR="006761C3">
        <w:rPr>
          <w:rFonts w:ascii="Times" w:hAnsi="Times"/>
        </w:rPr>
        <w:t xml:space="preserve">“I consider that the respondents have been subjected to differential treatment on the analogous ground of receipt of social assistance. Recognizing receipt of social assistance as an analogous ground of discrimination is controversial primarily b/c of concerns about singling out the economically disadvantaged for Charter protection, about immutability and about lack of homogeneity.” </w:t>
      </w:r>
      <w:r w:rsidR="005817AE">
        <w:rPr>
          <w:rFonts w:ascii="Times" w:hAnsi="Times"/>
        </w:rPr>
        <w:t xml:space="preserve">[…] </w:t>
      </w:r>
      <w:r w:rsidR="00D569F1">
        <w:rPr>
          <w:rFonts w:ascii="Times" w:hAnsi="Times"/>
        </w:rPr>
        <w:t>“I think that recognizing receipt of social assistance as a ground of Charter protection under s.15(1) is justified for several reason</w:t>
      </w:r>
      <w:r w:rsidR="00D74B9D">
        <w:rPr>
          <w:rFonts w:ascii="Times" w:hAnsi="Times"/>
        </w:rPr>
        <w:t xml:space="preserve">s.” </w:t>
      </w:r>
      <w:r w:rsidR="00DC1AED">
        <w:rPr>
          <w:rFonts w:ascii="Times" w:hAnsi="Times"/>
        </w:rPr>
        <w:t xml:space="preserve"> </w:t>
      </w:r>
      <w:r w:rsidR="00EE325B">
        <w:rPr>
          <w:rFonts w:ascii="Times" w:hAnsi="Times"/>
          <w:color w:val="FF0000"/>
        </w:rPr>
        <w:t xml:space="preserve">*outlines 5 reasons, which are </w:t>
      </w:r>
      <w:r w:rsidR="00DC1AED" w:rsidRPr="00DC1AED">
        <w:rPr>
          <w:rFonts w:ascii="Times" w:hAnsi="Times"/>
          <w:color w:val="FF0000"/>
        </w:rPr>
        <w:t>usually examinable!</w:t>
      </w:r>
      <w:r w:rsidR="00DC1AED">
        <w:rPr>
          <w:rFonts w:ascii="Times" w:hAnsi="Times"/>
        </w:rPr>
        <w:t xml:space="preserve"> </w:t>
      </w:r>
    </w:p>
    <w:p w14:paraId="676F0E94" w14:textId="18DA1157" w:rsidR="006761C3" w:rsidRDefault="00050D4B" w:rsidP="00AD3A08">
      <w:pPr>
        <w:pStyle w:val="NoteLevel2"/>
        <w:rPr>
          <w:rFonts w:ascii="Times" w:hAnsi="Times"/>
        </w:rPr>
      </w:pPr>
      <w:r>
        <w:rPr>
          <w:rFonts w:ascii="Times" w:hAnsi="Times"/>
        </w:rPr>
        <w:t>Para 85: “</w:t>
      </w:r>
      <w:r w:rsidR="005B26C6">
        <w:rPr>
          <w:rFonts w:ascii="Times" w:hAnsi="Times"/>
        </w:rPr>
        <w:t xml:space="preserve">The main q. in deciding whether a ground of discrimination should be </w:t>
      </w:r>
      <w:r>
        <w:rPr>
          <w:rFonts w:ascii="Times" w:hAnsi="Times"/>
        </w:rPr>
        <w:t>recognized</w:t>
      </w:r>
      <w:r w:rsidR="005B26C6">
        <w:rPr>
          <w:rFonts w:ascii="Times" w:hAnsi="Times"/>
        </w:rPr>
        <w:t xml:space="preserve"> as analogous is whether its recognition would further the purpose of s.15, the protection of human dignity. </w:t>
      </w:r>
      <w:r>
        <w:rPr>
          <w:rFonts w:ascii="Times" w:hAnsi="Times"/>
        </w:rPr>
        <w:t>The nature of the group &amp; Canadian society’s treatment of the group must be considered. Relevant factors […] include the group’s historical disadvantage, lack of political power and vulnerability to having its interests disregarded.”</w:t>
      </w:r>
    </w:p>
    <w:p w14:paraId="21C9C8DD" w14:textId="552B8659" w:rsidR="006B3B68" w:rsidRDefault="006B3B68" w:rsidP="00AD3A08">
      <w:pPr>
        <w:pStyle w:val="NoteLevel2"/>
        <w:rPr>
          <w:rFonts w:ascii="Times" w:hAnsi="Times"/>
        </w:rPr>
      </w:pPr>
      <w:r>
        <w:rPr>
          <w:rFonts w:ascii="Times" w:hAnsi="Times"/>
        </w:rPr>
        <w:t xml:space="preserve">Para 86: Social science evidence </w:t>
      </w:r>
    </w:p>
    <w:p w14:paraId="00D802F6" w14:textId="4C437D76" w:rsidR="00050D4B" w:rsidRDefault="00D042CE" w:rsidP="00AD3A08">
      <w:pPr>
        <w:pStyle w:val="NoteLevel2"/>
        <w:rPr>
          <w:rFonts w:ascii="Times" w:hAnsi="Times"/>
        </w:rPr>
      </w:pPr>
      <w:r>
        <w:rPr>
          <w:rFonts w:ascii="Times" w:hAnsi="Times"/>
        </w:rPr>
        <w:t xml:space="preserve"> </w:t>
      </w:r>
      <w:r w:rsidR="00050D4B">
        <w:rPr>
          <w:rFonts w:ascii="Times" w:hAnsi="Times"/>
        </w:rPr>
        <w:t>“</w:t>
      </w:r>
      <w:r w:rsidR="00050D4B" w:rsidRPr="00744EC9">
        <w:rPr>
          <w:rFonts w:ascii="Times" w:hAnsi="Times"/>
          <w:color w:val="FF0000"/>
        </w:rPr>
        <w:t>First</w:t>
      </w:r>
      <w:r w:rsidR="00050D4B">
        <w:rPr>
          <w:rFonts w:ascii="Times" w:hAnsi="Times"/>
        </w:rPr>
        <w:t>, significant evidence of historical disadvantage of and continuing prejudice against social assistance recipients, particularly sole-support mothers.”</w:t>
      </w:r>
    </w:p>
    <w:p w14:paraId="63F67A94" w14:textId="4503B08E" w:rsidR="00050D4B" w:rsidRDefault="00050D4B" w:rsidP="00AD3A08">
      <w:pPr>
        <w:pStyle w:val="NoteLevel2"/>
        <w:rPr>
          <w:rFonts w:ascii="Times" w:hAnsi="Times"/>
        </w:rPr>
      </w:pPr>
      <w:r>
        <w:rPr>
          <w:rFonts w:ascii="Times" w:hAnsi="Times"/>
        </w:rPr>
        <w:t xml:space="preserve">Para 88: </w:t>
      </w:r>
      <w:r w:rsidR="00744EC9">
        <w:rPr>
          <w:rFonts w:ascii="Times" w:hAnsi="Times"/>
        </w:rPr>
        <w:t>“</w:t>
      </w:r>
      <w:r w:rsidRPr="00744EC9">
        <w:rPr>
          <w:rFonts w:ascii="Times" w:hAnsi="Times"/>
          <w:color w:val="FF0000"/>
        </w:rPr>
        <w:t>Second</w:t>
      </w:r>
      <w:r>
        <w:rPr>
          <w:rFonts w:ascii="Times" w:hAnsi="Times"/>
        </w:rPr>
        <w:t xml:space="preserve">, although the receipt of social assistance reflect economic disadvantage, which alone doesn’t justify protection under s.15, economic disadvantage often co-exists w/ other forms of disadvantage. That is the case here. The economically disadvantage suffered by SA recipients is only one feature and may in part result from their historical disadvantage and vulnerability (*keep in mind when reading the </w:t>
      </w:r>
      <w:r>
        <w:rPr>
          <w:rFonts w:ascii="Times" w:hAnsi="Times"/>
          <w:i/>
        </w:rPr>
        <w:t xml:space="preserve">Banks </w:t>
      </w:r>
      <w:r>
        <w:rPr>
          <w:rFonts w:ascii="Times" w:hAnsi="Times"/>
        </w:rPr>
        <w:t xml:space="preserve">case, that economic disadvantage will not be opened in and of itself as an analogous ground) </w:t>
      </w:r>
    </w:p>
    <w:p w14:paraId="6C061DB9" w14:textId="2D281E23" w:rsidR="00050D4B" w:rsidRDefault="00050D4B" w:rsidP="00AD3A08">
      <w:pPr>
        <w:pStyle w:val="NoteLevel2"/>
        <w:rPr>
          <w:rFonts w:ascii="Times" w:hAnsi="Times"/>
        </w:rPr>
      </w:pPr>
      <w:r>
        <w:rPr>
          <w:rFonts w:ascii="Times" w:hAnsi="Times"/>
        </w:rPr>
        <w:t>Para 89: “</w:t>
      </w:r>
      <w:r w:rsidRPr="00744EC9">
        <w:rPr>
          <w:rFonts w:ascii="Times" w:hAnsi="Times"/>
          <w:color w:val="FF0000"/>
        </w:rPr>
        <w:t>Third</w:t>
      </w:r>
      <w:r>
        <w:rPr>
          <w:rFonts w:ascii="Times" w:hAnsi="Times"/>
        </w:rPr>
        <w:t>, immutability in the sense of a characteristic that cannot be changed—race is an example—is not requirement for recognizing an analogous ground. The SCC has taken a more expansive view of “immutability</w:t>
      </w:r>
      <w:r w:rsidRPr="00D042CE">
        <w:rPr>
          <w:rFonts w:ascii="Times" w:hAnsi="Times"/>
        </w:rPr>
        <w:t xml:space="preserve">”. A characteristic that is difficult to change, that the gov’t has no legitimate interest in expecting us to change, that can be changed only at a great personal cost </w:t>
      </w:r>
      <w:r>
        <w:rPr>
          <w:rFonts w:ascii="Times" w:hAnsi="Times"/>
        </w:rPr>
        <w:t>or that can be change only after a significant period of time may be recognized as an analogous ground.”</w:t>
      </w:r>
    </w:p>
    <w:p w14:paraId="5430F4B4" w14:textId="18C1F529" w:rsidR="00D042CE" w:rsidRDefault="00D042CE" w:rsidP="00AD3A08">
      <w:pPr>
        <w:pStyle w:val="NoteLevel2"/>
        <w:rPr>
          <w:rFonts w:ascii="Times" w:hAnsi="Times"/>
        </w:rPr>
      </w:pPr>
      <w:r>
        <w:rPr>
          <w:rFonts w:ascii="Times" w:hAnsi="Times"/>
        </w:rPr>
        <w:t>Para 90: “</w:t>
      </w:r>
      <w:r w:rsidRPr="00744EC9">
        <w:rPr>
          <w:rFonts w:ascii="Times" w:hAnsi="Times"/>
          <w:color w:val="FF0000"/>
        </w:rPr>
        <w:t>Fourth</w:t>
      </w:r>
      <w:r>
        <w:rPr>
          <w:rFonts w:ascii="Times" w:hAnsi="Times"/>
        </w:rPr>
        <w:t>, an important indicator of recognition is whether the proposed analogous ground is protected in human rights statutes, which themselves are considered quasi-constitutional. […] Most provincial HR codes prohibit, for some purposes, discrimination on a ground related to receiving welfare: discrimination is prohibited on the basis of “receipt of public assistance” in Ontario and Saskatchewan, on the basis of “source of income” in Alberta, Manitoba, Nova Scotia, and PEI, on the basis of “social condition” in Quebec and on the basis of “social origin” in Newfoundland.”</w:t>
      </w:r>
    </w:p>
    <w:p w14:paraId="63E6D3D3" w14:textId="068DF0F3" w:rsidR="00D042CE" w:rsidRDefault="00D042CE" w:rsidP="00AD3A08">
      <w:pPr>
        <w:pStyle w:val="NoteLevel2"/>
        <w:rPr>
          <w:rFonts w:ascii="Times" w:hAnsi="Times"/>
        </w:rPr>
      </w:pPr>
      <w:r>
        <w:rPr>
          <w:rFonts w:ascii="Times" w:hAnsi="Times"/>
        </w:rPr>
        <w:t>Para 91: “</w:t>
      </w:r>
      <w:r w:rsidRPr="00744EC9">
        <w:rPr>
          <w:rFonts w:ascii="Times" w:hAnsi="Times"/>
          <w:color w:val="FF0000"/>
        </w:rPr>
        <w:t>Finally</w:t>
      </w:r>
      <w:r>
        <w:rPr>
          <w:rFonts w:ascii="Times" w:hAnsi="Times"/>
        </w:rPr>
        <w:t>, homogeneity has never been a requirement for recognizing an analogous ground. Thus, though some recipients of social assistance</w:t>
      </w:r>
      <w:r w:rsidR="00C44166">
        <w:rPr>
          <w:rFonts w:ascii="Times" w:hAnsi="Times"/>
        </w:rPr>
        <w:t xml:space="preserve"> may be more disadvantaged than others, mere </w:t>
      </w:r>
      <w:r>
        <w:rPr>
          <w:rFonts w:ascii="Times" w:hAnsi="Times"/>
        </w:rPr>
        <w:t xml:space="preserve">disproportionate disadvantage borne by one or more sub-sets of a group does not militate against recognizing membership in that group as an analogous ground.” </w:t>
      </w:r>
    </w:p>
    <w:p w14:paraId="328EC347" w14:textId="203D65CA" w:rsidR="003E4103" w:rsidRDefault="003E4103" w:rsidP="003E4103">
      <w:pPr>
        <w:pStyle w:val="NoteLevel1"/>
        <w:rPr>
          <w:rFonts w:ascii="Times" w:hAnsi="Times"/>
        </w:rPr>
      </w:pPr>
      <w:r>
        <w:rPr>
          <w:rFonts w:ascii="Times" w:hAnsi="Times"/>
        </w:rPr>
        <w:t>- Read the discrimination determination on our own</w:t>
      </w:r>
    </w:p>
    <w:p w14:paraId="75287940" w14:textId="6B11AF74" w:rsidR="00D042CE" w:rsidRDefault="000C7ECE" w:rsidP="003E4103">
      <w:pPr>
        <w:pStyle w:val="NoteLevel2"/>
        <w:rPr>
          <w:rFonts w:ascii="Times" w:hAnsi="Times"/>
        </w:rPr>
      </w:pPr>
      <w:r>
        <w:rPr>
          <w:rFonts w:ascii="Times" w:hAnsi="Times"/>
        </w:rPr>
        <w:t>Para 94-105</w:t>
      </w:r>
      <w:r w:rsidR="007E2A3D">
        <w:rPr>
          <w:rFonts w:ascii="Times" w:hAnsi="Times"/>
        </w:rPr>
        <w:t>:</w:t>
      </w:r>
    </w:p>
    <w:p w14:paraId="2025F416" w14:textId="34CD234C" w:rsidR="007E2A3D" w:rsidRDefault="007E2A3D" w:rsidP="007E2A3D">
      <w:pPr>
        <w:pStyle w:val="NoteLevel3"/>
        <w:rPr>
          <w:rFonts w:ascii="Times" w:hAnsi="Times"/>
        </w:rPr>
      </w:pPr>
      <w:r w:rsidRPr="007E2A3D">
        <w:rPr>
          <w:rFonts w:ascii="Times" w:hAnsi="Times"/>
        </w:rPr>
        <w:t>[94]</w:t>
      </w:r>
      <w:r>
        <w:rPr>
          <w:rFonts w:ascii="Times" w:hAnsi="Times"/>
        </w:rPr>
        <w:t xml:space="preserve"> Third step in the </w:t>
      </w:r>
      <w:r w:rsidRPr="00CF64CD">
        <w:rPr>
          <w:rFonts w:ascii="Times" w:hAnsi="Times"/>
          <w:i/>
        </w:rPr>
        <w:t>Law</w:t>
      </w:r>
      <w:r>
        <w:rPr>
          <w:rFonts w:ascii="Times" w:hAnsi="Times"/>
        </w:rPr>
        <w:t xml:space="preserve"> framework requires the court to decide whether the differential treatment is discriminatory. </w:t>
      </w:r>
      <w:r w:rsidR="00CF64CD">
        <w:rPr>
          <w:rFonts w:ascii="Times" w:hAnsi="Times"/>
        </w:rPr>
        <w:t>Before 1995, each respondent received a family benefits allowance as a single mother solely responsible for the support of her child/children. When the 1995 definition was passed, each respondent was reclassified as a spouse. I have already concluded that the 1995 definition subjected each respondent to differential treatment based on the ground of sex, marital status and receipt of social assistance. In my view, the effect of the differential treatment impose on the respondents by the 1995 definition is discriminatory</w:t>
      </w:r>
    </w:p>
    <w:p w14:paraId="518D4CEE" w14:textId="4EBAD48A" w:rsidR="00CF64CD" w:rsidRDefault="00CF64CD" w:rsidP="007E2A3D">
      <w:pPr>
        <w:pStyle w:val="NoteLevel3"/>
        <w:rPr>
          <w:rFonts w:ascii="Times" w:hAnsi="Times"/>
        </w:rPr>
      </w:pPr>
      <w:r>
        <w:rPr>
          <w:rFonts w:ascii="Times" w:hAnsi="Times"/>
        </w:rPr>
        <w:t xml:space="preserve">[95]: The SCC’s guidance on the discrimination analysis supports this conclusion. In </w:t>
      </w:r>
      <w:r>
        <w:rPr>
          <w:rFonts w:ascii="Times" w:hAnsi="Times"/>
          <w:i/>
        </w:rPr>
        <w:t>Law</w:t>
      </w:r>
      <w:r>
        <w:rPr>
          <w:rFonts w:ascii="Times" w:hAnsi="Times"/>
        </w:rPr>
        <w:t xml:space="preserve"> and subsequently in </w:t>
      </w:r>
      <w:r>
        <w:rPr>
          <w:rFonts w:ascii="Times" w:hAnsi="Times"/>
          <w:i/>
        </w:rPr>
        <w:t>Lovelace</w:t>
      </w:r>
      <w:r>
        <w:rPr>
          <w:rFonts w:ascii="Times" w:hAnsi="Times"/>
        </w:rPr>
        <w:t>, the Court listed that a number of contextual factors that may be relevant to deciding whether differential treatment discriminates under the third step of the framework.  An examination of these 4 contextual factors reveals that the 1995 definition of spouse is substantively discriminatory</w:t>
      </w:r>
    </w:p>
    <w:p w14:paraId="132C89AB" w14:textId="0BFD77F8" w:rsidR="00CF64CD" w:rsidRDefault="00E87C48" w:rsidP="007E2A3D">
      <w:pPr>
        <w:pStyle w:val="NoteLevel3"/>
        <w:rPr>
          <w:rFonts w:ascii="Times" w:hAnsi="Times"/>
        </w:rPr>
      </w:pPr>
      <w:r>
        <w:rPr>
          <w:rFonts w:ascii="Times" w:hAnsi="Times"/>
        </w:rPr>
        <w:t xml:space="preserve">[96] The first factor is probably the most compelling in showing discrimination. As discussed earlier, social assistance recipients—especially single mothers on social assistance—are an historically disadvantaged group. The definition of spouse at issue in this appeal perpetuates </w:t>
      </w:r>
      <w:r w:rsidR="00723F42">
        <w:rPr>
          <w:rFonts w:ascii="Times" w:hAnsi="Times"/>
        </w:rPr>
        <w:t xml:space="preserve">this historical disadvantage. It creates a financial stress from the beginning of the relationship. It reinforces the stereotypical assumption that a woman will be supported by the way with whom she cohabits and will have access to his resources. And it devalues women’s desire for financial independence. </w:t>
      </w:r>
    </w:p>
    <w:p w14:paraId="25BE2E28" w14:textId="5D3C74EC" w:rsidR="00723F42" w:rsidRDefault="00723F42" w:rsidP="007E2A3D">
      <w:pPr>
        <w:pStyle w:val="NoteLevel3"/>
        <w:rPr>
          <w:rFonts w:ascii="Times" w:hAnsi="Times"/>
        </w:rPr>
      </w:pPr>
      <w:r>
        <w:rPr>
          <w:rFonts w:ascii="Times" w:hAnsi="Times"/>
        </w:rPr>
        <w:t xml:space="preserve">[97] The second contextual factor recognizes that in some cases equality can be achieved only by differential treatment. In some cases, the differential treatment imposed by the legislation will not violate a complainant’s human dignity because it corresponds to the complainant’s “actual needs, capacity, or circumstances”. The differential treatment in this case, however, doesn’t achieve equality. Instead, the definition labels a single mother a spouse without regard to whether her co-resident is providing meaningful support or whether she and her co-resident have meaningful financial interdependence </w:t>
      </w:r>
    </w:p>
    <w:p w14:paraId="4F8B73DC" w14:textId="50C4A763" w:rsidR="00723F42" w:rsidRDefault="008A27E0" w:rsidP="007E2A3D">
      <w:pPr>
        <w:pStyle w:val="NoteLevel3"/>
        <w:rPr>
          <w:rFonts w:ascii="Times" w:hAnsi="Times"/>
        </w:rPr>
      </w:pPr>
      <w:r>
        <w:rPr>
          <w:rFonts w:ascii="Times" w:hAnsi="Times"/>
        </w:rPr>
        <w:t xml:space="preserve">[98] </w:t>
      </w:r>
      <w:r w:rsidR="00924418">
        <w:rPr>
          <w:rFonts w:ascii="Times" w:hAnsi="Times"/>
        </w:rPr>
        <w:t xml:space="preserve">The government points out that the evidence shows that most people in unmarried relationships who were reclassified as spouses either stayed off social assistance or reapplied as a couple. This, the government contends, this evidence shows that the definition has accurately captured those couples whose finances are truly independent. Even accepting the evidence, I don’t accept the conclusion the government draws from it. Individuals reclassified as spouses may have stayed off social assistance for any number of reasons that have nothing to do </w:t>
      </w:r>
      <w:r>
        <w:rPr>
          <w:rFonts w:ascii="Times" w:hAnsi="Times"/>
        </w:rPr>
        <w:t>w/ financial independence. Or they may have reapplied as a couple because the definition forced them into financial dependence and gave them  no other realistic choice</w:t>
      </w:r>
    </w:p>
    <w:p w14:paraId="27DFCA7A" w14:textId="5262862A" w:rsidR="008A27E0" w:rsidRDefault="008A27E0" w:rsidP="007E2A3D">
      <w:pPr>
        <w:pStyle w:val="NoteLevel3"/>
        <w:rPr>
          <w:rFonts w:ascii="Times" w:hAnsi="Times"/>
        </w:rPr>
      </w:pPr>
      <w:r>
        <w:rPr>
          <w:rFonts w:ascii="Times" w:hAnsi="Times"/>
        </w:rPr>
        <w:t xml:space="preserve">[99] </w:t>
      </w:r>
      <w:r w:rsidR="00B620E8">
        <w:rPr>
          <w:rFonts w:ascii="Times" w:hAnsi="Times"/>
        </w:rPr>
        <w:t>Legislation that has an ameliorative purpose or effect consistent with the purpose of the equality guarantee may not be discriminatory. The government argues that the differential treatment imposed by the definition of spouse doesn’t discriminate because social assistance legislation has the ameliorative purpose of providing last-resort funding to persons in need, and the 95 definition of spouse advances this purpose by allocating scarce public money to those who need it most. […] But though a social program may be ameliorative as a whole, one or more of its components may still be discriminatory if they perpetuate prejudice, stereotypes or other disadvantage undermining human dignity. That is the case here because the challenged definition of spouse is anything but ameliorative</w:t>
      </w:r>
    </w:p>
    <w:p w14:paraId="5494D3C5" w14:textId="25142198" w:rsidR="00B620E8" w:rsidRDefault="00B620E8" w:rsidP="00B620E8">
      <w:pPr>
        <w:pStyle w:val="NoteLevel3"/>
        <w:rPr>
          <w:rFonts w:ascii="Times" w:hAnsi="Times"/>
        </w:rPr>
      </w:pPr>
      <w:r>
        <w:rPr>
          <w:rFonts w:ascii="Times" w:hAnsi="Times"/>
        </w:rPr>
        <w:t xml:space="preserve">[100] The fourth contextual factor requires an examination of the interests affected by the 1995 definition of spouse. Differential treatment is more likely to be found discriminatory where its impact is localized and severe and where it affects interests that go to the core of human dignity. The impact of the challenged definition of spouse is localized in the sense that women &amp; single mothers are disproportionately affected. And the impact is severe, compromising, as it does, the respondents’ ability to meet their own and their children’s basic needs. Because of the definition, each respondent lost her entitlement to social assistance as a single person. Even though each respondent may </w:t>
      </w:r>
      <w:r w:rsidR="00396CAC">
        <w:rPr>
          <w:rFonts w:ascii="Times" w:hAnsi="Times"/>
        </w:rPr>
        <w:t>still apply with her co-resident for the benefits as a couple, these benefits are lower than those available to a sole support parent. Moreover, if her co-resident is self-employed or in school, the couple is ineligible</w:t>
      </w:r>
    </w:p>
    <w:p w14:paraId="49282B5B" w14:textId="74788F83" w:rsidR="00396CAC" w:rsidRDefault="00396CAC" w:rsidP="00B620E8">
      <w:pPr>
        <w:pStyle w:val="NoteLevel3"/>
        <w:rPr>
          <w:rFonts w:ascii="Times" w:hAnsi="Times"/>
        </w:rPr>
      </w:pPr>
      <w:r>
        <w:rPr>
          <w:rFonts w:ascii="Times" w:hAnsi="Times"/>
        </w:rPr>
        <w:t>[101] Beyond purely financial concerns, more fundamental dignity interests of the respondents have been affected. Being reclassified as a spouse forces the respondents &amp; other single mothers in similar circumstances to give up either their financial independence or their relationship. Many women, including 3 of the respondents in this appeal, have been victimized by alcoholic or abuse partners. Forcing them to become financially dependent on men w/ whom the have, at best, try-on relationships strikes at the core of their human dignity</w:t>
      </w:r>
    </w:p>
    <w:p w14:paraId="06974682" w14:textId="613AF560" w:rsidR="00396CAC" w:rsidRDefault="00396CAC" w:rsidP="00B620E8">
      <w:pPr>
        <w:pStyle w:val="NoteLevel3"/>
        <w:rPr>
          <w:rFonts w:ascii="Times" w:hAnsi="Times"/>
        </w:rPr>
      </w:pPr>
      <w:r>
        <w:rPr>
          <w:rFonts w:ascii="Times" w:hAnsi="Times"/>
        </w:rPr>
        <w:t xml:space="preserve">[102] What is more, because the ’95 definition potentially creates forced financial dependence, it likely has a chilling effect of the formation of relationships. […] Each respondent testified that she wouldn’t have entered into a co-residency relationship in the first place if it meant losing her entitlement to family benefits </w:t>
      </w:r>
    </w:p>
    <w:p w14:paraId="2DE46102" w14:textId="14F5C6FE" w:rsidR="00396CAC" w:rsidRDefault="00396CAC" w:rsidP="00B620E8">
      <w:pPr>
        <w:pStyle w:val="NoteLevel3"/>
        <w:rPr>
          <w:rFonts w:ascii="Times" w:hAnsi="Times"/>
        </w:rPr>
      </w:pPr>
      <w:r>
        <w:rPr>
          <w:rFonts w:ascii="Times" w:hAnsi="Times"/>
        </w:rPr>
        <w:t>[103] From the moment a single mother on social assistance begins co-residing with a man, she risks being reclassified as a spouse and losing part or all of her entitlement to social assistance. And if the co-residents reapply as a couple, the SA cheque may be made out to the male co-resident, leaving the woman in a position of economic dependence on a man who has no legal obligation to support her or her children. To the extent that the challenged definition of spouse has a chilling effect on relationship formation, it interferes w/ the respondents’ highly personal choices and affects interests that go to the core of their human dignity</w:t>
      </w:r>
    </w:p>
    <w:p w14:paraId="1CE193F4" w14:textId="4547ECF7" w:rsidR="00396CAC" w:rsidRDefault="00396CAC" w:rsidP="00B620E8">
      <w:pPr>
        <w:pStyle w:val="NoteLevel3"/>
        <w:rPr>
          <w:rFonts w:ascii="Times" w:hAnsi="Times"/>
        </w:rPr>
      </w:pPr>
      <w:r>
        <w:rPr>
          <w:rFonts w:ascii="Times" w:hAnsi="Times"/>
        </w:rPr>
        <w:t>[104] Finally, the administration of the definition is highly intrusive of the privacy of a single persons on SA. They are subjected to heightened scrutiny of their personal relationships. They’re require to complete a detailed questionnaire on their personal living arrangements.  Far from negating any discrimination as the government contends, administering the challenged definition by requiring SA recipients to complete such a personal questionnaire further suggest that the definition undermines human dignity</w:t>
      </w:r>
    </w:p>
    <w:p w14:paraId="0759441A" w14:textId="7068F8D0" w:rsidR="00396CAC" w:rsidRPr="00B620E8" w:rsidRDefault="00396CAC" w:rsidP="00B620E8">
      <w:pPr>
        <w:pStyle w:val="NoteLevel3"/>
        <w:rPr>
          <w:rFonts w:ascii="Times" w:hAnsi="Times"/>
        </w:rPr>
      </w:pPr>
      <w:r>
        <w:rPr>
          <w:rFonts w:ascii="Times" w:hAnsi="Times"/>
        </w:rPr>
        <w:t xml:space="preserve">[105] I conclude that the ’95 definition of spouse imposes differential treatment on the respondents on the combined grounds of sex, marital status, and receipt of SA and that this differential treatment discriminates against them, contrary to s.15 of the </w:t>
      </w:r>
      <w:r>
        <w:rPr>
          <w:rFonts w:ascii="Times" w:hAnsi="Times"/>
          <w:i/>
        </w:rPr>
        <w:t>Charter</w:t>
      </w:r>
      <w:r>
        <w:rPr>
          <w:rFonts w:ascii="Times" w:hAnsi="Times"/>
        </w:rPr>
        <w:t xml:space="preserve"> </w:t>
      </w:r>
    </w:p>
    <w:p w14:paraId="7548B2DA" w14:textId="77777777" w:rsidR="00D042CE" w:rsidRDefault="00D042CE" w:rsidP="00D042CE">
      <w:pPr>
        <w:pStyle w:val="NoteLevel1"/>
        <w:numPr>
          <w:ilvl w:val="0"/>
          <w:numId w:val="0"/>
        </w:numPr>
        <w:rPr>
          <w:rFonts w:ascii="Times" w:hAnsi="Times"/>
        </w:rPr>
      </w:pPr>
    </w:p>
    <w:p w14:paraId="0CCA545B" w14:textId="3684F84B" w:rsidR="00296555" w:rsidRDefault="00AA2EB9" w:rsidP="00D042CE">
      <w:pPr>
        <w:pStyle w:val="NoteLevel1"/>
        <w:numPr>
          <w:ilvl w:val="0"/>
          <w:numId w:val="0"/>
        </w:numPr>
        <w:rPr>
          <w:rFonts w:ascii="Times" w:hAnsi="Times"/>
        </w:rPr>
      </w:pPr>
      <w:r>
        <w:rPr>
          <w:rFonts w:ascii="Times" w:hAnsi="Times"/>
          <w:u w:val="single"/>
        </w:rPr>
        <w:t>R. v. Banks</w:t>
      </w:r>
    </w:p>
    <w:p w14:paraId="3F3446B9" w14:textId="5170096F" w:rsidR="001F4AC6" w:rsidRDefault="00AA2EB9" w:rsidP="00D042CE">
      <w:pPr>
        <w:pStyle w:val="NoteLevel1"/>
        <w:numPr>
          <w:ilvl w:val="0"/>
          <w:numId w:val="0"/>
        </w:numPr>
        <w:rPr>
          <w:rFonts w:ascii="Times" w:hAnsi="Times"/>
        </w:rPr>
      </w:pPr>
      <w:r>
        <w:rPr>
          <w:rFonts w:ascii="Times" w:hAnsi="Times"/>
        </w:rPr>
        <w:t xml:space="preserve">- </w:t>
      </w:r>
      <w:r w:rsidR="001F4AC6">
        <w:rPr>
          <w:rFonts w:ascii="Times" w:hAnsi="Times"/>
        </w:rPr>
        <w:t>Legislation challenged as discriminator</w:t>
      </w:r>
      <w:r w:rsidR="00C67B74">
        <w:rPr>
          <w:rFonts w:ascii="Times" w:hAnsi="Times"/>
        </w:rPr>
        <w:t>y because it singles out “squee</w:t>
      </w:r>
      <w:r w:rsidR="001F4AC6">
        <w:rPr>
          <w:rFonts w:ascii="Times" w:hAnsi="Times"/>
        </w:rPr>
        <w:t xml:space="preserve">gee kids” </w:t>
      </w:r>
    </w:p>
    <w:p w14:paraId="26361DC7" w14:textId="419E0870" w:rsidR="00AA2EB9" w:rsidRDefault="00A54425" w:rsidP="00D042CE">
      <w:pPr>
        <w:pStyle w:val="NoteLevel1"/>
        <w:numPr>
          <w:ilvl w:val="0"/>
          <w:numId w:val="0"/>
        </w:numPr>
        <w:rPr>
          <w:rFonts w:ascii="Times" w:hAnsi="Times"/>
        </w:rPr>
      </w:pPr>
      <w:r>
        <w:rPr>
          <w:rFonts w:ascii="Times" w:hAnsi="Times"/>
        </w:rPr>
        <w:t xml:space="preserve">- </w:t>
      </w:r>
      <w:r w:rsidR="009B2296">
        <w:rPr>
          <w:rFonts w:ascii="Times" w:hAnsi="Times"/>
        </w:rPr>
        <w:t xml:space="preserve">Para 91: “The impugned provisions don’t draw a formal distinction btwn the appellants and others. They prohibit all persons, and not just “beggars”, from standing on a roadway to solicit a stopped vehicle and from approaching a vehicle to solicit or offer a service.” </w:t>
      </w:r>
    </w:p>
    <w:p w14:paraId="671B1BFA" w14:textId="56FAF9F1" w:rsidR="00202B24" w:rsidRDefault="00F25AD9" w:rsidP="00D042CE">
      <w:pPr>
        <w:pStyle w:val="NoteLevel1"/>
        <w:numPr>
          <w:ilvl w:val="0"/>
          <w:numId w:val="0"/>
        </w:numPr>
        <w:rPr>
          <w:rFonts w:ascii="Times" w:hAnsi="Times"/>
        </w:rPr>
      </w:pPr>
      <w:r>
        <w:rPr>
          <w:rFonts w:ascii="Times" w:hAnsi="Times"/>
        </w:rPr>
        <w:t xml:space="preserve">- Para 92: Two prongs to the appellants’ argument: “The first prong is that the provisions are encored selectively against “beggars” and not against others who perform similar activities. The second prong is that the substantive effect of enforcement of the provisions is different for the appellants than for others.” </w:t>
      </w:r>
      <w:r w:rsidR="00202B24">
        <w:rPr>
          <w:rFonts w:ascii="Times" w:hAnsi="Times"/>
        </w:rPr>
        <w:t>“The appellants submit that the provisions are akin to a prohibition on sleeping under bridge that affects the homeless, but not the rich.”</w:t>
      </w:r>
    </w:p>
    <w:p w14:paraId="75538231" w14:textId="5AEEEDA6" w:rsidR="00213FDF" w:rsidRDefault="00213FDF" w:rsidP="00D042CE">
      <w:pPr>
        <w:pStyle w:val="NoteLevel1"/>
        <w:numPr>
          <w:ilvl w:val="0"/>
          <w:numId w:val="0"/>
        </w:numPr>
        <w:rPr>
          <w:rFonts w:ascii="Times" w:hAnsi="Times"/>
        </w:rPr>
      </w:pPr>
      <w:r>
        <w:rPr>
          <w:rFonts w:ascii="Times" w:hAnsi="Times"/>
        </w:rPr>
        <w:t xml:space="preserve">- </w:t>
      </w:r>
      <w:r w:rsidR="00E40E48">
        <w:rPr>
          <w:rFonts w:ascii="Times" w:hAnsi="Times"/>
        </w:rPr>
        <w:t xml:space="preserve">Neutral on the face of it, but has adverse effects </w:t>
      </w:r>
    </w:p>
    <w:p w14:paraId="2436873D" w14:textId="07E41D17" w:rsidR="00E40E48" w:rsidRDefault="00E40E48" w:rsidP="00D042CE">
      <w:pPr>
        <w:pStyle w:val="NoteLevel1"/>
        <w:numPr>
          <w:ilvl w:val="0"/>
          <w:numId w:val="0"/>
        </w:numPr>
        <w:rPr>
          <w:rFonts w:ascii="Times" w:hAnsi="Times"/>
        </w:rPr>
      </w:pPr>
      <w:r>
        <w:rPr>
          <w:rFonts w:ascii="Times" w:hAnsi="Times"/>
        </w:rPr>
        <w:t xml:space="preserve">- </w:t>
      </w:r>
      <w:r w:rsidR="00C67B74">
        <w:rPr>
          <w:rFonts w:ascii="Times" w:hAnsi="Times"/>
        </w:rPr>
        <w:t xml:space="preserve">Para 95-99?  </w:t>
      </w:r>
    </w:p>
    <w:p w14:paraId="2DCAE344" w14:textId="77777777" w:rsidR="00D00E19" w:rsidRDefault="00D00E19" w:rsidP="00D042CE">
      <w:pPr>
        <w:pStyle w:val="NoteLevel1"/>
        <w:numPr>
          <w:ilvl w:val="0"/>
          <w:numId w:val="0"/>
        </w:numPr>
        <w:rPr>
          <w:rFonts w:ascii="Times" w:hAnsi="Times"/>
        </w:rPr>
        <w:sectPr w:rsidR="00D00E19" w:rsidSect="00943CD9">
          <w:headerReference w:type="first" r:id="rId16"/>
          <w:pgSz w:w="12240" w:h="15840"/>
          <w:pgMar w:top="1440" w:right="1440" w:bottom="1440" w:left="1440" w:header="708" w:footer="708" w:gutter="0"/>
          <w:cols w:space="708"/>
          <w:titlePg/>
          <w:docGrid w:type="lines" w:linePitch="360"/>
        </w:sectPr>
      </w:pPr>
    </w:p>
    <w:p w14:paraId="52423C33" w14:textId="78346415" w:rsidR="002C6534" w:rsidRDefault="006C36A3" w:rsidP="006C36A3">
      <w:pPr>
        <w:pStyle w:val="NoteLevel1"/>
        <w:numPr>
          <w:ilvl w:val="0"/>
          <w:numId w:val="0"/>
        </w:numPr>
        <w:rPr>
          <w:rFonts w:ascii="Times" w:hAnsi="Times"/>
          <w:u w:val="single"/>
        </w:rPr>
      </w:pPr>
      <w:r>
        <w:rPr>
          <w:rFonts w:ascii="Times" w:hAnsi="Times"/>
          <w:u w:val="single"/>
        </w:rPr>
        <w:t xml:space="preserve">Gosselin v. Quebec (Attorney General), [2002] 4 S.C.R. 429 </w:t>
      </w:r>
    </w:p>
    <w:p w14:paraId="0CF070B2" w14:textId="20FE4D20" w:rsidR="006C36A3" w:rsidRDefault="00715B1F" w:rsidP="00715B1F">
      <w:pPr>
        <w:pStyle w:val="NoteLevel1"/>
        <w:numPr>
          <w:ilvl w:val="0"/>
          <w:numId w:val="0"/>
        </w:numPr>
        <w:rPr>
          <w:rFonts w:ascii="Times" w:hAnsi="Times"/>
        </w:rPr>
      </w:pPr>
      <w:r w:rsidRPr="00715B1F">
        <w:rPr>
          <w:rFonts w:ascii="Times" w:hAnsi="Times"/>
        </w:rPr>
        <w:t>-</w:t>
      </w:r>
      <w:r>
        <w:rPr>
          <w:rFonts w:ascii="Times" w:hAnsi="Times"/>
        </w:rPr>
        <w:t xml:space="preserve"> Quebec altered it’s social assistance in 1984 to encourage young people to get job training and join the labour forces—under this scheme (which has since been repealed), the base amount payable to welfare recipients to those under 30 yrs of age was lower than to those above 30 yrs of age—in order to receive an amount comparable to that received by older people, recipient sunder 30 had to participate in designated work activity or education program</w:t>
      </w:r>
    </w:p>
    <w:p w14:paraId="032792F5" w14:textId="7F8C98FF" w:rsidR="00715B1F" w:rsidRDefault="00715B1F" w:rsidP="00715B1F">
      <w:pPr>
        <w:pStyle w:val="NoteLevel1"/>
        <w:numPr>
          <w:ilvl w:val="0"/>
          <w:numId w:val="0"/>
        </w:numPr>
        <w:rPr>
          <w:rFonts w:ascii="Times" w:hAnsi="Times"/>
        </w:rPr>
      </w:pPr>
      <w:r>
        <w:rPr>
          <w:rFonts w:ascii="Times" w:hAnsi="Times"/>
        </w:rPr>
        <w:t xml:space="preserve">- </w:t>
      </w:r>
      <w:r w:rsidR="004C310C">
        <w:rPr>
          <w:rFonts w:ascii="Times" w:hAnsi="Times"/>
        </w:rPr>
        <w:t xml:space="preserve">*Discrimination works both ways, sometimes on the face doesn’t appear to be but is, and vice versa </w:t>
      </w:r>
      <w:r w:rsidR="00020778">
        <w:rPr>
          <w:rFonts w:ascii="Times" w:hAnsi="Times"/>
        </w:rPr>
        <w:t xml:space="preserve">(“in purpose or in effect”) </w:t>
      </w:r>
    </w:p>
    <w:p w14:paraId="2E3F19B2" w14:textId="69C26C68" w:rsidR="004C310C" w:rsidRDefault="004C310C" w:rsidP="00715B1F">
      <w:pPr>
        <w:pStyle w:val="NoteLevel1"/>
        <w:numPr>
          <w:ilvl w:val="0"/>
          <w:numId w:val="0"/>
        </w:numPr>
        <w:rPr>
          <w:rFonts w:ascii="Times" w:hAnsi="Times"/>
        </w:rPr>
      </w:pPr>
      <w:r>
        <w:rPr>
          <w:rFonts w:ascii="Times" w:hAnsi="Times"/>
        </w:rPr>
        <w:t xml:space="preserve">- </w:t>
      </w:r>
      <w:r w:rsidR="00553407">
        <w:rPr>
          <w:rFonts w:ascii="Times" w:hAnsi="Times"/>
        </w:rPr>
        <w:t>Gosselin asks the Court to order the Quebec gov’t to pay the difference between the lower &amp; higher base amounts to all people who 1) lived in Quebec and were btwn 18 &amp; 30 at any time from 1985 to 1989; 2) received the lower base amount payable to those under 30; 3) didn’t participate in the gov’t programs, for whatever reason. On her submissions this would mean ordering the gov’t to pay almost 389 million in benefits, plus the interest accrued since 1985. She claims her remedy on behalf of over 750, 000 unnamed class members, none of whom came forward in support of her claim.</w:t>
      </w:r>
    </w:p>
    <w:p w14:paraId="62C5C8EA" w14:textId="11A6CBA0" w:rsidR="00553407" w:rsidRDefault="00553407" w:rsidP="00715B1F">
      <w:pPr>
        <w:pStyle w:val="NoteLevel1"/>
        <w:numPr>
          <w:ilvl w:val="0"/>
          <w:numId w:val="0"/>
        </w:numPr>
        <w:rPr>
          <w:rFonts w:ascii="Times" w:hAnsi="Times"/>
        </w:rPr>
      </w:pPr>
      <w:r>
        <w:rPr>
          <w:rFonts w:ascii="Times" w:hAnsi="Times"/>
        </w:rPr>
        <w:t xml:space="preserve">- There is differential treatment (compare between people below 30 and above 30) and it’s based on an analogous ground of age </w:t>
      </w:r>
    </w:p>
    <w:p w14:paraId="573DAEE5" w14:textId="4D2EC574" w:rsidR="00B8678A" w:rsidRDefault="00537072" w:rsidP="00715B1F">
      <w:pPr>
        <w:pStyle w:val="NoteLevel1"/>
        <w:numPr>
          <w:ilvl w:val="0"/>
          <w:numId w:val="0"/>
        </w:numPr>
        <w:rPr>
          <w:rFonts w:ascii="Times" w:hAnsi="Times"/>
        </w:rPr>
      </w:pPr>
      <w:r>
        <w:rPr>
          <w:rFonts w:ascii="Times" w:hAnsi="Times"/>
        </w:rPr>
        <w:t xml:space="preserve">- </w:t>
      </w:r>
      <w:r w:rsidR="00BF6197">
        <w:rPr>
          <w:rFonts w:ascii="Times" w:hAnsi="Times"/>
        </w:rPr>
        <w:t xml:space="preserve">Para 7: </w:t>
      </w:r>
      <w:r w:rsidR="00E449C8">
        <w:rPr>
          <w:rFonts w:ascii="Times" w:hAnsi="Times"/>
        </w:rPr>
        <w:t>New scheme</w:t>
      </w:r>
      <w:r w:rsidR="00BF6197">
        <w:rPr>
          <w:rFonts w:ascii="Times" w:hAnsi="Times"/>
        </w:rPr>
        <w:t>…</w:t>
      </w:r>
      <w:r w:rsidR="00E449C8">
        <w:rPr>
          <w:rFonts w:ascii="Times" w:hAnsi="Times"/>
        </w:rPr>
        <w:t xml:space="preserve">was based on the philosophy that the most effective way to encourage &amp; enable young people to join the workforce was to make increased benefits conditional on participation in one of </w:t>
      </w:r>
      <w:r w:rsidR="00BF6197">
        <w:rPr>
          <w:rFonts w:ascii="Times" w:hAnsi="Times"/>
        </w:rPr>
        <w:t>three programs: On-the –job Training, Community Work, or Remedial E</w:t>
      </w:r>
      <w:r w:rsidR="00317891">
        <w:rPr>
          <w:rFonts w:ascii="Times" w:hAnsi="Times"/>
        </w:rPr>
        <w:t xml:space="preserve">ducation…encourage people to not become dependent on social assistance during their formative years </w:t>
      </w:r>
    </w:p>
    <w:p w14:paraId="74A6263D" w14:textId="30DAB3BA" w:rsidR="00554DF2" w:rsidRDefault="00834BEC" w:rsidP="00715B1F">
      <w:pPr>
        <w:pStyle w:val="NoteLevel1"/>
        <w:numPr>
          <w:ilvl w:val="0"/>
          <w:numId w:val="0"/>
        </w:numPr>
        <w:rPr>
          <w:rFonts w:ascii="Times" w:hAnsi="Times"/>
        </w:rPr>
      </w:pPr>
      <w:r>
        <w:rPr>
          <w:rFonts w:ascii="Times" w:hAnsi="Times"/>
        </w:rPr>
        <w:t xml:space="preserve">- Para 17: “In this case, the first two elements are clear, and the analysis focuses on whether the scheme was discriminatory” (the first two elements of establishing a s.15(1) violation) </w:t>
      </w:r>
    </w:p>
    <w:p w14:paraId="601042B0" w14:textId="77777777" w:rsidR="000F2C26" w:rsidRDefault="00381B7A" w:rsidP="00715B1F">
      <w:pPr>
        <w:pStyle w:val="NoteLevel1"/>
        <w:numPr>
          <w:ilvl w:val="0"/>
          <w:numId w:val="0"/>
        </w:numPr>
        <w:rPr>
          <w:rFonts w:ascii="Times" w:hAnsi="Times"/>
        </w:rPr>
      </w:pPr>
      <w:r>
        <w:rPr>
          <w:rFonts w:ascii="Times" w:hAnsi="Times"/>
        </w:rPr>
        <w:t xml:space="preserve">- </w:t>
      </w:r>
      <w:r w:rsidR="00891856">
        <w:rPr>
          <w:rFonts w:ascii="Times" w:hAnsi="Times"/>
        </w:rPr>
        <w:t xml:space="preserve">Beginning at para 28, the Court starts their analysis on the question of discrimination: </w:t>
      </w:r>
    </w:p>
    <w:p w14:paraId="73EA4E2B" w14:textId="6ADB466E" w:rsidR="00EB7230" w:rsidRDefault="00891856" w:rsidP="000F2C26">
      <w:pPr>
        <w:pStyle w:val="NoteLevel2"/>
        <w:rPr>
          <w:rFonts w:ascii="Times" w:hAnsi="Times"/>
        </w:rPr>
      </w:pPr>
      <w:r>
        <w:rPr>
          <w:rFonts w:ascii="Times" w:hAnsi="Times"/>
        </w:rPr>
        <w:t xml:space="preserve">“The question is whether this distinction in purpose of effect resulted in a substantive inequality contrary to s.15(1)’s purpose of ensuring that governments treat all individuals as equally worth of concern, respect, and consideration […] whether a reasonable person in Ms. Gosselin’s position would, having regard to all the circumstances and the context of the legislation, conclude that the Regulation in purpose or effect treated welfare recipients under 30 as less worthy of respect than those 30 and over, marginalizing them on the basis of their youth.” </w:t>
      </w:r>
    </w:p>
    <w:p w14:paraId="11B4AB4E" w14:textId="2543F14B" w:rsidR="00891856" w:rsidRDefault="00891856" w:rsidP="00715B1F">
      <w:pPr>
        <w:pStyle w:val="NoteLevel1"/>
        <w:numPr>
          <w:ilvl w:val="0"/>
          <w:numId w:val="0"/>
        </w:numPr>
        <w:rPr>
          <w:rFonts w:ascii="Times" w:hAnsi="Times"/>
        </w:rPr>
      </w:pPr>
      <w:r>
        <w:rPr>
          <w:rFonts w:ascii="Times" w:hAnsi="Times"/>
        </w:rPr>
        <w:t xml:space="preserve">- </w:t>
      </w:r>
      <w:r w:rsidR="00A1455C">
        <w:rPr>
          <w:rFonts w:ascii="Times" w:hAnsi="Times"/>
        </w:rPr>
        <w:t xml:space="preserve">Para 29: “To answer this question, we must consider the four factors set out in </w:t>
      </w:r>
      <w:r w:rsidR="00A1455C">
        <w:rPr>
          <w:rFonts w:ascii="Times" w:hAnsi="Times"/>
          <w:i/>
        </w:rPr>
        <w:t>Law.</w:t>
      </w:r>
      <w:r w:rsidR="000F2C26">
        <w:rPr>
          <w:rFonts w:ascii="Times" w:hAnsi="Times"/>
        </w:rPr>
        <w:t xml:space="preserve"> </w:t>
      </w:r>
      <w:r w:rsidR="000F2C26" w:rsidRPr="000F2C26">
        <w:rPr>
          <w:rFonts w:ascii="Times" w:hAnsi="Times"/>
          <w:color w:val="5F497A" w:themeColor="accent4" w:themeShade="BF"/>
        </w:rPr>
        <w:t>None of these factors is a prerequisite for finding discrimination</w:t>
      </w:r>
      <w:r w:rsidR="000F2C26">
        <w:rPr>
          <w:rFonts w:ascii="Times" w:hAnsi="Times"/>
        </w:rPr>
        <w:t xml:space="preserve">, and not all factors will apply in every case. The list of factors is neither absolute for exhaustive.” </w:t>
      </w:r>
    </w:p>
    <w:p w14:paraId="3A8C9999" w14:textId="0C991A4A" w:rsidR="000F2C26" w:rsidRDefault="008300F5" w:rsidP="00715B1F">
      <w:pPr>
        <w:pStyle w:val="NoteLevel1"/>
        <w:numPr>
          <w:ilvl w:val="0"/>
          <w:numId w:val="0"/>
        </w:numPr>
        <w:rPr>
          <w:rFonts w:ascii="Times" w:hAnsi="Times"/>
        </w:rPr>
      </w:pPr>
      <w:r>
        <w:rPr>
          <w:rFonts w:ascii="Times" w:hAnsi="Times"/>
        </w:rPr>
        <w:t>- Para 31: “</w:t>
      </w:r>
      <w:r w:rsidR="00875150">
        <w:rPr>
          <w:rFonts w:ascii="Times" w:hAnsi="Times"/>
        </w:rPr>
        <w:t xml:space="preserve">However, unlike race, religion, </w:t>
      </w:r>
      <w:r>
        <w:rPr>
          <w:rFonts w:ascii="Times" w:hAnsi="Times"/>
        </w:rPr>
        <w:t>or gender, age is not strongly associated with discrimination and arbitrary denial of privilege. This does not mean that examples of age discrimination do not exi</w:t>
      </w:r>
      <w:r w:rsidR="00540732">
        <w:rPr>
          <w:rFonts w:ascii="Times" w:hAnsi="Times"/>
        </w:rPr>
        <w:t>st. But age-based distinctions ar</w:t>
      </w:r>
      <w:r>
        <w:rPr>
          <w:rFonts w:ascii="Times" w:hAnsi="Times"/>
        </w:rPr>
        <w:t xml:space="preserve">e common and necessary way of ordering our society.” </w:t>
      </w:r>
    </w:p>
    <w:p w14:paraId="155FF7A8" w14:textId="62530F69" w:rsidR="0098665C" w:rsidRDefault="0098665C" w:rsidP="00715B1F">
      <w:pPr>
        <w:pStyle w:val="NoteLevel1"/>
        <w:numPr>
          <w:ilvl w:val="0"/>
          <w:numId w:val="0"/>
        </w:numPr>
        <w:rPr>
          <w:rFonts w:ascii="Times" w:hAnsi="Times"/>
        </w:rPr>
      </w:pPr>
      <w:r>
        <w:rPr>
          <w:rFonts w:ascii="Times" w:hAnsi="Times"/>
        </w:rPr>
        <w:t xml:space="preserve">- </w:t>
      </w:r>
      <w:r w:rsidR="003B55A5">
        <w:rPr>
          <w:rFonts w:ascii="Times" w:hAnsi="Times"/>
        </w:rPr>
        <w:t xml:space="preserve">Para 32: “However, pre-existing disadvantage and historic patterns of discrimination against a particular group do form part of the contextual evaluation of whether a distinction is discriminatory, as called for in </w:t>
      </w:r>
      <w:r w:rsidR="003B55A5">
        <w:rPr>
          <w:rFonts w:ascii="Times" w:hAnsi="Times"/>
          <w:i/>
        </w:rPr>
        <w:t>Law</w:t>
      </w:r>
      <w:r w:rsidR="00C521CB">
        <w:rPr>
          <w:rFonts w:ascii="Times" w:hAnsi="Times"/>
        </w:rPr>
        <w:t xml:space="preserve"> […] Young people do not have a similar history </w:t>
      </w:r>
      <w:r w:rsidR="006E3FCF">
        <w:rPr>
          <w:rFonts w:ascii="Times" w:hAnsi="Times"/>
        </w:rPr>
        <w:t xml:space="preserve">of being undervalued.” </w:t>
      </w:r>
    </w:p>
    <w:p w14:paraId="3953E3B3" w14:textId="4D29EC67" w:rsidR="006E3FCF" w:rsidRDefault="006E3FCF" w:rsidP="00715B1F">
      <w:pPr>
        <w:pStyle w:val="NoteLevel1"/>
        <w:numPr>
          <w:ilvl w:val="0"/>
          <w:numId w:val="0"/>
        </w:numPr>
        <w:rPr>
          <w:rFonts w:ascii="Times" w:hAnsi="Times"/>
        </w:rPr>
      </w:pPr>
      <w:r>
        <w:rPr>
          <w:rFonts w:ascii="Times" w:hAnsi="Times"/>
        </w:rPr>
        <w:t xml:space="preserve">- </w:t>
      </w:r>
      <w:r w:rsidR="00DD7C80">
        <w:rPr>
          <w:rFonts w:ascii="Times" w:hAnsi="Times"/>
        </w:rPr>
        <w:t>Para 33:…</w:t>
      </w:r>
    </w:p>
    <w:p w14:paraId="5C5F009C" w14:textId="13B899C0" w:rsidR="00DD7C80" w:rsidRDefault="00DD7C80" w:rsidP="00DD7C80">
      <w:pPr>
        <w:pStyle w:val="NoteLevel1"/>
        <w:rPr>
          <w:rFonts w:ascii="Times" w:hAnsi="Times"/>
        </w:rPr>
      </w:pPr>
      <w:r>
        <w:rPr>
          <w:rFonts w:ascii="Times" w:hAnsi="Times"/>
        </w:rPr>
        <w:t xml:space="preserve">- Para 34: “With regard to this contextual factors, Ms. Gosselin is in the same position as Mrs. Law. In </w:t>
      </w:r>
      <w:r>
        <w:rPr>
          <w:rFonts w:ascii="Times" w:hAnsi="Times"/>
          <w:i/>
        </w:rPr>
        <w:t>Law,</w:t>
      </w:r>
      <w:r>
        <w:rPr>
          <w:rFonts w:ascii="Times" w:hAnsi="Times"/>
        </w:rPr>
        <w:t xml:space="preserve"> Iacobucci J. stated (at para 95): Relatively speaking, adults under the age of 45 have not been consistently…”</w:t>
      </w:r>
    </w:p>
    <w:p w14:paraId="2BEF2156" w14:textId="6ADE6BD2" w:rsidR="00DD7C80" w:rsidRPr="00DF5FCB" w:rsidRDefault="00DD7C80" w:rsidP="00DD7C80">
      <w:pPr>
        <w:pStyle w:val="NoteLevel1"/>
        <w:rPr>
          <w:rFonts w:ascii="Times" w:hAnsi="Times"/>
        </w:rPr>
      </w:pPr>
      <w:r>
        <w:rPr>
          <w:rFonts w:ascii="Times" w:hAnsi="Times"/>
        </w:rPr>
        <w:t xml:space="preserve">- </w:t>
      </w:r>
      <w:r w:rsidR="0087658C">
        <w:rPr>
          <w:rFonts w:ascii="Times" w:hAnsi="Times"/>
        </w:rPr>
        <w:t xml:space="preserve">Para 37: </w:t>
      </w:r>
      <w:r w:rsidR="000107A5">
        <w:rPr>
          <w:rFonts w:ascii="Times" w:hAnsi="Times"/>
          <w:bCs/>
        </w:rPr>
        <w:t xml:space="preserve">“The second contextual factor we must consider in determining whether the distinction is discriminatory in the sense of denying human dignity and equal worth </w:t>
      </w:r>
      <w:r w:rsidR="00222EFE">
        <w:rPr>
          <w:rFonts w:ascii="Times" w:hAnsi="Times"/>
          <w:bCs/>
        </w:rPr>
        <w:t>is the relationship between the ground of distinction and the actual characteristics and circumstances of the claimant’s group</w:t>
      </w:r>
      <w:r w:rsidR="000107A5">
        <w:rPr>
          <w:rFonts w:ascii="Times" w:hAnsi="Times"/>
          <w:bCs/>
        </w:rPr>
        <w:t>.</w:t>
      </w:r>
      <w:r w:rsidR="009D458B">
        <w:rPr>
          <w:rFonts w:ascii="Times" w:hAnsi="Times"/>
          <w:bCs/>
        </w:rPr>
        <w:t xml:space="preserve"> A law that is closely tailored to the reality of the affected group is unlikely to discriminate within the meaning of s.15(1). By contrast, a law that imposes restrictions or denies benefits on account of presumed or unjustly attributed characteristics is likely to deny the essential human worth and to be discriminatory.” </w:t>
      </w:r>
      <w:r w:rsidR="00974DF5">
        <w:rPr>
          <w:rFonts w:ascii="Times" w:hAnsi="Times"/>
          <w:bCs/>
        </w:rPr>
        <w:t xml:space="preserve">**key paragraph for understanding the second contextual factor, which is the most intellectually challenging factor </w:t>
      </w:r>
    </w:p>
    <w:p w14:paraId="390804AB" w14:textId="216E7481" w:rsidR="00DF5FCB" w:rsidRPr="00DF5FCB" w:rsidRDefault="00F8545B" w:rsidP="00DD7C80">
      <w:pPr>
        <w:pStyle w:val="NoteLevel1"/>
        <w:rPr>
          <w:rFonts w:ascii="Times" w:hAnsi="Times"/>
        </w:rPr>
      </w:pPr>
      <w:r>
        <w:rPr>
          <w:rFonts w:ascii="Times" w:hAnsi="Times"/>
          <w:bCs/>
        </w:rPr>
        <w:t xml:space="preserve">- Read paragraphs 37 </w:t>
      </w:r>
      <w:r w:rsidRPr="00F8545B">
        <w:rPr>
          <w:rFonts w:ascii="Times" w:hAnsi="Times"/>
          <w:bCs/>
        </w:rPr>
        <w:sym w:font="Wingdings" w:char="F0E0"/>
      </w:r>
      <w:r>
        <w:rPr>
          <w:rFonts w:ascii="Times" w:hAnsi="Times"/>
          <w:bCs/>
        </w:rPr>
        <w:t xml:space="preserve"> </w:t>
      </w:r>
      <w:r w:rsidR="008066E0">
        <w:rPr>
          <w:rFonts w:ascii="Times" w:hAnsi="Times"/>
          <w:bCs/>
        </w:rPr>
        <w:t>58**</w:t>
      </w:r>
    </w:p>
    <w:p w14:paraId="03A7F89B" w14:textId="5F4ECDEC" w:rsidR="00DF5FCB" w:rsidRPr="00AC5A7E" w:rsidRDefault="00DF5FCB" w:rsidP="00DD7C80">
      <w:pPr>
        <w:pStyle w:val="NoteLevel1"/>
        <w:rPr>
          <w:rFonts w:ascii="Times" w:hAnsi="Times"/>
        </w:rPr>
      </w:pPr>
      <w:r>
        <w:rPr>
          <w:rFonts w:ascii="Times" w:hAnsi="Times"/>
          <w:bCs/>
        </w:rPr>
        <w:t xml:space="preserve">- </w:t>
      </w:r>
      <w:r w:rsidR="00AC5A7E">
        <w:rPr>
          <w:rFonts w:ascii="Times" w:hAnsi="Times"/>
          <w:bCs/>
        </w:rPr>
        <w:t>Para 41: “Short term purpose was to get recipients under 30 years of age into work and  training programs….”</w:t>
      </w:r>
    </w:p>
    <w:p w14:paraId="6D3ECD0B" w14:textId="79233B0E" w:rsidR="00AC5A7E" w:rsidRDefault="00AC5A7E" w:rsidP="00AC5A7E">
      <w:pPr>
        <w:pStyle w:val="NoteLevel1"/>
        <w:numPr>
          <w:ilvl w:val="0"/>
          <w:numId w:val="0"/>
        </w:numPr>
        <w:rPr>
          <w:rFonts w:ascii="Times" w:hAnsi="Times"/>
          <w:bCs/>
        </w:rPr>
      </w:pPr>
      <w:r>
        <w:rPr>
          <w:rFonts w:ascii="Times" w:hAnsi="Times"/>
          <w:bCs/>
        </w:rPr>
        <w:t xml:space="preserve">- Para 42: “The long term purpose was to provide young welfare recipients with precisely the kind of remedial education and skills training they lacked and needed in over eventually to integrate into the workforce and become self-sufficient.” </w:t>
      </w:r>
    </w:p>
    <w:p w14:paraId="4832E13D" w14:textId="0E7B77A0" w:rsidR="00316CB2" w:rsidRDefault="004B30A4" w:rsidP="00AC5A7E">
      <w:pPr>
        <w:pStyle w:val="NoteLevel1"/>
        <w:numPr>
          <w:ilvl w:val="0"/>
          <w:numId w:val="0"/>
        </w:numPr>
        <w:rPr>
          <w:rFonts w:ascii="Times" w:hAnsi="Times"/>
        </w:rPr>
      </w:pPr>
      <w:r>
        <w:rPr>
          <w:rFonts w:ascii="Times" w:hAnsi="Times"/>
        </w:rPr>
        <w:t xml:space="preserve">- </w:t>
      </w:r>
      <w:r w:rsidR="00CE4B50">
        <w:rPr>
          <w:rFonts w:ascii="Times" w:hAnsi="Times"/>
        </w:rPr>
        <w:t>Para 43: “Simply handing over a bigger welfare cheque would have done nothing to help welfare recipients under 30 escape from unemployment and its potentially devastating social and psychological consequences above and beyond the short-term loss of income.”</w:t>
      </w:r>
    </w:p>
    <w:p w14:paraId="6C3280A9" w14:textId="6A085573" w:rsidR="009C2CFC" w:rsidRDefault="009C2CFC" w:rsidP="00AC5A7E">
      <w:pPr>
        <w:pStyle w:val="NoteLevel1"/>
        <w:numPr>
          <w:ilvl w:val="0"/>
          <w:numId w:val="0"/>
        </w:numPr>
        <w:rPr>
          <w:rFonts w:ascii="Times" w:hAnsi="Times"/>
        </w:rPr>
      </w:pPr>
      <w:r>
        <w:rPr>
          <w:rFonts w:ascii="Times" w:hAnsi="Times"/>
        </w:rPr>
        <w:t xml:space="preserve">- </w:t>
      </w:r>
      <w:r w:rsidR="002A5272">
        <w:rPr>
          <w:rFonts w:ascii="Times" w:hAnsi="Times"/>
        </w:rPr>
        <w:t>Could be reversed as an exam question—argue for people on welfare over 30, who want the programs in place for those on welfare under the age of 30</w:t>
      </w:r>
    </w:p>
    <w:p w14:paraId="6E73DBB1" w14:textId="30598A43" w:rsidR="00BA745D" w:rsidRDefault="00BA745D" w:rsidP="00AC5A7E">
      <w:pPr>
        <w:pStyle w:val="NoteLevel1"/>
        <w:numPr>
          <w:ilvl w:val="0"/>
          <w:numId w:val="0"/>
        </w:numPr>
        <w:rPr>
          <w:rFonts w:ascii="Times" w:hAnsi="Times"/>
        </w:rPr>
      </w:pPr>
      <w:r>
        <w:rPr>
          <w:rFonts w:ascii="Times" w:hAnsi="Times"/>
        </w:rPr>
        <w:t xml:space="preserve">- </w:t>
      </w:r>
      <w:r w:rsidR="006152A0">
        <w:rPr>
          <w:rFonts w:ascii="Times" w:hAnsi="Times"/>
        </w:rPr>
        <w:t xml:space="preserve">Para 55: “Perfect correspondence between a benefit program and the actual needs and circumstances of the claimant group is not required to find that a challenged provision does not violated the </w:t>
      </w:r>
      <w:r w:rsidR="006152A0" w:rsidRPr="006152A0">
        <w:rPr>
          <w:rFonts w:ascii="Times" w:hAnsi="Times"/>
          <w:i/>
        </w:rPr>
        <w:t>Canadian</w:t>
      </w:r>
      <w:r w:rsidR="006152A0">
        <w:rPr>
          <w:rFonts w:ascii="Times" w:hAnsi="Times"/>
        </w:rPr>
        <w:t xml:space="preserve"> </w:t>
      </w:r>
      <w:r w:rsidR="006152A0">
        <w:rPr>
          <w:rFonts w:ascii="Times" w:hAnsi="Times"/>
          <w:i/>
        </w:rPr>
        <w:t>Charter</w:t>
      </w:r>
      <w:r w:rsidR="006152A0">
        <w:rPr>
          <w:rFonts w:ascii="Times" w:hAnsi="Times"/>
        </w:rPr>
        <w:t xml:space="preserve">.” </w:t>
      </w:r>
    </w:p>
    <w:p w14:paraId="0C6FE59E" w14:textId="1DCE060E" w:rsidR="004F6CB8" w:rsidRDefault="004F6CB8" w:rsidP="00AC5A7E">
      <w:pPr>
        <w:pStyle w:val="NoteLevel1"/>
        <w:numPr>
          <w:ilvl w:val="0"/>
          <w:numId w:val="0"/>
        </w:numPr>
        <w:rPr>
          <w:rFonts w:ascii="Times" w:hAnsi="Times"/>
        </w:rPr>
      </w:pPr>
      <w:r>
        <w:rPr>
          <w:rFonts w:ascii="Times" w:hAnsi="Times"/>
        </w:rPr>
        <w:t xml:space="preserve">- </w:t>
      </w:r>
      <w:r w:rsidR="00E9137F">
        <w:rPr>
          <w:rFonts w:ascii="Times" w:hAnsi="Times"/>
        </w:rPr>
        <w:t xml:space="preserve">Para </w:t>
      </w:r>
      <w:r>
        <w:rPr>
          <w:rFonts w:ascii="Times" w:hAnsi="Times"/>
        </w:rPr>
        <w:t xml:space="preserve">59-62 third contextual factor </w:t>
      </w:r>
    </w:p>
    <w:p w14:paraId="3BC89087" w14:textId="03CAFFA9" w:rsidR="004F6CB8" w:rsidRDefault="004F6CB8" w:rsidP="00AC5A7E">
      <w:pPr>
        <w:pStyle w:val="NoteLevel1"/>
        <w:numPr>
          <w:ilvl w:val="0"/>
          <w:numId w:val="0"/>
        </w:numPr>
        <w:rPr>
          <w:rFonts w:ascii="Times" w:hAnsi="Times"/>
        </w:rPr>
      </w:pPr>
      <w:r>
        <w:rPr>
          <w:rFonts w:ascii="Times" w:hAnsi="Times"/>
        </w:rPr>
        <w:t xml:space="preserve">- </w:t>
      </w:r>
      <w:r w:rsidR="00E9137F">
        <w:rPr>
          <w:rFonts w:ascii="Times" w:hAnsi="Times"/>
        </w:rPr>
        <w:t xml:space="preserve">Para </w:t>
      </w:r>
      <w:r>
        <w:rPr>
          <w:rFonts w:ascii="Times" w:hAnsi="Times"/>
        </w:rPr>
        <w:t xml:space="preserve">63-65 fourth factor </w:t>
      </w:r>
    </w:p>
    <w:p w14:paraId="6B1C9862" w14:textId="4D25FD0F" w:rsidR="004D629D" w:rsidRDefault="004D629D" w:rsidP="00AC5A7E">
      <w:pPr>
        <w:pStyle w:val="NoteLevel1"/>
        <w:numPr>
          <w:ilvl w:val="0"/>
          <w:numId w:val="0"/>
        </w:numPr>
        <w:rPr>
          <w:rFonts w:ascii="Times" w:hAnsi="Times"/>
        </w:rPr>
      </w:pPr>
      <w:r>
        <w:rPr>
          <w:rFonts w:ascii="Times" w:hAnsi="Times"/>
        </w:rPr>
        <w:t xml:space="preserve">- </w:t>
      </w:r>
      <w:r w:rsidR="0051148D">
        <w:rPr>
          <w:rFonts w:ascii="Times" w:hAnsi="Times"/>
        </w:rPr>
        <w:t xml:space="preserve">Para 67-74 </w:t>
      </w:r>
      <w:r w:rsidR="0051148D" w:rsidRPr="0051148D">
        <w:rPr>
          <w:rFonts w:ascii="Times" w:hAnsi="Times"/>
        </w:rPr>
        <w:sym w:font="Wingdings" w:char="F0E0"/>
      </w:r>
      <w:r w:rsidR="0051148D">
        <w:rPr>
          <w:rFonts w:ascii="Times" w:hAnsi="Times"/>
        </w:rPr>
        <w:t xml:space="preserve"> summary of contextual factors, read this! </w:t>
      </w:r>
    </w:p>
    <w:p w14:paraId="0CDE7A80" w14:textId="10857FA9" w:rsidR="002D330C" w:rsidRDefault="002D330C" w:rsidP="00AC5A7E">
      <w:pPr>
        <w:pStyle w:val="NoteLevel1"/>
        <w:numPr>
          <w:ilvl w:val="0"/>
          <w:numId w:val="0"/>
        </w:numPr>
        <w:rPr>
          <w:rFonts w:ascii="Times" w:hAnsi="Times"/>
        </w:rPr>
      </w:pPr>
    </w:p>
    <w:p w14:paraId="6C7F39D4" w14:textId="16663CB6" w:rsidR="002D330C" w:rsidRDefault="002D330C" w:rsidP="00AC5A7E">
      <w:pPr>
        <w:pStyle w:val="NoteLevel1"/>
        <w:numPr>
          <w:ilvl w:val="0"/>
          <w:numId w:val="0"/>
        </w:numPr>
        <w:rPr>
          <w:rFonts w:ascii="Times" w:hAnsi="Times"/>
        </w:rPr>
      </w:pPr>
      <w:r>
        <w:rPr>
          <w:rFonts w:ascii="Times" w:hAnsi="Times"/>
          <w:u w:val="single"/>
        </w:rPr>
        <w:t>Canadian Foundation for Children, Youth, and the Law v. Canada (Attorney General)</w:t>
      </w:r>
      <w:r w:rsidR="005E6E2F">
        <w:rPr>
          <w:rFonts w:ascii="Times" w:hAnsi="Times"/>
          <w:u w:val="single"/>
        </w:rPr>
        <w:t xml:space="preserve">, [2004] 1 S.C.R. 76 </w:t>
      </w:r>
    </w:p>
    <w:p w14:paraId="6B33BEEC" w14:textId="6B34724D" w:rsidR="007A349E" w:rsidRDefault="007A349E" w:rsidP="00AC5A7E">
      <w:pPr>
        <w:pStyle w:val="NoteLevel1"/>
        <w:numPr>
          <w:ilvl w:val="0"/>
          <w:numId w:val="0"/>
        </w:numPr>
        <w:rPr>
          <w:rFonts w:ascii="Times" w:hAnsi="Times"/>
        </w:rPr>
      </w:pPr>
      <w:r>
        <w:rPr>
          <w:rFonts w:ascii="Times" w:hAnsi="Times"/>
        </w:rPr>
        <w:t>- “the spanking case”</w:t>
      </w:r>
    </w:p>
    <w:p w14:paraId="5611DB73" w14:textId="7822EFA0" w:rsidR="007A349E" w:rsidRDefault="007A349E" w:rsidP="00AC5A7E">
      <w:pPr>
        <w:pStyle w:val="NoteLevel1"/>
        <w:numPr>
          <w:ilvl w:val="0"/>
          <w:numId w:val="0"/>
        </w:numPr>
        <w:rPr>
          <w:rFonts w:ascii="Times" w:hAnsi="Times"/>
        </w:rPr>
      </w:pPr>
      <w:r>
        <w:rPr>
          <w:rFonts w:ascii="Times" w:hAnsi="Times"/>
        </w:rPr>
        <w:t xml:space="preserve">- </w:t>
      </w:r>
      <w:r w:rsidR="005051B0">
        <w:rPr>
          <w:rFonts w:ascii="Times" w:hAnsi="Times"/>
        </w:rPr>
        <w:t xml:space="preserve">Majority: McLachlin C.J., and dissent by Justice Binnie </w:t>
      </w:r>
    </w:p>
    <w:p w14:paraId="01000094" w14:textId="48FE4241" w:rsidR="005051B0" w:rsidRDefault="00E3232D" w:rsidP="00AC5A7E">
      <w:pPr>
        <w:pStyle w:val="NoteLevel1"/>
        <w:numPr>
          <w:ilvl w:val="0"/>
          <w:numId w:val="0"/>
        </w:numPr>
        <w:rPr>
          <w:rFonts w:ascii="Times" w:hAnsi="Times"/>
        </w:rPr>
      </w:pPr>
      <w:r>
        <w:rPr>
          <w:rFonts w:ascii="Times" w:hAnsi="Times"/>
        </w:rPr>
        <w:t xml:space="preserve">- </w:t>
      </w:r>
      <w:r w:rsidR="00074F4B">
        <w:rPr>
          <w:rFonts w:ascii="Times" w:hAnsi="Times"/>
        </w:rPr>
        <w:t>Para 1: Issue in this case is the constitutionality of Parliament’s decision to carve out a sphere….</w:t>
      </w:r>
      <w:r w:rsidR="00BA0BAD">
        <w:rPr>
          <w:rFonts w:ascii="Times" w:hAnsi="Times"/>
        </w:rPr>
        <w:t xml:space="preserve">Section 43 of the </w:t>
      </w:r>
      <w:r w:rsidR="00BA0BAD">
        <w:rPr>
          <w:rFonts w:ascii="Times" w:hAnsi="Times"/>
          <w:i/>
        </w:rPr>
        <w:t>Criminal Code</w:t>
      </w:r>
      <w:r w:rsidR="00BA0BAD">
        <w:rPr>
          <w:rFonts w:ascii="Times" w:hAnsi="Times"/>
        </w:rPr>
        <w:t xml:space="preserve">: “Every schoolteacher, parent or person standing in the place of a parent is justified in using force by way of correction toward a pupil of child, as the case may be, who is under his case, if the force does not exceed what is reasonable under the circumstances.” </w:t>
      </w:r>
    </w:p>
    <w:p w14:paraId="282FBADA" w14:textId="4D819AAF" w:rsidR="005E4819" w:rsidRDefault="005E4819" w:rsidP="00AC5A7E">
      <w:pPr>
        <w:pStyle w:val="NoteLevel1"/>
        <w:numPr>
          <w:ilvl w:val="0"/>
          <w:numId w:val="0"/>
        </w:numPr>
        <w:rPr>
          <w:rFonts w:ascii="Times" w:hAnsi="Times"/>
        </w:rPr>
      </w:pPr>
      <w:r>
        <w:rPr>
          <w:rFonts w:ascii="Times" w:hAnsi="Times"/>
        </w:rPr>
        <w:t xml:space="preserve">- </w:t>
      </w:r>
      <w:r w:rsidR="002B0C9D">
        <w:rPr>
          <w:rFonts w:ascii="Times" w:hAnsi="Times"/>
        </w:rPr>
        <w:t>The Found</w:t>
      </w:r>
      <w:r>
        <w:rPr>
          <w:rFonts w:ascii="Times" w:hAnsi="Times"/>
        </w:rPr>
        <w:t xml:space="preserve">ation argues that there is a violation of s.15(1) of the </w:t>
      </w:r>
      <w:r>
        <w:rPr>
          <w:rFonts w:ascii="Times" w:hAnsi="Times"/>
          <w:i/>
        </w:rPr>
        <w:t>Charter</w:t>
      </w:r>
      <w:r>
        <w:rPr>
          <w:rFonts w:ascii="Times" w:hAnsi="Times"/>
        </w:rPr>
        <w:t xml:space="preserve"> because it denies children the legal protection against assa</w:t>
      </w:r>
      <w:r w:rsidR="00283C6E">
        <w:rPr>
          <w:rFonts w:ascii="Times" w:hAnsi="Times"/>
        </w:rPr>
        <w:t>ults that is accorded to adults</w:t>
      </w:r>
    </w:p>
    <w:p w14:paraId="40DF1B53" w14:textId="77777777" w:rsidR="00283C6E" w:rsidRPr="005E4819" w:rsidRDefault="00283C6E" w:rsidP="00AC5A7E">
      <w:pPr>
        <w:pStyle w:val="NoteLevel1"/>
        <w:numPr>
          <w:ilvl w:val="0"/>
          <w:numId w:val="0"/>
        </w:numPr>
        <w:rPr>
          <w:rFonts w:ascii="Times" w:hAnsi="Times"/>
        </w:rPr>
      </w:pPr>
    </w:p>
    <w:p w14:paraId="06631CC3" w14:textId="77777777" w:rsidR="00502A8C" w:rsidRPr="00BA0BAD" w:rsidRDefault="00502A8C" w:rsidP="00AC5A7E">
      <w:pPr>
        <w:pStyle w:val="NoteLevel1"/>
        <w:numPr>
          <w:ilvl w:val="0"/>
          <w:numId w:val="0"/>
        </w:numPr>
        <w:rPr>
          <w:rFonts w:ascii="Times" w:hAnsi="Times"/>
        </w:rPr>
      </w:pPr>
    </w:p>
    <w:p w14:paraId="61AC705C" w14:textId="77777777" w:rsidR="000107A5" w:rsidRDefault="000107A5" w:rsidP="00DD7C80">
      <w:pPr>
        <w:pStyle w:val="NoteLevel1"/>
        <w:rPr>
          <w:rFonts w:ascii="Times" w:hAnsi="Times"/>
        </w:rPr>
      </w:pPr>
    </w:p>
    <w:p w14:paraId="64FC7766" w14:textId="26ED8E3D" w:rsidR="00DD7C80" w:rsidRPr="00DD7C80" w:rsidRDefault="00DD7C80" w:rsidP="00DD7C80">
      <w:pPr>
        <w:pStyle w:val="NoteLevel2"/>
        <w:numPr>
          <w:ilvl w:val="0"/>
          <w:numId w:val="0"/>
        </w:numPr>
        <w:ind w:left="1080"/>
        <w:rPr>
          <w:rFonts w:ascii="Times" w:hAnsi="Times"/>
        </w:rPr>
      </w:pPr>
    </w:p>
    <w:p w14:paraId="00FA70F4" w14:textId="7929EAC2" w:rsidR="00A1455C" w:rsidRPr="00A1455C" w:rsidRDefault="00A1455C" w:rsidP="00715B1F">
      <w:pPr>
        <w:pStyle w:val="NoteLevel1"/>
        <w:numPr>
          <w:ilvl w:val="0"/>
          <w:numId w:val="0"/>
        </w:numPr>
        <w:rPr>
          <w:rFonts w:ascii="Times" w:hAnsi="Times"/>
        </w:rPr>
      </w:pPr>
    </w:p>
    <w:p w14:paraId="32C0CA06" w14:textId="77777777" w:rsidR="00E449C8" w:rsidRDefault="00E449C8" w:rsidP="00715B1F">
      <w:pPr>
        <w:pStyle w:val="NoteLevel1"/>
        <w:numPr>
          <w:ilvl w:val="0"/>
          <w:numId w:val="0"/>
        </w:numPr>
        <w:rPr>
          <w:rFonts w:ascii="Times" w:hAnsi="Times"/>
        </w:rPr>
      </w:pPr>
    </w:p>
    <w:p w14:paraId="5CF00D1E" w14:textId="77777777" w:rsidR="00A45143" w:rsidRDefault="00A45143" w:rsidP="00715B1F">
      <w:pPr>
        <w:pStyle w:val="NoteLevel1"/>
        <w:numPr>
          <w:ilvl w:val="0"/>
          <w:numId w:val="0"/>
        </w:numPr>
        <w:rPr>
          <w:rFonts w:ascii="Times" w:hAnsi="Times"/>
        </w:rPr>
        <w:sectPr w:rsidR="00A45143" w:rsidSect="00D00E19">
          <w:headerReference w:type="first" r:id="rId17"/>
          <w:pgSz w:w="12240" w:h="15840"/>
          <w:pgMar w:top="1440" w:right="1440" w:bottom="1440" w:left="1440" w:header="708" w:footer="708" w:gutter="0"/>
          <w:cols w:space="708"/>
          <w:titlePg/>
          <w:docGrid w:type="lines" w:linePitch="360"/>
        </w:sectPr>
      </w:pPr>
    </w:p>
    <w:p w14:paraId="14C7E3DE" w14:textId="2A78C5FC" w:rsidR="00A45143" w:rsidRPr="00A45143" w:rsidRDefault="00A45143" w:rsidP="00A45143">
      <w:pPr>
        <w:pStyle w:val="NoteLevel1"/>
        <w:rPr>
          <w:rFonts w:ascii="Times" w:hAnsi="Times"/>
        </w:rPr>
      </w:pPr>
      <w:r w:rsidRPr="00A45143">
        <w:rPr>
          <w:rFonts w:ascii="Times" w:hAnsi="Times"/>
          <w:u w:val="single"/>
        </w:rPr>
        <w:t xml:space="preserve">Canadian Foundation for Children, Youth, and the Law v. Canada (Attorney General), [2004] 1 S.C.R. 76 </w:t>
      </w:r>
      <w:r>
        <w:rPr>
          <w:rFonts w:ascii="Times" w:hAnsi="Times"/>
          <w:u w:val="single"/>
        </w:rPr>
        <w:t>(Cont</w:t>
      </w:r>
      <w:r w:rsidR="00D671E2">
        <w:rPr>
          <w:rFonts w:ascii="Times" w:hAnsi="Times"/>
          <w:u w:val="single"/>
        </w:rPr>
        <w:t>inued from last week</w:t>
      </w:r>
      <w:r>
        <w:rPr>
          <w:rFonts w:ascii="Times" w:hAnsi="Times"/>
          <w:u w:val="single"/>
        </w:rPr>
        <w:t>…)</w:t>
      </w:r>
    </w:p>
    <w:p w14:paraId="25CBB510" w14:textId="2036E520" w:rsidR="00A45143" w:rsidRPr="00A45143" w:rsidRDefault="00D671E2" w:rsidP="00A45143">
      <w:pPr>
        <w:pStyle w:val="NoteLevel1"/>
        <w:rPr>
          <w:rFonts w:ascii="Times" w:hAnsi="Times"/>
        </w:rPr>
      </w:pPr>
      <w:r>
        <w:rPr>
          <w:rFonts w:ascii="Times" w:hAnsi="Times"/>
        </w:rPr>
        <w:t xml:space="preserve">- </w:t>
      </w:r>
      <w:r w:rsidR="00C81833">
        <w:rPr>
          <w:rFonts w:ascii="Times" w:hAnsi="Times"/>
        </w:rPr>
        <w:t xml:space="preserve">Turns on the second contextual factor </w:t>
      </w:r>
    </w:p>
    <w:p w14:paraId="500FD0C3" w14:textId="566D9AC6" w:rsidR="00715B1F" w:rsidRDefault="001E699B" w:rsidP="00A45143">
      <w:pPr>
        <w:pStyle w:val="NoteLevel1"/>
        <w:rPr>
          <w:rFonts w:ascii="Times" w:hAnsi="Times"/>
        </w:rPr>
      </w:pPr>
      <w:r>
        <w:rPr>
          <w:rFonts w:ascii="Times" w:hAnsi="Times"/>
        </w:rPr>
        <w:t xml:space="preserve">- </w:t>
      </w:r>
      <w:r w:rsidRPr="001E699B">
        <w:rPr>
          <w:rFonts w:ascii="Times" w:hAnsi="Times"/>
        </w:rPr>
        <w:t xml:space="preserve">Para 1: Issue in this case is the constitutionality of Parliament’s decision to carve out a sphere….Section 43 of the </w:t>
      </w:r>
      <w:r w:rsidRPr="001E699B">
        <w:rPr>
          <w:rFonts w:ascii="Times" w:hAnsi="Times"/>
          <w:i/>
        </w:rPr>
        <w:t>Criminal Code</w:t>
      </w:r>
      <w:r w:rsidRPr="001E699B">
        <w:rPr>
          <w:rFonts w:ascii="Times" w:hAnsi="Times"/>
        </w:rPr>
        <w:t>: “Every schoolteacher, parent or person standing in the place of a parent is justified in using force by way of correction toward a pupil of child, as the case may be, who is under his case, if the force does not exceed what is reasonable under the circumstances.”</w:t>
      </w:r>
    </w:p>
    <w:p w14:paraId="799E49C2" w14:textId="73AC0700" w:rsidR="001E699B" w:rsidRDefault="001E699B" w:rsidP="001E699B">
      <w:pPr>
        <w:pStyle w:val="NoteLevel1"/>
        <w:rPr>
          <w:rFonts w:ascii="Times" w:hAnsi="Times"/>
        </w:rPr>
      </w:pPr>
      <w:r>
        <w:rPr>
          <w:rFonts w:ascii="Times" w:hAnsi="Times"/>
        </w:rPr>
        <w:t xml:space="preserve">- </w:t>
      </w:r>
      <w:r w:rsidRPr="001E699B">
        <w:rPr>
          <w:rFonts w:ascii="Times" w:hAnsi="Times"/>
        </w:rPr>
        <w:t xml:space="preserve">The Foundation argues that there is a violation of s.15(1) of the </w:t>
      </w:r>
      <w:r w:rsidRPr="001E699B">
        <w:rPr>
          <w:rFonts w:ascii="Times" w:hAnsi="Times"/>
          <w:i/>
        </w:rPr>
        <w:t>Charter</w:t>
      </w:r>
      <w:r w:rsidRPr="001E699B">
        <w:rPr>
          <w:rFonts w:ascii="Times" w:hAnsi="Times"/>
        </w:rPr>
        <w:t xml:space="preserve"> because it denies children the legal protection against assaults that is accorded to adults </w:t>
      </w:r>
    </w:p>
    <w:p w14:paraId="29956F55" w14:textId="5267A251" w:rsidR="001E699B" w:rsidRDefault="001E699B" w:rsidP="001E699B">
      <w:pPr>
        <w:pStyle w:val="NoteLevel1"/>
        <w:rPr>
          <w:rFonts w:ascii="Times" w:hAnsi="Times"/>
        </w:rPr>
      </w:pPr>
      <w:r>
        <w:rPr>
          <w:rFonts w:ascii="Times" w:hAnsi="Times"/>
        </w:rPr>
        <w:t xml:space="preserve">- Question put as follows (para 54) </w:t>
      </w:r>
    </w:p>
    <w:p w14:paraId="572A2347" w14:textId="034737F9" w:rsidR="0064152B" w:rsidRDefault="001E699B" w:rsidP="00714CC3">
      <w:pPr>
        <w:pStyle w:val="NoteLevel1"/>
        <w:rPr>
          <w:rFonts w:ascii="Times" w:hAnsi="Times"/>
        </w:rPr>
      </w:pPr>
      <w:r>
        <w:rPr>
          <w:rFonts w:ascii="Times" w:hAnsi="Times"/>
        </w:rPr>
        <w:t xml:space="preserve">- </w:t>
      </w:r>
      <w:r w:rsidR="006276D6">
        <w:rPr>
          <w:rFonts w:ascii="Times" w:hAnsi="Times"/>
        </w:rPr>
        <w:t xml:space="preserve">Para 56: The first factor is clearly met in this case </w:t>
      </w:r>
      <w:r w:rsidR="00714CC3">
        <w:rPr>
          <w:rFonts w:ascii="Times" w:hAnsi="Times"/>
        </w:rPr>
        <w:t>(pre-existing disadvantage)</w:t>
      </w:r>
    </w:p>
    <w:p w14:paraId="0BCAEF33" w14:textId="093540DD" w:rsidR="00714CC3" w:rsidRDefault="00714CC3" w:rsidP="00714CC3">
      <w:pPr>
        <w:pStyle w:val="NoteLevel2"/>
        <w:rPr>
          <w:rFonts w:ascii="Times" w:hAnsi="Times"/>
        </w:rPr>
      </w:pPr>
      <w:r>
        <w:rPr>
          <w:rFonts w:ascii="Times" w:hAnsi="Times"/>
        </w:rPr>
        <w:t xml:space="preserve">Similarly, the fourth factor is met. The nature of the interest affected—physical integrity—is profound. </w:t>
      </w:r>
    </w:p>
    <w:p w14:paraId="7224F2E1" w14:textId="595D03FE" w:rsidR="00127944" w:rsidRDefault="00127944" w:rsidP="00714CC3">
      <w:pPr>
        <w:pStyle w:val="NoteLevel2"/>
        <w:rPr>
          <w:rFonts w:ascii="Times" w:hAnsi="Times"/>
        </w:rPr>
      </w:pPr>
      <w:r>
        <w:rPr>
          <w:rFonts w:ascii="Times" w:hAnsi="Times"/>
        </w:rPr>
        <w:t>No one contends that s.43 is designed to ameliorate the condition of another more disadvantaged group: the third factor</w:t>
      </w:r>
    </w:p>
    <w:p w14:paraId="33803AD0" w14:textId="745D3153" w:rsidR="00127944" w:rsidRDefault="00F61D64" w:rsidP="00F61D64">
      <w:pPr>
        <w:pStyle w:val="NoteLevel1"/>
        <w:rPr>
          <w:rFonts w:ascii="Times" w:hAnsi="Times"/>
        </w:rPr>
      </w:pPr>
      <w:r>
        <w:rPr>
          <w:rFonts w:ascii="Times" w:hAnsi="Times"/>
        </w:rPr>
        <w:t xml:space="preserve">- </w:t>
      </w:r>
      <w:r w:rsidR="00274CC4">
        <w:rPr>
          <w:rFonts w:ascii="Times" w:hAnsi="Times"/>
        </w:rPr>
        <w:t xml:space="preserve">Para 37: The second contextual factor is the relationship between the ground of distinction (age) and the actual characteristics and circumstances of the claimant’s group </w:t>
      </w:r>
    </w:p>
    <w:p w14:paraId="2A88B767" w14:textId="4C0388AA" w:rsidR="00AE136B" w:rsidRDefault="00D931ED" w:rsidP="00F61D64">
      <w:pPr>
        <w:pStyle w:val="NoteLevel1"/>
        <w:rPr>
          <w:rFonts w:ascii="Times" w:hAnsi="Times"/>
        </w:rPr>
      </w:pPr>
      <w:r>
        <w:rPr>
          <w:rFonts w:ascii="Times" w:hAnsi="Times"/>
        </w:rPr>
        <w:t xml:space="preserve">- </w:t>
      </w:r>
      <w:r w:rsidR="00CD2250">
        <w:rPr>
          <w:rFonts w:ascii="Times" w:hAnsi="Times"/>
        </w:rPr>
        <w:t xml:space="preserve">Para 58: “Children need to be protected from abusive </w:t>
      </w:r>
      <w:r w:rsidR="00067547">
        <w:rPr>
          <w:rFonts w:ascii="Times" w:hAnsi="Times"/>
        </w:rPr>
        <w:t>treatment. They are vulnerable members of Canadian society and Parliament and the Executive act admirably when they shield children from psychological and physical harm. In so acting, the government responds to the critical need of all children for a safe environment. Yet</w:t>
      </w:r>
      <w:r w:rsidR="00CD2250">
        <w:rPr>
          <w:rFonts w:ascii="Times" w:hAnsi="Times"/>
        </w:rPr>
        <w:t xml:space="preserve"> this is not the only need of children. Children also depend on parents and teachers for guidance and discipline, to protect them from harm and to promote their healthy development wit</w:t>
      </w:r>
      <w:r w:rsidR="00067547">
        <w:rPr>
          <w:rFonts w:ascii="Times" w:hAnsi="Times"/>
        </w:rPr>
        <w:t>hin society.</w:t>
      </w:r>
      <w:r w:rsidR="00BC6EBB">
        <w:rPr>
          <w:rFonts w:ascii="Times" w:hAnsi="Times"/>
        </w:rPr>
        <w:t xml:space="preserve"> A stable and secure family and school setting is essential to this growth process.</w:t>
      </w:r>
      <w:r w:rsidR="00067547">
        <w:rPr>
          <w:rFonts w:ascii="Times" w:hAnsi="Times"/>
        </w:rPr>
        <w:t>”</w:t>
      </w:r>
    </w:p>
    <w:p w14:paraId="5B6DC8F1" w14:textId="3BA52304" w:rsidR="00067547" w:rsidRDefault="00067547" w:rsidP="00F61D64">
      <w:pPr>
        <w:pStyle w:val="NoteLevel1"/>
        <w:rPr>
          <w:rFonts w:ascii="Times" w:hAnsi="Times"/>
        </w:rPr>
      </w:pPr>
      <w:r>
        <w:rPr>
          <w:rFonts w:ascii="Times" w:hAnsi="Times"/>
        </w:rPr>
        <w:t xml:space="preserve">- </w:t>
      </w:r>
      <w:r w:rsidR="00E63DAB">
        <w:rPr>
          <w:rFonts w:ascii="Times" w:hAnsi="Times"/>
        </w:rPr>
        <w:t xml:space="preserve">Para 59: “Section 43 is Parliament’s attempt to accommodate both of these needs. It provides parents and teachers with the ability to carry out the reasonable education of the children without the threat of criminal section by the criminal law.” </w:t>
      </w:r>
    </w:p>
    <w:p w14:paraId="493D13AA" w14:textId="6738DBD5" w:rsidR="00E63DAB" w:rsidRDefault="00E63DAB" w:rsidP="00F61D64">
      <w:pPr>
        <w:pStyle w:val="NoteLevel1"/>
        <w:rPr>
          <w:rFonts w:ascii="Times" w:hAnsi="Times"/>
        </w:rPr>
      </w:pPr>
      <w:r>
        <w:rPr>
          <w:rFonts w:ascii="Times" w:hAnsi="Times"/>
        </w:rPr>
        <w:t xml:space="preserve">- Para 60: “The criminal law is the most powerful tool at Parliament’s disposal” </w:t>
      </w:r>
    </w:p>
    <w:p w14:paraId="663B2111" w14:textId="07FF2A9D" w:rsidR="003B2147" w:rsidRDefault="003B2147" w:rsidP="00F61D64">
      <w:pPr>
        <w:pStyle w:val="NoteLevel1"/>
        <w:rPr>
          <w:rFonts w:ascii="Times" w:hAnsi="Times"/>
        </w:rPr>
      </w:pPr>
      <w:r>
        <w:rPr>
          <w:rFonts w:ascii="Times" w:hAnsi="Times"/>
        </w:rPr>
        <w:t xml:space="preserve">- Para 63: The reality is that without s. 43, Canada’s broad assault law would criminalize force falling fall short of what we think of as corporal punishment, like placing an unwilling child in a chair for a five-minute “time out”. </w:t>
      </w:r>
    </w:p>
    <w:p w14:paraId="63128DBE" w14:textId="62AB651A" w:rsidR="003B2147" w:rsidRDefault="005800E6" w:rsidP="00F61D64">
      <w:pPr>
        <w:pStyle w:val="NoteLevel1"/>
        <w:rPr>
          <w:rFonts w:ascii="Times" w:hAnsi="Times"/>
        </w:rPr>
      </w:pPr>
      <w:r>
        <w:rPr>
          <w:rFonts w:ascii="Times" w:hAnsi="Times"/>
        </w:rPr>
        <w:t xml:space="preserve">- Para 66: “Binnie J. suggests that negative impact of criminalizing minor corrective force is irrelevant to the s.15 equality analysis and should only be considered at the stage of justifying a breach of s.15 under s.1 of the </w:t>
      </w:r>
      <w:r>
        <w:rPr>
          <w:rFonts w:ascii="Times" w:hAnsi="Times"/>
          <w:i/>
        </w:rPr>
        <w:t>Charter</w:t>
      </w:r>
      <w:r w:rsidR="00115F74">
        <w:rPr>
          <w:rFonts w:ascii="Times" w:hAnsi="Times"/>
        </w:rPr>
        <w:t xml:space="preserve"> […]</w:t>
      </w:r>
    </w:p>
    <w:p w14:paraId="65BFED90" w14:textId="284A70B3" w:rsidR="005800E6" w:rsidRDefault="00322EFB" w:rsidP="00322EFB">
      <w:pPr>
        <w:pStyle w:val="NoteLevel2"/>
        <w:rPr>
          <w:rFonts w:ascii="Times" w:hAnsi="Times"/>
        </w:rPr>
      </w:pPr>
      <w:r>
        <w:rPr>
          <w:rFonts w:ascii="Times" w:hAnsi="Times"/>
        </w:rPr>
        <w:t xml:space="preserve">“he states that section 43 protects parents and teachers, not children, and therefore inquiry into the impugned laws and precludes correspondence to the children’s needs, capacities and circumstances in the s.15 analysis” </w:t>
      </w:r>
    </w:p>
    <w:p w14:paraId="353CC9FA" w14:textId="78427429" w:rsidR="00115F74" w:rsidRDefault="00115F74" w:rsidP="00322EFB">
      <w:pPr>
        <w:pStyle w:val="NoteLevel2"/>
        <w:rPr>
          <w:rFonts w:ascii="Times" w:hAnsi="Times"/>
        </w:rPr>
      </w:pPr>
      <w:r>
        <w:rPr>
          <w:rFonts w:ascii="Times" w:hAnsi="Times"/>
        </w:rPr>
        <w:t xml:space="preserve">Majority: “With respect, I cannot agree. The claimants here are children. The </w:t>
      </w:r>
      <w:r>
        <w:rPr>
          <w:rFonts w:ascii="Times" w:hAnsi="Times"/>
          <w:i/>
        </w:rPr>
        <w:t>Law</w:t>
      </w:r>
      <w:r>
        <w:rPr>
          <w:rFonts w:ascii="Times" w:hAnsi="Times"/>
        </w:rPr>
        <w:t xml:space="preserve"> analysis requires that the Court consider whether the limited exemption from criminal sanction for parents and teachers corresponds to the needs of children. This is a necessary step in determining whether the distinction demeans children and treats them as less worthy. We should not artificially truncate the s.15 equality analysis because similar considerations may be relevant to justification in the event of a breach of s.15 is established.” </w:t>
      </w:r>
    </w:p>
    <w:p w14:paraId="286F3924" w14:textId="02D879E3" w:rsidR="00115F74" w:rsidRDefault="00115F74" w:rsidP="00115F74">
      <w:pPr>
        <w:pStyle w:val="NoteLevel1"/>
        <w:rPr>
          <w:rFonts w:ascii="Times" w:hAnsi="Times"/>
        </w:rPr>
      </w:pPr>
      <w:r>
        <w:rPr>
          <w:rFonts w:ascii="Times" w:hAnsi="Times"/>
        </w:rPr>
        <w:t xml:space="preserve">- </w:t>
      </w:r>
      <w:r w:rsidR="00FC5E3A">
        <w:rPr>
          <w:rFonts w:ascii="Times" w:hAnsi="Times"/>
        </w:rPr>
        <w:t xml:space="preserve">Para 68: “I am satisfied that a reasonable person acting on behalf of a child, apprised of the harms of criminalization that s.43 avoids, the presence of other governmental initiatives to reduce the use of corporal punishment, and the fact that abusive and harmful conduct is still prohibited by criminal law, would not conclude that the child’s….” </w:t>
      </w:r>
    </w:p>
    <w:p w14:paraId="45C8A320" w14:textId="771B8F34" w:rsidR="00FC5E3A" w:rsidRDefault="00FC5E3A" w:rsidP="00115F74">
      <w:pPr>
        <w:pStyle w:val="NoteLevel1"/>
        <w:rPr>
          <w:rFonts w:ascii="Times" w:hAnsi="Times"/>
        </w:rPr>
      </w:pPr>
      <w:r>
        <w:rPr>
          <w:rFonts w:ascii="Times" w:hAnsi="Times"/>
        </w:rPr>
        <w:t xml:space="preserve">- Para 71: Binnie’s dissent </w:t>
      </w:r>
      <w:r w:rsidR="0054559E">
        <w:rPr>
          <w:rFonts w:ascii="Times" w:hAnsi="Times"/>
        </w:rPr>
        <w:t>begins…</w:t>
      </w:r>
    </w:p>
    <w:p w14:paraId="5F813D8C" w14:textId="69244396" w:rsidR="00FC5E3A" w:rsidRDefault="00FC5E3A" w:rsidP="00FC5E3A">
      <w:pPr>
        <w:pStyle w:val="NoteLevel2"/>
        <w:rPr>
          <w:rFonts w:ascii="Times" w:hAnsi="Times"/>
        </w:rPr>
      </w:pPr>
      <w:r>
        <w:rPr>
          <w:rFonts w:ascii="Times" w:hAnsi="Times"/>
        </w:rPr>
        <w:t xml:space="preserve">“Section 43 denies children the protection of the criminal law against the infliction of physical “force” that would be a criminal assault if used against an adult. The sole reason for children being placed in this inferior position is that they are children.” </w:t>
      </w:r>
    </w:p>
    <w:p w14:paraId="5497011F" w14:textId="14C899FB" w:rsidR="00141467" w:rsidRDefault="0054559E" w:rsidP="0054559E">
      <w:pPr>
        <w:pStyle w:val="NoteLevel1"/>
        <w:numPr>
          <w:ilvl w:val="0"/>
          <w:numId w:val="0"/>
        </w:numPr>
        <w:rPr>
          <w:rFonts w:ascii="Times" w:hAnsi="Times"/>
        </w:rPr>
      </w:pPr>
      <w:r>
        <w:rPr>
          <w:rFonts w:ascii="Times" w:hAnsi="Times"/>
        </w:rPr>
        <w:t xml:space="preserve">- Para 72: “Notwithstanding these facts, my colleague, the Chief Justice, is of the view that the equality rights of the child are not infringed by s.43 because “a reasonable persona acting on behalf of a child…would not conclude that the child’s dignity has been offended in the manner contemplated by s.15(1)” </w:t>
      </w:r>
    </w:p>
    <w:p w14:paraId="7A4C1B71" w14:textId="19FA7864" w:rsidR="00B65231" w:rsidRDefault="0054559E" w:rsidP="00265DE6">
      <w:pPr>
        <w:pStyle w:val="NoteLevel2"/>
        <w:rPr>
          <w:rFonts w:ascii="Times" w:hAnsi="Times"/>
        </w:rPr>
      </w:pPr>
      <w:r>
        <w:rPr>
          <w:rFonts w:ascii="Times" w:hAnsi="Times"/>
        </w:rPr>
        <w:t xml:space="preserve">“With all due respect to the majority of my colleagues, there can be few things that more effectively designate children as second-class citizens than stripping them of the ordinary protection of the assault provision of the </w:t>
      </w:r>
      <w:r>
        <w:rPr>
          <w:rFonts w:ascii="Times" w:hAnsi="Times"/>
          <w:i/>
        </w:rPr>
        <w:t>Criminal Code</w:t>
      </w:r>
      <w:r w:rsidR="00F84F41">
        <w:rPr>
          <w:rFonts w:ascii="Times" w:hAnsi="Times"/>
        </w:rPr>
        <w:t xml:space="preserve">.” </w:t>
      </w:r>
    </w:p>
    <w:p w14:paraId="38E9646D" w14:textId="2838CBE5" w:rsidR="00265DE6" w:rsidRDefault="00265DE6" w:rsidP="00265DE6">
      <w:pPr>
        <w:pStyle w:val="NoteLevel2"/>
        <w:rPr>
          <w:rFonts w:ascii="Times" w:hAnsi="Times"/>
        </w:rPr>
      </w:pPr>
      <w:r>
        <w:rPr>
          <w:rFonts w:ascii="Times" w:hAnsi="Times"/>
        </w:rPr>
        <w:t xml:space="preserve">“The dignity requirement, which gathered full force in this Court’s judgment in </w:t>
      </w:r>
      <w:r>
        <w:rPr>
          <w:rFonts w:ascii="Times" w:hAnsi="Times"/>
          <w:i/>
        </w:rPr>
        <w:t>Law</w:t>
      </w:r>
      <w:r>
        <w:rPr>
          <w:rFonts w:ascii="Times" w:hAnsi="Times"/>
        </w:rPr>
        <w:t xml:space="preserve">, provides a useful and important insight into the purpose of s.15(1), but it should not become an unpredictable side-wind powerful enough to single-handedly blow away the protection of the </w:t>
      </w:r>
      <w:r>
        <w:rPr>
          <w:rFonts w:ascii="Times" w:hAnsi="Times"/>
          <w:i/>
        </w:rPr>
        <w:t>Criminal Code</w:t>
      </w:r>
      <w:r>
        <w:rPr>
          <w:rFonts w:ascii="Times" w:hAnsi="Times"/>
        </w:rPr>
        <w:t xml:space="preserve"> would otherwise provide.” </w:t>
      </w:r>
    </w:p>
    <w:p w14:paraId="25F2CE3C" w14:textId="07B41789" w:rsidR="00265DE6" w:rsidRDefault="00265DE6" w:rsidP="00265DE6">
      <w:pPr>
        <w:pStyle w:val="NoteLevel1"/>
        <w:numPr>
          <w:ilvl w:val="0"/>
          <w:numId w:val="0"/>
        </w:numPr>
        <w:rPr>
          <w:rFonts w:ascii="Times" w:hAnsi="Times"/>
        </w:rPr>
      </w:pPr>
      <w:r>
        <w:rPr>
          <w:rFonts w:ascii="Times" w:hAnsi="Times"/>
        </w:rPr>
        <w:t>- Para 74: “My respectful disagreement with the majority opinion is not only with the narrowed scope of s.15(1) protection, but with the technique by which this narrowing is accomplished, namely by moving into s…”</w:t>
      </w:r>
    </w:p>
    <w:p w14:paraId="03A39D6C" w14:textId="5C538E1C" w:rsidR="00833543" w:rsidRDefault="00833543" w:rsidP="00265DE6">
      <w:pPr>
        <w:pStyle w:val="NoteLevel1"/>
        <w:numPr>
          <w:ilvl w:val="0"/>
          <w:numId w:val="0"/>
        </w:numPr>
        <w:rPr>
          <w:rFonts w:ascii="Times" w:hAnsi="Times"/>
        </w:rPr>
      </w:pPr>
      <w:r>
        <w:rPr>
          <w:rFonts w:ascii="Times" w:hAnsi="Times"/>
        </w:rPr>
        <w:t xml:space="preserve">- Para 98: “[T]here is a danger that the “correspondence” factor will revive the “relevant” debate of 1990s in which it was contended by some members of the Court that a s.15(1) rights claimant could be defeated if it were shown that the ground of the complaint was “relevant” to achievement of a legitimate legislative objective.” </w:t>
      </w:r>
    </w:p>
    <w:p w14:paraId="4A694A44" w14:textId="483AA2FD" w:rsidR="00F04045" w:rsidRDefault="00F04045" w:rsidP="00265DE6">
      <w:pPr>
        <w:pStyle w:val="NoteLevel1"/>
        <w:numPr>
          <w:ilvl w:val="0"/>
          <w:numId w:val="0"/>
        </w:numPr>
        <w:rPr>
          <w:rFonts w:ascii="Times" w:hAnsi="Times"/>
        </w:rPr>
      </w:pPr>
      <w:r>
        <w:rPr>
          <w:rFonts w:ascii="Times" w:hAnsi="Times"/>
        </w:rPr>
        <w:t xml:space="preserve">- </w:t>
      </w:r>
      <w:r w:rsidR="000848E6">
        <w:rPr>
          <w:rFonts w:ascii="Times" w:hAnsi="Times"/>
        </w:rPr>
        <w:t>Ultimately</w:t>
      </w:r>
      <w:r w:rsidR="00054BB0">
        <w:rPr>
          <w:rFonts w:ascii="Times" w:hAnsi="Times"/>
        </w:rPr>
        <w:t>, Justice</w:t>
      </w:r>
      <w:r w:rsidR="000848E6">
        <w:rPr>
          <w:rFonts w:ascii="Times" w:hAnsi="Times"/>
        </w:rPr>
        <w:t xml:space="preserve"> Binnie takes the position that it is discriminatory but that it’s </w:t>
      </w:r>
      <w:r w:rsidR="00054BB0">
        <w:rPr>
          <w:rFonts w:ascii="Times" w:hAnsi="Times"/>
        </w:rPr>
        <w:t xml:space="preserve">justified under section 1 analysis </w:t>
      </w:r>
    </w:p>
    <w:p w14:paraId="0CF904D2" w14:textId="2933BE90" w:rsidR="00054BB0" w:rsidRDefault="00054BB0" w:rsidP="00265DE6">
      <w:pPr>
        <w:pStyle w:val="NoteLevel1"/>
        <w:numPr>
          <w:ilvl w:val="0"/>
          <w:numId w:val="0"/>
        </w:numPr>
        <w:rPr>
          <w:rFonts w:ascii="Times" w:hAnsi="Times"/>
        </w:rPr>
      </w:pPr>
      <w:r>
        <w:rPr>
          <w:rFonts w:ascii="Times" w:hAnsi="Times"/>
        </w:rPr>
        <w:t xml:space="preserve">- </w:t>
      </w:r>
      <w:r w:rsidR="00FC4D5A">
        <w:rPr>
          <w:rFonts w:ascii="Times" w:hAnsi="Times"/>
        </w:rPr>
        <w:t xml:space="preserve">Emphasis is on the correspondence factor </w:t>
      </w:r>
    </w:p>
    <w:p w14:paraId="0A8BFDE4" w14:textId="77777777" w:rsidR="00DA50C0" w:rsidRDefault="00DA50C0" w:rsidP="00265DE6">
      <w:pPr>
        <w:pStyle w:val="NoteLevel1"/>
        <w:numPr>
          <w:ilvl w:val="0"/>
          <w:numId w:val="0"/>
        </w:numPr>
        <w:rPr>
          <w:rFonts w:ascii="Times" w:hAnsi="Times"/>
        </w:rPr>
      </w:pPr>
    </w:p>
    <w:p w14:paraId="3797D790" w14:textId="5E05FBE5" w:rsidR="00DA50C0" w:rsidRPr="00CD6C0E" w:rsidRDefault="000C2FB1" w:rsidP="00265DE6">
      <w:pPr>
        <w:pStyle w:val="NoteLevel1"/>
        <w:numPr>
          <w:ilvl w:val="0"/>
          <w:numId w:val="0"/>
        </w:numPr>
        <w:rPr>
          <w:rFonts w:ascii="Times" w:hAnsi="Times"/>
          <w:u w:val="single"/>
        </w:rPr>
      </w:pPr>
      <w:r>
        <w:rPr>
          <w:rFonts w:ascii="Times" w:hAnsi="Times"/>
          <w:b/>
          <w:u w:val="single"/>
        </w:rPr>
        <w:t xml:space="preserve">Final </w:t>
      </w:r>
      <w:r w:rsidR="00DA50C0" w:rsidRPr="00CD6C0E">
        <w:rPr>
          <w:rFonts w:ascii="Times" w:hAnsi="Times"/>
          <w:b/>
          <w:u w:val="single"/>
        </w:rPr>
        <w:t xml:space="preserve">Exam: </w:t>
      </w:r>
    </w:p>
    <w:p w14:paraId="3D066164" w14:textId="7361812A" w:rsidR="00DA50C0" w:rsidRPr="00DA50C0" w:rsidRDefault="00DA50C0" w:rsidP="00265DE6">
      <w:pPr>
        <w:pStyle w:val="NoteLevel1"/>
        <w:numPr>
          <w:ilvl w:val="0"/>
          <w:numId w:val="0"/>
        </w:numPr>
        <w:rPr>
          <w:rFonts w:ascii="Times" w:hAnsi="Times"/>
        </w:rPr>
      </w:pPr>
      <w:r>
        <w:rPr>
          <w:rFonts w:ascii="Times" w:hAnsi="Times"/>
        </w:rPr>
        <w:t xml:space="preserve">- </w:t>
      </w:r>
      <w:r w:rsidR="00B0052E">
        <w:rPr>
          <w:rFonts w:ascii="Times" w:hAnsi="Times"/>
        </w:rPr>
        <w:t xml:space="preserve">Review Powerpoint </w:t>
      </w:r>
    </w:p>
    <w:p w14:paraId="53BDC9CC" w14:textId="62567C63" w:rsidR="00A41CF4" w:rsidRDefault="00A41CF4" w:rsidP="00A41CF4">
      <w:pPr>
        <w:pStyle w:val="NoteLevel1"/>
        <w:numPr>
          <w:ilvl w:val="0"/>
          <w:numId w:val="0"/>
        </w:numPr>
        <w:rPr>
          <w:rFonts w:ascii="Times" w:hAnsi="Times"/>
        </w:rPr>
      </w:pPr>
      <w:r>
        <w:rPr>
          <w:rFonts w:ascii="Times" w:hAnsi="Times"/>
        </w:rPr>
        <w:t>- 5 Questions: first question = half the exam (25 marks); 2</w:t>
      </w:r>
      <w:r w:rsidRPr="00A41CF4">
        <w:rPr>
          <w:rFonts w:ascii="Times" w:hAnsi="Times"/>
          <w:vertAlign w:val="superscript"/>
        </w:rPr>
        <w:t>nd</w:t>
      </w:r>
      <w:r>
        <w:rPr>
          <w:rFonts w:ascii="Times" w:hAnsi="Times"/>
        </w:rPr>
        <w:t>, 3</w:t>
      </w:r>
      <w:r w:rsidRPr="00A41CF4">
        <w:rPr>
          <w:rFonts w:ascii="Times" w:hAnsi="Times"/>
          <w:vertAlign w:val="superscript"/>
        </w:rPr>
        <w:t>rd</w:t>
      </w:r>
      <w:r>
        <w:rPr>
          <w:rFonts w:ascii="Times" w:hAnsi="Times"/>
        </w:rPr>
        <w:t>, and 5</w:t>
      </w:r>
      <w:r w:rsidRPr="00A41CF4">
        <w:rPr>
          <w:rFonts w:ascii="Times" w:hAnsi="Times"/>
          <w:vertAlign w:val="superscript"/>
        </w:rPr>
        <w:t>th</w:t>
      </w:r>
      <w:r>
        <w:rPr>
          <w:rFonts w:ascii="Times" w:hAnsi="Times"/>
        </w:rPr>
        <w:t xml:space="preserve"> are all 5 marks; question 4 is 10 marks</w:t>
      </w:r>
    </w:p>
    <w:p w14:paraId="5CCE9192" w14:textId="3F61946B" w:rsidR="003D14D1" w:rsidRDefault="003D14D1" w:rsidP="00A41CF4">
      <w:pPr>
        <w:pStyle w:val="NoteLevel1"/>
        <w:numPr>
          <w:ilvl w:val="0"/>
          <w:numId w:val="0"/>
        </w:numPr>
        <w:rPr>
          <w:rFonts w:ascii="Times" w:hAnsi="Times"/>
        </w:rPr>
      </w:pPr>
      <w:r>
        <w:rPr>
          <w:rFonts w:ascii="Times" w:hAnsi="Times"/>
        </w:rPr>
        <w:t>- Just answer the s</w:t>
      </w:r>
      <w:r w:rsidR="007005AB">
        <w:rPr>
          <w:rFonts w:ascii="Times" w:hAnsi="Times"/>
        </w:rPr>
        <w:t>pecific question as it is asked</w:t>
      </w:r>
      <w:r w:rsidR="007005AB" w:rsidRPr="007005AB">
        <w:rPr>
          <w:rFonts w:ascii="Times" w:hAnsi="Times"/>
        </w:rPr>
        <w:sym w:font="Wingdings" w:char="F0E0"/>
      </w:r>
      <w:r w:rsidR="007005AB">
        <w:rPr>
          <w:rFonts w:ascii="Times" w:hAnsi="Times"/>
        </w:rPr>
        <w:t xml:space="preserve"> don’t spend too much time on the 5 mark questions</w:t>
      </w:r>
    </w:p>
    <w:p w14:paraId="2974AEE4" w14:textId="0D7945CA" w:rsidR="009D6684" w:rsidRDefault="009D6684" w:rsidP="00A41CF4">
      <w:pPr>
        <w:pStyle w:val="NoteLevel1"/>
        <w:numPr>
          <w:ilvl w:val="0"/>
          <w:numId w:val="0"/>
        </w:numPr>
        <w:rPr>
          <w:rFonts w:ascii="Times" w:hAnsi="Times"/>
        </w:rPr>
      </w:pPr>
      <w:r>
        <w:rPr>
          <w:rFonts w:ascii="Times" w:hAnsi="Times"/>
        </w:rPr>
        <w:t xml:space="preserve">- </w:t>
      </w:r>
      <w:r w:rsidR="007005AB">
        <w:rPr>
          <w:rFonts w:ascii="Times" w:hAnsi="Times"/>
        </w:rPr>
        <w:t>3 hours, half of which is question one (he recommends using an hour and a half on this question)</w:t>
      </w:r>
      <w:r w:rsidR="003443A0">
        <w:rPr>
          <w:rFonts w:ascii="Times" w:hAnsi="Times"/>
        </w:rPr>
        <w:t xml:space="preserve"> </w:t>
      </w:r>
    </w:p>
    <w:p w14:paraId="66542537" w14:textId="1E0C4591" w:rsidR="007005AB" w:rsidRDefault="003443A0" w:rsidP="00A41CF4">
      <w:pPr>
        <w:pStyle w:val="NoteLevel1"/>
        <w:numPr>
          <w:ilvl w:val="0"/>
          <w:numId w:val="0"/>
        </w:numPr>
        <w:rPr>
          <w:rFonts w:ascii="Times" w:hAnsi="Times"/>
        </w:rPr>
      </w:pPr>
      <w:r>
        <w:rPr>
          <w:rFonts w:ascii="Times" w:hAnsi="Times"/>
        </w:rPr>
        <w:t xml:space="preserve">- For question 1, it will introduce you to 2 people, and each of these people will possibly have a s.15 claim (*the analogous/enumerated ground aspect will not be rocket science); </w:t>
      </w:r>
      <w:r w:rsidR="00EC7F8F">
        <w:rPr>
          <w:rFonts w:ascii="Times" w:hAnsi="Times"/>
        </w:rPr>
        <w:t xml:space="preserve">keep Withler in mind when determining the comparator group; there will be a chunk of it where you have </w:t>
      </w:r>
      <w:r w:rsidR="00810944">
        <w:rPr>
          <w:rFonts w:ascii="Times" w:hAnsi="Times"/>
        </w:rPr>
        <w:t>to think creatively; run the c</w:t>
      </w:r>
      <w:r w:rsidR="00EC1299">
        <w:rPr>
          <w:rFonts w:ascii="Times" w:hAnsi="Times"/>
        </w:rPr>
        <w:t>ontextual factors on each claim:</w:t>
      </w:r>
    </w:p>
    <w:p w14:paraId="30CC05EE" w14:textId="080CEC59" w:rsidR="00EC1299" w:rsidRDefault="00EC1299" w:rsidP="00EC1299">
      <w:pPr>
        <w:pStyle w:val="NoteLevel2"/>
        <w:rPr>
          <w:rFonts w:ascii="Times" w:hAnsi="Times"/>
        </w:rPr>
      </w:pPr>
      <w:r>
        <w:rPr>
          <w:rFonts w:ascii="Times" w:hAnsi="Times"/>
        </w:rPr>
        <w:t>Two people who have 3 claims, so you’re going to have to run the test 3 times, and you don’t have to tell him t</w:t>
      </w:r>
      <w:r w:rsidR="00424C0B">
        <w:rPr>
          <w:rFonts w:ascii="Times" w:hAnsi="Times"/>
        </w:rPr>
        <w:t xml:space="preserve">he Nancy Law &amp; para 88 three times; </w:t>
      </w:r>
      <w:r w:rsidR="00BD3242">
        <w:rPr>
          <w:rFonts w:ascii="Times" w:hAnsi="Times"/>
        </w:rPr>
        <w:t>one person gets it twice, on person gets it once</w:t>
      </w:r>
    </w:p>
    <w:p w14:paraId="2852B595" w14:textId="2BF4FEA8" w:rsidR="00BD3242" w:rsidRDefault="00BD3242" w:rsidP="00EC1299">
      <w:pPr>
        <w:pStyle w:val="NoteLevel2"/>
        <w:rPr>
          <w:rFonts w:ascii="Times" w:hAnsi="Times"/>
        </w:rPr>
      </w:pPr>
      <w:r>
        <w:rPr>
          <w:rFonts w:ascii="Times" w:hAnsi="Times"/>
        </w:rPr>
        <w:t>Take your time, read the question, under the issue &amp; differential treatment, and why!</w:t>
      </w:r>
    </w:p>
    <w:p w14:paraId="58726409" w14:textId="2E46FFF6" w:rsidR="008F78C4" w:rsidRDefault="008F78C4" w:rsidP="00EC1299">
      <w:pPr>
        <w:pStyle w:val="NoteLevel2"/>
        <w:rPr>
          <w:rFonts w:ascii="Times" w:hAnsi="Times"/>
        </w:rPr>
      </w:pPr>
      <w:r>
        <w:rPr>
          <w:rFonts w:ascii="Times" w:hAnsi="Times"/>
        </w:rPr>
        <w:t xml:space="preserve">A real case, it’s not a made up example </w:t>
      </w:r>
    </w:p>
    <w:p w14:paraId="283E0E65" w14:textId="6521AC6A" w:rsidR="00D91275" w:rsidRDefault="001E1019" w:rsidP="009008F3">
      <w:pPr>
        <w:pStyle w:val="NoteLevel1"/>
        <w:rPr>
          <w:rFonts w:ascii="Times" w:hAnsi="Times"/>
        </w:rPr>
      </w:pPr>
      <w:r>
        <w:rPr>
          <w:rFonts w:ascii="Times" w:hAnsi="Times"/>
        </w:rPr>
        <w:t>-</w:t>
      </w:r>
      <w:r w:rsidR="00D91275">
        <w:rPr>
          <w:rFonts w:ascii="Times" w:hAnsi="Times"/>
        </w:rPr>
        <w:t xml:space="preserve"> Answer question 1 in it’s own booklet</w:t>
      </w:r>
      <w:r w:rsidR="009008F3">
        <w:rPr>
          <w:rFonts w:ascii="Times" w:hAnsi="Times"/>
        </w:rPr>
        <w:t>!!</w:t>
      </w:r>
    </w:p>
    <w:p w14:paraId="57E0550B" w14:textId="1B769D98" w:rsidR="009008F3" w:rsidRDefault="001A0F50" w:rsidP="001A0F50">
      <w:pPr>
        <w:pStyle w:val="NoteLevel1"/>
        <w:rPr>
          <w:rFonts w:ascii="Times" w:hAnsi="Times"/>
        </w:rPr>
      </w:pPr>
      <w:r>
        <w:rPr>
          <w:rFonts w:ascii="Times" w:hAnsi="Times"/>
        </w:rPr>
        <w:t xml:space="preserve">- </w:t>
      </w:r>
      <w:r w:rsidR="006C36E8">
        <w:rPr>
          <w:rFonts w:ascii="Times" w:hAnsi="Times"/>
        </w:rPr>
        <w:t xml:space="preserve">Take your time writing legibly </w:t>
      </w:r>
    </w:p>
    <w:p w14:paraId="66EE78A2" w14:textId="153AB24F" w:rsidR="009A6DA7" w:rsidRDefault="009A6DA7" w:rsidP="001A0F50">
      <w:pPr>
        <w:pStyle w:val="NoteLevel1"/>
        <w:rPr>
          <w:rFonts w:ascii="Times" w:hAnsi="Times"/>
        </w:rPr>
      </w:pPr>
      <w:r>
        <w:rPr>
          <w:rFonts w:ascii="Times" w:hAnsi="Times"/>
        </w:rPr>
        <w:t xml:space="preserve">- </w:t>
      </w:r>
      <w:r w:rsidR="00026C36">
        <w:rPr>
          <w:rFonts w:ascii="Times" w:hAnsi="Times"/>
        </w:rPr>
        <w:t xml:space="preserve">No one specific answer; not only one possibly outcome </w:t>
      </w:r>
    </w:p>
    <w:p w14:paraId="57823BC3" w14:textId="77777777" w:rsidR="00B22C9E" w:rsidRDefault="00B22C9E" w:rsidP="001A0F50">
      <w:pPr>
        <w:pStyle w:val="NoteLevel1"/>
        <w:rPr>
          <w:rFonts w:ascii="Times" w:hAnsi="Times"/>
        </w:rPr>
      </w:pPr>
    </w:p>
    <w:p w14:paraId="4F0FA065" w14:textId="77777777" w:rsidR="00FE6525" w:rsidRPr="001A0F50" w:rsidRDefault="00FE6525" w:rsidP="001A0F50">
      <w:pPr>
        <w:pStyle w:val="NoteLevel1"/>
        <w:rPr>
          <w:rFonts w:ascii="Times" w:hAnsi="Times"/>
        </w:rPr>
      </w:pPr>
    </w:p>
    <w:p w14:paraId="502FABD9" w14:textId="77777777" w:rsidR="00B151D9" w:rsidRDefault="00B151D9" w:rsidP="00FE6525">
      <w:pPr>
        <w:pStyle w:val="NoteLevel1"/>
        <w:numPr>
          <w:ilvl w:val="0"/>
          <w:numId w:val="0"/>
        </w:numPr>
        <w:rPr>
          <w:rFonts w:ascii="Times" w:hAnsi="Times"/>
        </w:rPr>
        <w:sectPr w:rsidR="00B151D9" w:rsidSect="00FE6525">
          <w:headerReference w:type="first" r:id="rId18"/>
          <w:pgSz w:w="12240" w:h="15840"/>
          <w:pgMar w:top="1440" w:right="1440" w:bottom="1440" w:left="1440" w:header="708" w:footer="708" w:gutter="0"/>
          <w:cols w:space="708"/>
          <w:titlePg/>
          <w:docGrid w:type="lines" w:linePitch="360"/>
        </w:sectPr>
      </w:pPr>
    </w:p>
    <w:p w14:paraId="3FAA64EB" w14:textId="06EE59AD" w:rsidR="00B151D9" w:rsidRDefault="00B151D9" w:rsidP="00B151D9">
      <w:pPr>
        <w:pStyle w:val="NoteLevel1"/>
        <w:rPr>
          <w:rFonts w:ascii="Times" w:hAnsi="Times"/>
        </w:rPr>
        <w:sectPr w:rsidR="00B151D9" w:rsidSect="00B151D9">
          <w:headerReference w:type="first" r:id="rId19"/>
          <w:pgSz w:w="12240" w:h="15840"/>
          <w:pgMar w:top="1440" w:right="1440" w:bottom="1440" w:left="1440" w:header="708" w:footer="708" w:gutter="0"/>
          <w:cols w:space="708"/>
          <w:titlePg/>
          <w:docGrid w:type="lines" w:linePitch="360"/>
        </w:sectPr>
      </w:pPr>
      <w:r>
        <w:rPr>
          <w:rFonts w:ascii="Times" w:hAnsi="Times"/>
        </w:rPr>
        <w:cr/>
      </w:r>
    </w:p>
    <w:p w14:paraId="78A8A009" w14:textId="78108010" w:rsidR="00635654" w:rsidRDefault="00635654" w:rsidP="00B151D9">
      <w:pPr>
        <w:pStyle w:val="NoteLevel1"/>
        <w:rPr>
          <w:rFonts w:ascii="Times" w:hAnsi="Times"/>
        </w:rPr>
        <w:sectPr w:rsidR="00635654" w:rsidSect="00B151D9">
          <w:headerReference w:type="first" r:id="rId20"/>
          <w:pgSz w:w="12240" w:h="15840"/>
          <w:pgMar w:top="1440" w:right="1440" w:bottom="1440" w:left="1440" w:header="708" w:footer="708" w:gutter="0"/>
          <w:cols w:space="708"/>
          <w:titlePg/>
          <w:docGrid w:type="lines" w:linePitch="360"/>
        </w:sectPr>
      </w:pPr>
      <w:r>
        <w:rPr>
          <w:rFonts w:ascii="Times" w:hAnsi="Times"/>
        </w:rPr>
        <w:cr/>
      </w:r>
    </w:p>
    <w:p w14:paraId="1C6EA398" w14:textId="5B86C7CC" w:rsidR="008A7FFB" w:rsidRDefault="008A7FFB" w:rsidP="00635654">
      <w:pPr>
        <w:pStyle w:val="NoteLevel1"/>
        <w:rPr>
          <w:rFonts w:ascii="Times" w:hAnsi="Times"/>
        </w:rPr>
        <w:sectPr w:rsidR="008A7FFB" w:rsidSect="00635654">
          <w:headerReference w:type="first" r:id="rId21"/>
          <w:pgSz w:w="12240" w:h="15840"/>
          <w:pgMar w:top="1440" w:right="1440" w:bottom="1440" w:left="1440" w:header="708" w:footer="708" w:gutter="0"/>
          <w:cols w:space="708"/>
          <w:titlePg/>
          <w:docGrid w:type="lines" w:linePitch="360"/>
        </w:sectPr>
      </w:pPr>
      <w:r>
        <w:rPr>
          <w:rFonts w:ascii="Times" w:hAnsi="Times"/>
        </w:rPr>
        <w:cr/>
      </w:r>
    </w:p>
    <w:p w14:paraId="7D488656" w14:textId="4DB10DE3" w:rsidR="00A41CF4" w:rsidRPr="00265DE6" w:rsidRDefault="00A41CF4" w:rsidP="008A7FFB">
      <w:pPr>
        <w:pStyle w:val="NoteLevel1"/>
        <w:rPr>
          <w:rFonts w:ascii="Times" w:hAnsi="Times"/>
        </w:rPr>
      </w:pPr>
    </w:p>
    <w:sectPr w:rsidR="00A41CF4" w:rsidRPr="00265DE6" w:rsidSect="008A7FFB">
      <w:headerReference w:type="first" r:id="rId2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A061A9" w14:textId="77777777" w:rsidR="0023610F" w:rsidRDefault="0023610F" w:rsidP="004E3C3A">
      <w:r>
        <w:separator/>
      </w:r>
    </w:p>
  </w:endnote>
  <w:endnote w:type="continuationSeparator" w:id="0">
    <w:p w14:paraId="02E6AB99" w14:textId="77777777" w:rsidR="0023610F" w:rsidRDefault="0023610F" w:rsidP="004E3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85CF08" w14:textId="77777777" w:rsidR="0023610F" w:rsidRDefault="0023610F">
      <w:pPr>
        <w:pStyle w:val="Header"/>
      </w:pPr>
    </w:p>
    <w:p w14:paraId="5AF0E4C9" w14:textId="77777777" w:rsidR="0023610F" w:rsidRDefault="0023610F"/>
    <w:p w14:paraId="0BFF446E" w14:textId="77777777" w:rsidR="0023610F" w:rsidRDefault="0023610F">
      <w:pPr>
        <w:pStyle w:val="Header"/>
      </w:pPr>
    </w:p>
    <w:p w14:paraId="7C7E152C" w14:textId="77777777" w:rsidR="0023610F" w:rsidRDefault="0023610F"/>
    <w:p w14:paraId="1D9BC916" w14:textId="77777777" w:rsidR="0023610F" w:rsidRDefault="0023610F">
      <w:pPr>
        <w:pStyle w:val="Header"/>
      </w:pPr>
    </w:p>
    <w:p w14:paraId="5135F243" w14:textId="77777777" w:rsidR="0023610F" w:rsidRDefault="0023610F"/>
    <w:p w14:paraId="7F0A8A05" w14:textId="77777777" w:rsidR="0023610F" w:rsidRDefault="0023610F">
      <w:pPr>
        <w:pStyle w:val="Header"/>
      </w:pPr>
    </w:p>
    <w:p w14:paraId="7A2F2E27" w14:textId="77777777" w:rsidR="0023610F" w:rsidRDefault="0023610F"/>
    <w:p w14:paraId="0E309E22" w14:textId="77777777" w:rsidR="0023610F" w:rsidRDefault="0023610F">
      <w:pPr>
        <w:pStyle w:val="Header"/>
      </w:pPr>
    </w:p>
    <w:p w14:paraId="528D34D5" w14:textId="77777777" w:rsidR="0023610F" w:rsidRDefault="0023610F"/>
    <w:p w14:paraId="643EA6AD" w14:textId="77777777" w:rsidR="0023610F" w:rsidRDefault="0023610F">
      <w:pPr>
        <w:pStyle w:val="Header"/>
      </w:pPr>
    </w:p>
    <w:p w14:paraId="5AB81D08" w14:textId="77777777" w:rsidR="0023610F" w:rsidRDefault="0023610F"/>
    <w:p w14:paraId="48E8DAE4" w14:textId="77777777" w:rsidR="0023610F" w:rsidRDefault="0023610F" w:rsidP="004E3C3A">
      <w:r>
        <w:separator/>
      </w:r>
    </w:p>
  </w:footnote>
  <w:footnote w:type="continuationSeparator" w:id="0">
    <w:p w14:paraId="41A3E64C" w14:textId="77777777" w:rsidR="0023610F" w:rsidRDefault="0023610F" w:rsidP="004E3C3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75E5D0" w14:textId="1AA1A278" w:rsidR="0023610F" w:rsidRPr="004E3C3A" w:rsidRDefault="0023610F" w:rsidP="004E3C3A">
    <w:pPr>
      <w:pStyle w:val="Header"/>
      <w:tabs>
        <w:tab w:val="clear" w:pos="4320"/>
        <w:tab w:val="clear" w:pos="8640"/>
        <w:tab w:val="right" w:pos="9720"/>
      </w:tabs>
      <w:ind w:left="-360"/>
      <w:rPr>
        <w:rFonts w:ascii="Times" w:hAnsi="Times"/>
      </w:rPr>
    </w:pPr>
    <w:bookmarkStart w:id="0" w:name="_WNSectionTitle"/>
    <w:bookmarkStart w:id="1" w:name="_WNTabType_0"/>
    <w:r w:rsidRPr="00673DDC">
      <w:rPr>
        <w:rFonts w:ascii="Times" w:hAnsi="Times"/>
        <w:b/>
        <w:sz w:val="40"/>
        <w:szCs w:val="40"/>
      </w:rPr>
      <w:t>Laws 3509 Charter of Rights Topics: Lecture Notes</w:t>
    </w:r>
    <w:r>
      <w:rPr>
        <w:rFonts w:ascii="Times" w:hAnsi="Times"/>
        <w:sz w:val="40"/>
        <w:szCs w:val="40"/>
      </w:rPr>
      <w:br/>
    </w:r>
    <w:r w:rsidRPr="00D243AA">
      <w:rPr>
        <w:rFonts w:ascii="Times" w:hAnsi="Times"/>
        <w:sz w:val="36"/>
        <w:szCs w:val="36"/>
      </w:rPr>
      <w:t>Introductory Lecture</w:t>
    </w:r>
    <w:r>
      <w:rPr>
        <w:rFonts w:ascii="Times" w:hAnsi="Times"/>
        <w:sz w:val="40"/>
        <w:szCs w:val="40"/>
      </w:rPr>
      <w:t xml:space="preserve"> </w:t>
    </w:r>
    <w:r>
      <w:rPr>
        <w:rFonts w:ascii="Times" w:hAnsi="Times"/>
        <w:sz w:val="36"/>
        <w:szCs w:val="36"/>
      </w:rPr>
      <w:t xml:space="preserve"> </w:t>
    </w:r>
    <w:r>
      <w:rPr>
        <w:rFonts w:ascii="Verdana" w:hAnsi="Verdana"/>
        <w:sz w:val="36"/>
        <w:szCs w:val="36"/>
      </w:rPr>
      <w:tab/>
    </w:r>
    <w:r>
      <w:rPr>
        <w:rFonts w:ascii="Verdana" w:hAnsi="Verdana"/>
        <w:sz w:val="36"/>
        <w:szCs w:val="36"/>
      </w:rPr>
      <w:fldChar w:fldCharType="begin"/>
    </w:r>
    <w:r w:rsidRPr="004E3C3A">
      <w:rPr>
        <w:rFonts w:ascii="Times" w:hAnsi="Times"/>
      </w:rPr>
      <w:instrText xml:space="preserve"> CREATEDATE </w:instrText>
    </w:r>
    <w:r>
      <w:rPr>
        <w:rFonts w:ascii="Verdana" w:hAnsi="Verdana"/>
        <w:sz w:val="36"/>
        <w:szCs w:val="36"/>
      </w:rPr>
      <w:fldChar w:fldCharType="separate"/>
    </w:r>
    <w:r>
      <w:rPr>
        <w:rFonts w:ascii="Times" w:hAnsi="Times"/>
        <w:noProof/>
      </w:rPr>
      <w:t>13-09-10 10:00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EF0BC0" w14:textId="20A9C234" w:rsidR="0023610F" w:rsidRDefault="0023610F">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Times" w:hAnsi="Times"/>
        <w:sz w:val="36"/>
        <w:szCs w:val="36"/>
      </w:rPr>
      <w:t xml:space="preserve">Lecture Two: Application of the </w:t>
    </w:r>
    <w:r w:rsidRPr="00673DDC">
      <w:rPr>
        <w:rFonts w:ascii="Times" w:hAnsi="Times"/>
        <w:i/>
        <w:sz w:val="36"/>
        <w:szCs w:val="36"/>
      </w:rPr>
      <w:t>Charter</w:t>
    </w:r>
    <w:r>
      <w:rPr>
        <w:rFonts w:ascii="Times" w:hAnsi="Times"/>
        <w:sz w:val="36"/>
        <w:szCs w:val="36"/>
      </w:rPr>
      <w:t xml:space="preserve"> and the Notwithstanding Clause </w:t>
    </w:r>
    <w:r>
      <w:rPr>
        <w:rFonts w:ascii="Verdana" w:hAnsi="Verdana"/>
        <w:sz w:val="36"/>
        <w:szCs w:val="36"/>
      </w:rPr>
      <w:tab/>
    </w:r>
    <w:r w:rsidRPr="00756DF1">
      <w:rPr>
        <w:rFonts w:ascii="Times" w:hAnsi="Times"/>
        <w:sz w:val="22"/>
        <w:szCs w:val="22"/>
      </w:rPr>
      <w:fldChar w:fldCharType="begin"/>
    </w:r>
    <w:r w:rsidRPr="00756DF1">
      <w:rPr>
        <w:rFonts w:ascii="Times" w:hAnsi="Times"/>
        <w:sz w:val="22"/>
        <w:szCs w:val="22"/>
      </w:rPr>
      <w:instrText xml:space="preserve"> SAVEDATE </w:instrText>
    </w:r>
    <w:r w:rsidRPr="00756DF1">
      <w:rPr>
        <w:rFonts w:ascii="Times" w:hAnsi="Times"/>
        <w:sz w:val="22"/>
        <w:szCs w:val="22"/>
      </w:rPr>
      <w:fldChar w:fldCharType="separate"/>
    </w:r>
    <w:r w:rsidR="009D107A">
      <w:rPr>
        <w:rFonts w:ascii="Times" w:hAnsi="Times"/>
        <w:noProof/>
        <w:sz w:val="22"/>
        <w:szCs w:val="22"/>
      </w:rPr>
      <w:t>14-04-09 1:10 PM</w:t>
    </w:r>
    <w:r w:rsidRPr="00756DF1">
      <w:rPr>
        <w:rFonts w:ascii="Times" w:hAnsi="Times"/>
        <w:sz w:val="22"/>
        <w:szCs w:val="22"/>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E2241D" w14:textId="5BFF4396" w:rsidR="0023610F" w:rsidRDefault="0023610F">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Times" w:hAnsi="Times"/>
        <w:sz w:val="36"/>
        <w:szCs w:val="36"/>
      </w:rPr>
      <w:t xml:space="preserve">Lecture Three: Limitation Clause (Justification) and Constitutional Remedies </w:t>
    </w:r>
    <w:r>
      <w:rPr>
        <w:rFonts w:ascii="Verdana" w:hAnsi="Verdana"/>
        <w:sz w:val="36"/>
        <w:szCs w:val="36"/>
      </w:rPr>
      <w:tab/>
    </w:r>
    <w:r w:rsidRPr="006A6373">
      <w:rPr>
        <w:rFonts w:ascii="Times" w:hAnsi="Times"/>
      </w:rPr>
      <w:fldChar w:fldCharType="begin"/>
    </w:r>
    <w:r w:rsidRPr="006A6373">
      <w:rPr>
        <w:rFonts w:ascii="Times" w:hAnsi="Times"/>
      </w:rPr>
      <w:instrText xml:space="preserve"> SAVEDATE </w:instrText>
    </w:r>
    <w:r w:rsidRPr="006A6373">
      <w:rPr>
        <w:rFonts w:ascii="Times" w:hAnsi="Times"/>
      </w:rPr>
      <w:fldChar w:fldCharType="separate"/>
    </w:r>
    <w:r w:rsidR="009D107A">
      <w:rPr>
        <w:rFonts w:ascii="Times" w:hAnsi="Times"/>
        <w:noProof/>
      </w:rPr>
      <w:t>14-04-09 1:10 PM</w:t>
    </w:r>
    <w:r w:rsidRPr="006A6373">
      <w:rPr>
        <w:rFonts w:ascii="Times" w:hAnsi="Times"/>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9AD50B" w14:textId="77777777" w:rsidR="0023610F" w:rsidRDefault="0023610F">
    <w:pPr>
      <w:pStyle w:val="Header"/>
      <w:tabs>
        <w:tab w:val="clear" w:pos="4320"/>
        <w:tab w:val="clear" w:pos="8640"/>
        <w:tab w:val="right" w:pos="9720"/>
      </w:tabs>
      <w:ind w:left="-360"/>
      <w:rPr>
        <w:rFonts w:ascii="Times" w:hAnsi="Times"/>
        <w:sz w:val="36"/>
        <w:szCs w:val="36"/>
      </w:rPr>
    </w:pPr>
    <w:bookmarkStart w:id="6" w:name="_WNSectionTitle_4"/>
    <w:bookmarkStart w:id="7" w:name="_WNTabType_3"/>
    <w:r>
      <w:rPr>
        <w:rFonts w:ascii="Times" w:hAnsi="Times"/>
        <w:sz w:val="36"/>
        <w:szCs w:val="36"/>
      </w:rPr>
      <w:t>Lecture Four: The Purposive and Contextual Approach to Equality</w:t>
    </w:r>
  </w:p>
  <w:p w14:paraId="492D99BC" w14:textId="64EBD1FF" w:rsidR="0023610F" w:rsidRPr="00C15D64" w:rsidRDefault="0023610F">
    <w:pPr>
      <w:pStyle w:val="Header"/>
      <w:tabs>
        <w:tab w:val="clear" w:pos="4320"/>
        <w:tab w:val="clear" w:pos="8640"/>
        <w:tab w:val="right" w:pos="9720"/>
      </w:tabs>
      <w:ind w:left="-360"/>
      <w:rPr>
        <w:rFonts w:ascii="Times" w:hAnsi="Times"/>
        <w:sz w:val="22"/>
        <w:szCs w:val="22"/>
      </w:rPr>
    </w:pPr>
    <w:r>
      <w:rPr>
        <w:rFonts w:ascii="Verdana" w:hAnsi="Verdana"/>
        <w:sz w:val="36"/>
        <w:szCs w:val="36"/>
      </w:rPr>
      <w:tab/>
    </w:r>
    <w:r w:rsidRPr="00C15D64">
      <w:rPr>
        <w:rFonts w:ascii="Times" w:hAnsi="Times"/>
        <w:sz w:val="22"/>
        <w:szCs w:val="22"/>
      </w:rPr>
      <w:fldChar w:fldCharType="begin"/>
    </w:r>
    <w:r w:rsidRPr="00C15D64">
      <w:rPr>
        <w:rFonts w:ascii="Times" w:hAnsi="Times"/>
        <w:sz w:val="22"/>
        <w:szCs w:val="22"/>
      </w:rPr>
      <w:instrText xml:space="preserve"> SAVEDATE </w:instrText>
    </w:r>
    <w:r w:rsidRPr="00C15D64">
      <w:rPr>
        <w:rFonts w:ascii="Times" w:hAnsi="Times"/>
        <w:sz w:val="22"/>
        <w:szCs w:val="22"/>
      </w:rPr>
      <w:fldChar w:fldCharType="separate"/>
    </w:r>
    <w:r w:rsidR="009D107A">
      <w:rPr>
        <w:rFonts w:ascii="Times" w:hAnsi="Times"/>
        <w:noProof/>
        <w:sz w:val="22"/>
        <w:szCs w:val="22"/>
      </w:rPr>
      <w:t>14-04-09 1:10 PM</w:t>
    </w:r>
    <w:r w:rsidRPr="00C15D64">
      <w:rPr>
        <w:rFonts w:ascii="Times" w:hAnsi="Times"/>
        <w:sz w:val="22"/>
        <w:szCs w:val="22"/>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3157FD" w14:textId="782A5ABF" w:rsidR="0023610F" w:rsidRPr="00D922B0" w:rsidRDefault="0023610F">
    <w:pPr>
      <w:pStyle w:val="Header"/>
      <w:tabs>
        <w:tab w:val="clear" w:pos="4320"/>
        <w:tab w:val="clear" w:pos="8640"/>
        <w:tab w:val="right" w:pos="9720"/>
      </w:tabs>
      <w:ind w:left="-360"/>
      <w:rPr>
        <w:rFonts w:ascii="Times" w:hAnsi="Times"/>
        <w:sz w:val="36"/>
        <w:szCs w:val="36"/>
      </w:rPr>
    </w:pPr>
    <w:bookmarkStart w:id="8" w:name="_WNSectionTitle_5"/>
    <w:bookmarkStart w:id="9" w:name="_WNTabType_4"/>
    <w:r>
      <w:rPr>
        <w:rFonts w:ascii="Times" w:hAnsi="Times"/>
        <w:sz w:val="36"/>
        <w:szCs w:val="36"/>
      </w:rPr>
      <w:t xml:space="preserve">Lecture Five: The Purposive and Contextual Approach to Equality Re-Defined </w:t>
    </w:r>
    <w:r>
      <w:rPr>
        <w:rFonts w:ascii="Times" w:hAnsi="Times"/>
        <w:sz w:val="36"/>
        <w:szCs w:val="36"/>
      </w:rPr>
      <w:tab/>
    </w:r>
    <w:r>
      <w:rPr>
        <w:rFonts w:ascii="Times" w:hAnsi="Times"/>
        <w:sz w:val="36"/>
        <w:szCs w:val="36"/>
      </w:rPr>
      <w:fldChar w:fldCharType="begin"/>
    </w:r>
    <w:r w:rsidRPr="00D922B0">
      <w:rPr>
        <w:rFonts w:ascii="Times" w:hAnsi="Times"/>
      </w:rPr>
      <w:instrText xml:space="preserve"> SAVEDATE </w:instrText>
    </w:r>
    <w:r>
      <w:rPr>
        <w:rFonts w:ascii="Times" w:hAnsi="Times"/>
        <w:sz w:val="36"/>
        <w:szCs w:val="36"/>
      </w:rPr>
      <w:fldChar w:fldCharType="separate"/>
    </w:r>
    <w:r w:rsidR="009D107A">
      <w:rPr>
        <w:rFonts w:ascii="Times" w:hAnsi="Times"/>
        <w:noProof/>
      </w:rPr>
      <w:t>14-04-09 1:10 PM</w:t>
    </w:r>
    <w:r>
      <w:rPr>
        <w:rFonts w:ascii="Times" w:hAnsi="Times"/>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A430F5" w14:textId="597AA6C1" w:rsidR="0023610F" w:rsidRPr="000F1ACD" w:rsidRDefault="0023610F">
    <w:pPr>
      <w:pStyle w:val="Header"/>
      <w:tabs>
        <w:tab w:val="clear" w:pos="4320"/>
        <w:tab w:val="clear" w:pos="8640"/>
        <w:tab w:val="right" w:pos="9720"/>
      </w:tabs>
      <w:ind w:left="-360"/>
      <w:rPr>
        <w:rFonts w:ascii="Times" w:hAnsi="Times"/>
        <w:sz w:val="22"/>
        <w:szCs w:val="22"/>
      </w:rPr>
    </w:pPr>
    <w:bookmarkStart w:id="10" w:name="_WNSectionTitle_6"/>
    <w:bookmarkStart w:id="11" w:name="_WNTabType_5"/>
    <w:r>
      <w:rPr>
        <w:rFonts w:ascii="Times" w:hAnsi="Times"/>
        <w:sz w:val="36"/>
        <w:szCs w:val="36"/>
      </w:rPr>
      <w:t>Lecture Six: Comparator Groups (1)</w:t>
    </w:r>
    <w:r>
      <w:rPr>
        <w:rFonts w:ascii="Verdana" w:hAnsi="Verdana"/>
        <w:sz w:val="36"/>
        <w:szCs w:val="36"/>
      </w:rPr>
      <w:tab/>
    </w:r>
    <w:r w:rsidRPr="000F1ACD">
      <w:rPr>
        <w:rFonts w:ascii="Times" w:hAnsi="Times"/>
        <w:sz w:val="22"/>
        <w:szCs w:val="22"/>
      </w:rPr>
      <w:fldChar w:fldCharType="begin"/>
    </w:r>
    <w:r w:rsidRPr="000F1ACD">
      <w:rPr>
        <w:rFonts w:ascii="Times" w:hAnsi="Times"/>
        <w:sz w:val="22"/>
        <w:szCs w:val="22"/>
      </w:rPr>
      <w:instrText xml:space="preserve"> SAVEDATE </w:instrText>
    </w:r>
    <w:r w:rsidRPr="000F1ACD">
      <w:rPr>
        <w:rFonts w:ascii="Times" w:hAnsi="Times"/>
        <w:sz w:val="22"/>
        <w:szCs w:val="22"/>
      </w:rPr>
      <w:fldChar w:fldCharType="separate"/>
    </w:r>
    <w:r w:rsidR="009D107A">
      <w:rPr>
        <w:rFonts w:ascii="Times" w:hAnsi="Times"/>
        <w:noProof/>
        <w:sz w:val="22"/>
        <w:szCs w:val="22"/>
      </w:rPr>
      <w:t>14-04-09 1:10 PM</w:t>
    </w:r>
    <w:r w:rsidRPr="000F1ACD">
      <w:rPr>
        <w:rFonts w:ascii="Times" w:hAnsi="Times"/>
        <w:sz w:val="22"/>
        <w:szCs w:val="22"/>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7BEDBF" w14:textId="565C1375" w:rsidR="0023610F" w:rsidRPr="00B679BB" w:rsidRDefault="0023610F">
    <w:pPr>
      <w:pStyle w:val="Header"/>
      <w:tabs>
        <w:tab w:val="clear" w:pos="4320"/>
        <w:tab w:val="clear" w:pos="8640"/>
        <w:tab w:val="right" w:pos="9720"/>
      </w:tabs>
      <w:ind w:left="-360"/>
      <w:rPr>
        <w:rFonts w:ascii="Times" w:hAnsi="Times"/>
        <w:sz w:val="36"/>
        <w:szCs w:val="36"/>
      </w:rPr>
    </w:pPr>
    <w:bookmarkStart w:id="12" w:name="_WNSectionTitle_7"/>
    <w:bookmarkStart w:id="13" w:name="_WNTabType_6"/>
    <w:r>
      <w:rPr>
        <w:rFonts w:ascii="Times" w:hAnsi="Times"/>
        <w:sz w:val="36"/>
        <w:szCs w:val="36"/>
      </w:rPr>
      <w:t xml:space="preserve">Lecture Seven: Comparator Groups (2) </w:t>
    </w:r>
    <w:r>
      <w:rPr>
        <w:rFonts w:ascii="Verdana" w:hAnsi="Verdana"/>
        <w:sz w:val="36"/>
        <w:szCs w:val="36"/>
      </w:rPr>
      <w:tab/>
    </w:r>
    <w:r>
      <w:rPr>
        <w:rFonts w:ascii="Verdana" w:hAnsi="Verdana"/>
        <w:sz w:val="36"/>
        <w:szCs w:val="36"/>
      </w:rPr>
      <w:fldChar w:fldCharType="begin"/>
    </w:r>
    <w:r w:rsidRPr="00B679BB">
      <w:rPr>
        <w:rFonts w:ascii="Times" w:hAnsi="Times"/>
      </w:rPr>
      <w:instrText xml:space="preserve"> SAVEDATE </w:instrText>
    </w:r>
    <w:r>
      <w:rPr>
        <w:rFonts w:ascii="Verdana" w:hAnsi="Verdana"/>
        <w:sz w:val="36"/>
        <w:szCs w:val="36"/>
      </w:rPr>
      <w:fldChar w:fldCharType="separate"/>
    </w:r>
    <w:r w:rsidR="009D107A">
      <w:rPr>
        <w:rFonts w:ascii="Times" w:hAnsi="Times"/>
        <w:noProof/>
      </w:rPr>
      <w:t>14-04-09 1:10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12934F" w14:textId="6C0D31A2" w:rsidR="0023610F" w:rsidRPr="006C3EDF" w:rsidRDefault="0023610F">
    <w:pPr>
      <w:pStyle w:val="Header"/>
      <w:tabs>
        <w:tab w:val="clear" w:pos="4320"/>
        <w:tab w:val="clear" w:pos="8640"/>
        <w:tab w:val="right" w:pos="9720"/>
      </w:tabs>
      <w:ind w:left="-360"/>
      <w:rPr>
        <w:rFonts w:ascii="Times" w:hAnsi="Times"/>
        <w:sz w:val="22"/>
        <w:szCs w:val="22"/>
      </w:rPr>
    </w:pPr>
    <w:bookmarkStart w:id="15" w:name="_WNSectionTitle_8"/>
    <w:bookmarkStart w:id="16" w:name="_WNTabType_7"/>
    <w:r w:rsidRPr="009B383D">
      <w:rPr>
        <w:rFonts w:ascii="Times" w:hAnsi="Times"/>
        <w:sz w:val="36"/>
        <w:szCs w:val="36"/>
      </w:rPr>
      <w:t>Lecture</w:t>
    </w:r>
    <w:r>
      <w:rPr>
        <w:rFonts w:ascii="Times" w:hAnsi="Times"/>
        <w:sz w:val="36"/>
        <w:szCs w:val="36"/>
      </w:rPr>
      <w:t xml:space="preserve"> Eight</w:t>
    </w:r>
    <w:r w:rsidRPr="009B383D">
      <w:rPr>
        <w:rFonts w:ascii="Times" w:hAnsi="Times"/>
        <w:sz w:val="36"/>
        <w:szCs w:val="36"/>
      </w:rPr>
      <w:t>: Analogous Grounds (1)</w:t>
    </w:r>
    <w:r>
      <w:rPr>
        <w:rFonts w:ascii="Verdana" w:hAnsi="Verdana"/>
        <w:sz w:val="36"/>
        <w:szCs w:val="36"/>
      </w:rPr>
      <w:tab/>
    </w:r>
    <w:r w:rsidRPr="006C3EDF">
      <w:rPr>
        <w:rFonts w:ascii="Times" w:hAnsi="Times"/>
        <w:sz w:val="22"/>
        <w:szCs w:val="22"/>
      </w:rPr>
      <w:fldChar w:fldCharType="begin"/>
    </w:r>
    <w:r w:rsidRPr="006C3EDF">
      <w:rPr>
        <w:rFonts w:ascii="Times" w:hAnsi="Times"/>
        <w:sz w:val="22"/>
        <w:szCs w:val="22"/>
      </w:rPr>
      <w:instrText xml:space="preserve"> CREATEDATE </w:instrText>
    </w:r>
    <w:r w:rsidRPr="006C3EDF">
      <w:rPr>
        <w:rFonts w:ascii="Times" w:hAnsi="Times"/>
        <w:sz w:val="22"/>
        <w:szCs w:val="22"/>
      </w:rPr>
      <w:fldChar w:fldCharType="separate"/>
    </w:r>
    <w:r w:rsidRPr="006C3EDF">
      <w:rPr>
        <w:rFonts w:ascii="Times" w:hAnsi="Times"/>
        <w:noProof/>
        <w:sz w:val="22"/>
        <w:szCs w:val="22"/>
      </w:rPr>
      <w:t>13-09-10 10:00 AM</w:t>
    </w:r>
    <w:r w:rsidRPr="006C3EDF">
      <w:rPr>
        <w:rFonts w:ascii="Times" w:hAnsi="Times"/>
        <w:sz w:val="22"/>
        <w:szCs w:val="22"/>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A8137E" w14:textId="14FC8E36" w:rsidR="0023610F" w:rsidRPr="00033F36" w:rsidRDefault="0023610F">
    <w:pPr>
      <w:pStyle w:val="Header"/>
      <w:tabs>
        <w:tab w:val="clear" w:pos="4320"/>
        <w:tab w:val="clear" w:pos="8640"/>
        <w:tab w:val="right" w:pos="9720"/>
      </w:tabs>
      <w:ind w:left="-360"/>
      <w:rPr>
        <w:rFonts w:ascii="Times" w:hAnsi="Times"/>
        <w:sz w:val="22"/>
        <w:szCs w:val="22"/>
      </w:rPr>
    </w:pPr>
    <w:bookmarkStart w:id="17" w:name="_WNSectionTitle_9"/>
    <w:bookmarkStart w:id="18" w:name="_WNTabType_8"/>
    <w:r w:rsidRPr="00033F36">
      <w:rPr>
        <w:rFonts w:ascii="Times" w:hAnsi="Times"/>
        <w:sz w:val="36"/>
        <w:szCs w:val="36"/>
      </w:rPr>
      <w:t>Lecture Nine: Analogous Grounds (2)</w:t>
    </w:r>
    <w:r>
      <w:rPr>
        <w:rFonts w:ascii="Verdana" w:hAnsi="Verdana"/>
        <w:sz w:val="36"/>
        <w:szCs w:val="36"/>
      </w:rPr>
      <w:tab/>
    </w:r>
    <w:r>
      <w:rPr>
        <w:rFonts w:ascii="Verdana" w:hAnsi="Verdana"/>
        <w:sz w:val="36"/>
        <w:szCs w:val="36"/>
      </w:rPr>
      <w:fldChar w:fldCharType="begin"/>
    </w:r>
    <w:r w:rsidRPr="00033F36">
      <w:rPr>
        <w:rFonts w:ascii="Times" w:hAnsi="Times"/>
      </w:rPr>
      <w:instrText xml:space="preserve"> SAVEDATE </w:instrText>
    </w:r>
    <w:r>
      <w:rPr>
        <w:rFonts w:ascii="Verdana" w:hAnsi="Verdana"/>
        <w:sz w:val="36"/>
        <w:szCs w:val="36"/>
      </w:rPr>
      <w:fldChar w:fldCharType="separate"/>
    </w:r>
    <w:r w:rsidR="009D107A">
      <w:rPr>
        <w:rFonts w:ascii="Times" w:hAnsi="Times"/>
        <w:noProof/>
      </w:rPr>
      <w:t>14-04-09 1:10 PM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280DF9" w14:textId="62F7ABB6" w:rsidR="0023610F" w:rsidRPr="002935FF" w:rsidRDefault="0023610F">
    <w:pPr>
      <w:pStyle w:val="Header"/>
      <w:tabs>
        <w:tab w:val="clear" w:pos="4320"/>
        <w:tab w:val="clear" w:pos="8640"/>
        <w:tab w:val="right" w:pos="9720"/>
      </w:tabs>
      <w:ind w:left="-360"/>
      <w:rPr>
        <w:rFonts w:ascii="Times" w:hAnsi="Times"/>
        <w:sz w:val="22"/>
        <w:szCs w:val="22"/>
      </w:rPr>
    </w:pPr>
    <w:bookmarkStart w:id="19" w:name="_WNTabType_9"/>
    <w:bookmarkStart w:id="20" w:name="_WNSectionTitle_10"/>
    <w:r w:rsidRPr="002935FF">
      <w:rPr>
        <w:rFonts w:ascii="Times" w:hAnsi="Times"/>
        <w:sz w:val="36"/>
        <w:szCs w:val="36"/>
      </w:rPr>
      <w:t>Lecture Ten:</w:t>
    </w:r>
    <w:r>
      <w:rPr>
        <w:rFonts w:ascii="Verdana" w:hAnsi="Verdana"/>
        <w:sz w:val="36"/>
        <w:szCs w:val="36"/>
      </w:rPr>
      <w:t xml:space="preserve"> </w:t>
    </w:r>
    <w:r>
      <w:rPr>
        <w:rFonts w:ascii="Times" w:hAnsi="Times"/>
        <w:sz w:val="36"/>
        <w:szCs w:val="36"/>
      </w:rPr>
      <w:t xml:space="preserve">Contextual Factors (1) </w:t>
    </w:r>
    <w:r>
      <w:rPr>
        <w:rFonts w:ascii="Verdana" w:hAnsi="Verdana"/>
        <w:sz w:val="36"/>
        <w:szCs w:val="36"/>
      </w:rPr>
      <w:tab/>
    </w:r>
    <w:r w:rsidRPr="002935FF">
      <w:rPr>
        <w:rFonts w:ascii="Times" w:hAnsi="Times"/>
        <w:sz w:val="22"/>
        <w:szCs w:val="22"/>
      </w:rPr>
      <w:fldChar w:fldCharType="begin"/>
    </w:r>
    <w:r w:rsidRPr="002935FF">
      <w:rPr>
        <w:rFonts w:ascii="Times" w:hAnsi="Times"/>
        <w:sz w:val="22"/>
        <w:szCs w:val="22"/>
      </w:rPr>
      <w:instrText xml:space="preserve"> CREATEDATE </w:instrText>
    </w:r>
    <w:r w:rsidRPr="002935FF">
      <w:rPr>
        <w:rFonts w:ascii="Times" w:hAnsi="Times"/>
        <w:sz w:val="22"/>
        <w:szCs w:val="22"/>
      </w:rPr>
      <w:fldChar w:fldCharType="separate"/>
    </w:r>
    <w:r w:rsidRPr="002935FF">
      <w:rPr>
        <w:rFonts w:ascii="Times" w:hAnsi="Times"/>
        <w:noProof/>
        <w:sz w:val="22"/>
        <w:szCs w:val="22"/>
      </w:rPr>
      <w:t>13-09-10 10:00 AM</w:t>
    </w:r>
    <w:r w:rsidRPr="002935FF">
      <w:rPr>
        <w:rFonts w:ascii="Times" w:hAnsi="Times"/>
        <w:sz w:val="22"/>
        <w:szCs w:val="22"/>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681C82" w14:textId="75698328" w:rsidR="0023610F" w:rsidRPr="00A45143" w:rsidRDefault="0023610F">
    <w:pPr>
      <w:pStyle w:val="Header"/>
      <w:tabs>
        <w:tab w:val="clear" w:pos="4320"/>
        <w:tab w:val="clear" w:pos="8640"/>
        <w:tab w:val="right" w:pos="9720"/>
      </w:tabs>
      <w:ind w:left="-360"/>
      <w:rPr>
        <w:rFonts w:ascii="Times" w:hAnsi="Times"/>
        <w:sz w:val="22"/>
        <w:szCs w:val="22"/>
      </w:rPr>
    </w:pPr>
    <w:bookmarkStart w:id="21" w:name="_WNSectionTitle_11"/>
    <w:bookmarkStart w:id="22" w:name="_WNTabType_10"/>
    <w:r>
      <w:rPr>
        <w:rFonts w:ascii="Times" w:hAnsi="Times"/>
        <w:sz w:val="36"/>
        <w:szCs w:val="36"/>
      </w:rPr>
      <w:t>Lecture Eleven: Contextual Factors (2) &amp; Exam Review</w:t>
    </w:r>
    <w:r>
      <w:rPr>
        <w:rFonts w:ascii="Verdana" w:hAnsi="Verdana"/>
        <w:sz w:val="36"/>
        <w:szCs w:val="36"/>
      </w:rPr>
      <w:tab/>
    </w:r>
    <w:r w:rsidRPr="00A45143">
      <w:rPr>
        <w:rFonts w:ascii="Times" w:hAnsi="Times"/>
        <w:sz w:val="22"/>
        <w:szCs w:val="22"/>
      </w:rPr>
      <w:fldChar w:fldCharType="begin"/>
    </w:r>
    <w:r w:rsidRPr="00A45143">
      <w:rPr>
        <w:rFonts w:ascii="Times" w:hAnsi="Times"/>
        <w:sz w:val="22"/>
        <w:szCs w:val="22"/>
      </w:rPr>
      <w:instrText xml:space="preserve"> SAVEDATE </w:instrText>
    </w:r>
    <w:r w:rsidRPr="00A45143">
      <w:rPr>
        <w:rFonts w:ascii="Times" w:hAnsi="Times"/>
        <w:sz w:val="22"/>
        <w:szCs w:val="22"/>
      </w:rPr>
      <w:fldChar w:fldCharType="separate"/>
    </w:r>
    <w:r w:rsidR="009D107A">
      <w:rPr>
        <w:rFonts w:ascii="Times" w:hAnsi="Times"/>
        <w:noProof/>
        <w:sz w:val="22"/>
        <w:szCs w:val="22"/>
      </w:rPr>
      <w:t>14-04-09 1:10 PM</w:t>
    </w:r>
    <w:r w:rsidRPr="00A45143">
      <w:rPr>
        <w:rFonts w:ascii="Times" w:hAnsi="Times"/>
        <w:sz w:val="22"/>
        <w:szCs w:val="22"/>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AC87E1" w14:textId="3FBECEA9" w:rsidR="0023610F" w:rsidRDefault="0023610F">
    <w:pPr>
      <w:pStyle w:val="Header"/>
      <w:tabs>
        <w:tab w:val="clear" w:pos="4320"/>
        <w:tab w:val="clear" w:pos="8640"/>
        <w:tab w:val="right" w:pos="9720"/>
      </w:tabs>
      <w:ind w:left="-360"/>
      <w:rPr>
        <w:rFonts w:ascii="Verdana" w:hAnsi="Verdana"/>
        <w:sz w:val="36"/>
        <w:szCs w:val="36"/>
      </w:rPr>
    </w:pPr>
    <w:bookmarkStart w:id="23" w:name="_WNSectionTitle_12"/>
    <w:bookmarkStart w:id="24" w:name="_WNTabType_1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13-09-10 10:00 AM</w:t>
    </w:r>
    <w:r>
      <w:rPr>
        <w:rFonts w:ascii="Verdana" w:hAnsi="Verdana"/>
        <w:sz w:val="36"/>
        <w:szCs w:val="36"/>
      </w:rPr>
      <w:fldChar w:fldCharType="end"/>
    </w:r>
  </w:p>
  <w:bookmarkEnd w:id="23"/>
  <w:bookmarkEnd w:id="24"/>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A92F1D" w14:textId="121D3956" w:rsidR="0023610F" w:rsidRDefault="0023610F">
    <w:pPr>
      <w:pStyle w:val="Header"/>
      <w:tabs>
        <w:tab w:val="clear" w:pos="4320"/>
        <w:tab w:val="clear" w:pos="8640"/>
        <w:tab w:val="right" w:pos="9720"/>
      </w:tabs>
      <w:ind w:left="-360"/>
      <w:rPr>
        <w:rFonts w:ascii="Verdana" w:hAnsi="Verdana"/>
        <w:sz w:val="36"/>
        <w:szCs w:val="36"/>
      </w:rPr>
    </w:pPr>
    <w:bookmarkStart w:id="25" w:name="_WNSectionTitle_13"/>
    <w:bookmarkStart w:id="26" w:name="_WNTabType_1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13-09-10 10:00 AM</w:t>
    </w:r>
    <w:r>
      <w:rPr>
        <w:rFonts w:ascii="Verdana" w:hAnsi="Verdana"/>
        <w:sz w:val="36"/>
        <w:szCs w:val="36"/>
      </w:rPr>
      <w:fldChar w:fldCharType="end"/>
    </w:r>
  </w:p>
  <w:bookmarkEnd w:id="25"/>
  <w:bookmarkEnd w:id="26"/>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F08834" w14:textId="7724EF9F" w:rsidR="0023610F" w:rsidRDefault="0023610F">
    <w:pPr>
      <w:pStyle w:val="Header"/>
      <w:tabs>
        <w:tab w:val="clear" w:pos="4320"/>
        <w:tab w:val="clear" w:pos="8640"/>
        <w:tab w:val="right" w:pos="9720"/>
      </w:tabs>
      <w:ind w:left="-360"/>
      <w:rPr>
        <w:rFonts w:ascii="Verdana" w:hAnsi="Verdana"/>
        <w:sz w:val="36"/>
        <w:szCs w:val="36"/>
      </w:rPr>
    </w:pPr>
    <w:bookmarkStart w:id="27" w:name="_WNSectionTitle_14"/>
    <w:bookmarkStart w:id="28" w:name="_WNTabType_1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13-09-10 10:00 AM</w:t>
    </w:r>
    <w:r>
      <w:rPr>
        <w:rFonts w:ascii="Verdana" w:hAnsi="Verdana"/>
        <w:sz w:val="36"/>
        <w:szCs w:val="36"/>
      </w:rPr>
      <w:fldChar w:fldCharType="end"/>
    </w:r>
  </w:p>
  <w:bookmarkEnd w:id="27"/>
  <w:bookmarkEnd w:id="28"/>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B88161" w14:textId="2372A6FA" w:rsidR="0023610F" w:rsidRDefault="0023610F">
    <w:pPr>
      <w:pStyle w:val="Header"/>
      <w:tabs>
        <w:tab w:val="clear" w:pos="4320"/>
        <w:tab w:val="clear" w:pos="8640"/>
        <w:tab w:val="right" w:pos="9720"/>
      </w:tabs>
      <w:ind w:left="-360"/>
      <w:rPr>
        <w:rFonts w:ascii="Verdana" w:hAnsi="Verdana"/>
        <w:sz w:val="36"/>
        <w:szCs w:val="36"/>
      </w:rPr>
    </w:pPr>
    <w:bookmarkStart w:id="29" w:name="_WNSectionTitle_15"/>
    <w:bookmarkStart w:id="30" w:name="_WNTabType_1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13-09-10 10:00 AM</w:t>
    </w:r>
    <w:r>
      <w:rPr>
        <w:rFonts w:ascii="Verdana" w:hAnsi="Verdana"/>
        <w:sz w:val="36"/>
        <w:szCs w:val="36"/>
      </w:rPr>
      <w:fldChar w:fldCharType="end"/>
    </w:r>
  </w:p>
  <w:bookmarkEnd w:id="29"/>
  <w:bookmarkEnd w:id="3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882D74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3405E5B"/>
    <w:multiLevelType w:val="hybridMultilevel"/>
    <w:tmpl w:val="CD1433A2"/>
    <w:lvl w:ilvl="0" w:tplc="B2444CBA">
      <w:numFmt w:val="bullet"/>
      <w:lvlText w:val="-"/>
      <w:lvlJc w:val="left"/>
      <w:pPr>
        <w:ind w:left="360" w:firstLine="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0E5F66"/>
    <w:multiLevelType w:val="hybridMultilevel"/>
    <w:tmpl w:val="3CAA9F5E"/>
    <w:lvl w:ilvl="0" w:tplc="67DA90F2">
      <w:numFmt w:val="bullet"/>
      <w:lvlText w:val="-"/>
      <w:lvlJc w:val="left"/>
      <w:pPr>
        <w:ind w:left="360" w:firstLine="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F929F6"/>
    <w:multiLevelType w:val="hybridMultilevel"/>
    <w:tmpl w:val="DB364724"/>
    <w:lvl w:ilvl="0" w:tplc="424E0FDC">
      <w:numFmt w:val="bullet"/>
      <w:lvlText w:val="-"/>
      <w:lvlJc w:val="left"/>
      <w:pPr>
        <w:ind w:left="360" w:firstLine="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3C634B"/>
    <w:multiLevelType w:val="hybridMultilevel"/>
    <w:tmpl w:val="5498DFDE"/>
    <w:lvl w:ilvl="0" w:tplc="301062D8">
      <w:numFmt w:val="bullet"/>
      <w:lvlText w:val="-"/>
      <w:lvlJc w:val="left"/>
      <w:pPr>
        <w:ind w:left="360" w:firstLine="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2976D6"/>
    <w:multiLevelType w:val="hybridMultilevel"/>
    <w:tmpl w:val="501E0B70"/>
    <w:lvl w:ilvl="0" w:tplc="DA9E8BB6">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8EA6405"/>
    <w:multiLevelType w:val="hybridMultilevel"/>
    <w:tmpl w:val="DE480B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E4B1F3B"/>
    <w:multiLevelType w:val="hybridMultilevel"/>
    <w:tmpl w:val="4DFC3C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4403D5E"/>
    <w:multiLevelType w:val="hybridMultilevel"/>
    <w:tmpl w:val="06C4EDBC"/>
    <w:lvl w:ilvl="0" w:tplc="A7AC06BE">
      <w:numFmt w:val="bullet"/>
      <w:lvlText w:val="-"/>
      <w:lvlJc w:val="left"/>
      <w:pPr>
        <w:ind w:left="360" w:firstLine="0"/>
      </w:pPr>
      <w:rPr>
        <w:rFonts w:ascii="Times" w:eastAsiaTheme="minorEastAsia" w:hAnsi="Times" w:cstheme="minorBidi" w:hint="default"/>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D4A7602"/>
    <w:multiLevelType w:val="hybridMultilevel"/>
    <w:tmpl w:val="D5CEBE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DF17991"/>
    <w:multiLevelType w:val="hybridMultilevel"/>
    <w:tmpl w:val="4E24326E"/>
    <w:lvl w:ilvl="0" w:tplc="1F08F248">
      <w:numFmt w:val="bullet"/>
      <w:lvlText w:val="-"/>
      <w:lvlJc w:val="left"/>
      <w:pPr>
        <w:ind w:left="360" w:firstLine="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63D614D"/>
    <w:multiLevelType w:val="hybridMultilevel"/>
    <w:tmpl w:val="0EF2AD8C"/>
    <w:lvl w:ilvl="0" w:tplc="A78645CC">
      <w:numFmt w:val="bullet"/>
      <w:lvlText w:val="-"/>
      <w:lvlJc w:val="left"/>
      <w:pPr>
        <w:ind w:left="360" w:firstLine="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EE62456"/>
    <w:multiLevelType w:val="hybridMultilevel"/>
    <w:tmpl w:val="F96A13DC"/>
    <w:lvl w:ilvl="0" w:tplc="5F36FEE4">
      <w:numFmt w:val="bullet"/>
      <w:lvlText w:val="-"/>
      <w:lvlJc w:val="left"/>
      <w:pPr>
        <w:ind w:left="360" w:firstLine="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16A24F8"/>
    <w:multiLevelType w:val="hybridMultilevel"/>
    <w:tmpl w:val="CEECB19E"/>
    <w:lvl w:ilvl="0" w:tplc="191491D2">
      <w:numFmt w:val="bullet"/>
      <w:lvlText w:val="-"/>
      <w:lvlJc w:val="left"/>
      <w:pPr>
        <w:ind w:left="360" w:firstLine="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2E55F85"/>
    <w:multiLevelType w:val="hybridMultilevel"/>
    <w:tmpl w:val="098EF5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F">
      <w:start w:val="1"/>
      <w:numFmt w:val="decimal"/>
      <w:lvlText w:val="%5."/>
      <w:lvlJc w:val="left"/>
      <w:pPr>
        <w:ind w:left="3600" w:hanging="360"/>
      </w:pPr>
      <w:rPr>
        <w:rFonts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8103635"/>
    <w:multiLevelType w:val="hybridMultilevel"/>
    <w:tmpl w:val="28745AD8"/>
    <w:lvl w:ilvl="0" w:tplc="3B5CAC3C">
      <w:numFmt w:val="bullet"/>
      <w:lvlText w:val="-"/>
      <w:lvlJc w:val="left"/>
      <w:pPr>
        <w:ind w:left="360" w:firstLine="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DD17808"/>
    <w:multiLevelType w:val="hybridMultilevel"/>
    <w:tmpl w:val="1C60F5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E5241D0"/>
    <w:multiLevelType w:val="hybridMultilevel"/>
    <w:tmpl w:val="85A6D384"/>
    <w:lvl w:ilvl="0" w:tplc="191A3820">
      <w:numFmt w:val="bullet"/>
      <w:lvlText w:val="-"/>
      <w:lvlJc w:val="left"/>
      <w:pPr>
        <w:ind w:left="360" w:firstLine="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357DA0"/>
    <w:multiLevelType w:val="hybridMultilevel"/>
    <w:tmpl w:val="80328D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71425F8"/>
    <w:multiLevelType w:val="hybridMultilevel"/>
    <w:tmpl w:val="003EB230"/>
    <w:lvl w:ilvl="0" w:tplc="63EE0084">
      <w:numFmt w:val="bullet"/>
      <w:lvlText w:val="-"/>
      <w:lvlJc w:val="left"/>
      <w:pPr>
        <w:ind w:left="360" w:firstLine="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C9320E6"/>
    <w:multiLevelType w:val="hybridMultilevel"/>
    <w:tmpl w:val="3B3261A2"/>
    <w:lvl w:ilvl="0" w:tplc="C8B099C8">
      <w:numFmt w:val="bullet"/>
      <w:lvlText w:val="-"/>
      <w:lvlJc w:val="left"/>
      <w:pPr>
        <w:ind w:left="360" w:firstLine="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FA3696"/>
    <w:multiLevelType w:val="hybridMultilevel"/>
    <w:tmpl w:val="9640ADF6"/>
    <w:lvl w:ilvl="0" w:tplc="47144760">
      <w:numFmt w:val="bullet"/>
      <w:lvlText w:val="-"/>
      <w:lvlJc w:val="left"/>
      <w:pPr>
        <w:ind w:left="360" w:firstLine="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76A6510"/>
    <w:multiLevelType w:val="hybridMultilevel"/>
    <w:tmpl w:val="14A0B454"/>
    <w:lvl w:ilvl="0" w:tplc="74D6BBB2">
      <w:numFmt w:val="bullet"/>
      <w:lvlText w:val="-"/>
      <w:lvlJc w:val="left"/>
      <w:pPr>
        <w:ind w:left="360" w:firstLine="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92601D0"/>
    <w:multiLevelType w:val="hybridMultilevel"/>
    <w:tmpl w:val="4F166254"/>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79447D34"/>
    <w:multiLevelType w:val="hybridMultilevel"/>
    <w:tmpl w:val="3FD06BB4"/>
    <w:lvl w:ilvl="0" w:tplc="BA8C3204">
      <w:numFmt w:val="bullet"/>
      <w:lvlText w:val="-"/>
      <w:lvlJc w:val="left"/>
      <w:pPr>
        <w:ind w:left="360" w:firstLine="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E7D6685"/>
    <w:multiLevelType w:val="hybridMultilevel"/>
    <w:tmpl w:val="A7EC77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7F6A4DCC"/>
    <w:multiLevelType w:val="hybridMultilevel"/>
    <w:tmpl w:val="5A3ABBC0"/>
    <w:lvl w:ilvl="0" w:tplc="3528C01A">
      <w:numFmt w:val="bullet"/>
      <w:lvlText w:val="-"/>
      <w:lvlJc w:val="left"/>
      <w:pPr>
        <w:ind w:left="360" w:firstLine="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0"/>
  </w:num>
  <w:num w:numId="3">
    <w:abstractNumId w:val="8"/>
  </w:num>
  <w:num w:numId="4">
    <w:abstractNumId w:val="19"/>
  </w:num>
  <w:num w:numId="5">
    <w:abstractNumId w:val="2"/>
  </w:num>
  <w:num w:numId="6">
    <w:abstractNumId w:val="13"/>
  </w:num>
  <w:num w:numId="7">
    <w:abstractNumId w:val="4"/>
  </w:num>
  <w:num w:numId="8">
    <w:abstractNumId w:val="12"/>
  </w:num>
  <w:num w:numId="9">
    <w:abstractNumId w:val="11"/>
  </w:num>
  <w:num w:numId="10">
    <w:abstractNumId w:val="24"/>
  </w:num>
  <w:num w:numId="11">
    <w:abstractNumId w:val="15"/>
  </w:num>
  <w:num w:numId="12">
    <w:abstractNumId w:val="16"/>
  </w:num>
  <w:num w:numId="13">
    <w:abstractNumId w:val="18"/>
  </w:num>
  <w:num w:numId="14">
    <w:abstractNumId w:val="25"/>
  </w:num>
  <w:num w:numId="15">
    <w:abstractNumId w:val="23"/>
  </w:num>
  <w:num w:numId="16">
    <w:abstractNumId w:val="9"/>
  </w:num>
  <w:num w:numId="17">
    <w:abstractNumId w:val="6"/>
  </w:num>
  <w:num w:numId="18">
    <w:abstractNumId w:val="22"/>
  </w:num>
  <w:num w:numId="19">
    <w:abstractNumId w:val="10"/>
  </w:num>
  <w:num w:numId="20">
    <w:abstractNumId w:val="17"/>
  </w:num>
  <w:num w:numId="21">
    <w:abstractNumId w:val="3"/>
  </w:num>
  <w:num w:numId="22">
    <w:abstractNumId w:val="5"/>
  </w:num>
  <w:num w:numId="23">
    <w:abstractNumId w:val="26"/>
  </w:num>
  <w:num w:numId="24">
    <w:abstractNumId w:val="7"/>
  </w:num>
  <w:num w:numId="25">
    <w:abstractNumId w:val="14"/>
  </w:num>
  <w:num w:numId="26">
    <w:abstractNumId w:val="1"/>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Sept. 9th"/>
    <w:docVar w:name="_WNSectionTitle_10" w:val="Dec. 2nd "/>
    <w:docVar w:name="_WNSectionTitle_11" w:val="Dec. 9th: Finale!"/>
    <w:docVar w:name="_WNSectionTitle_2" w:val="Sept. 16th "/>
    <w:docVar w:name="_WNSectionTitle_3" w:val="Sept. 23rd"/>
    <w:docVar w:name="_WNSectionTitle_4" w:val="Sept. 30th"/>
    <w:docVar w:name="_WNSectionTitle_5" w:val="Oct. 7th "/>
    <w:docVar w:name="_WNSectionTitle_6" w:val="Nov. 4th "/>
    <w:docVar w:name="_WNSectionTitle_7" w:val="Nov. 11th"/>
    <w:docVar w:name="_WNSectionTitle_8" w:val="Nov. 18th"/>
    <w:docVar w:name="_WNSectionTitle_9" w:val="Nov. 25th"/>
    <w:docVar w:name="_WNTabType_0" w:val="0"/>
    <w:docVar w:name="_WNTabType_1" w:val="1"/>
    <w:docVar w:name="_WNTabType_10" w:val="5"/>
    <w:docVar w:name="_WNTabType_11" w:val="2"/>
    <w:docVar w:name="_WNTabType_12" w:val="2"/>
    <w:docVar w:name="_WNTabType_13" w:val="2"/>
    <w:docVar w:name="_WNTabType_14" w:val="2"/>
    <w:docVar w:name="_WNTabType_2" w:val="3"/>
    <w:docVar w:name="_WNTabType_3" w:val="4"/>
    <w:docVar w:name="_WNTabType_4" w:val="5"/>
    <w:docVar w:name="_WNTabType_5" w:val="6"/>
    <w:docVar w:name="_WNTabType_6" w:val="0"/>
    <w:docVar w:name="_WNTabType_7" w:val="1"/>
    <w:docVar w:name="_WNTabType_8" w:val="3"/>
    <w:docVar w:name="_WNTabType_9" w:val="4"/>
    <w:docVar w:name="EnableWordNotes" w:val="0"/>
  </w:docVars>
  <w:rsids>
    <w:rsidRoot w:val="004E3C3A"/>
    <w:rsid w:val="00002C71"/>
    <w:rsid w:val="000046CF"/>
    <w:rsid w:val="00005D56"/>
    <w:rsid w:val="00007325"/>
    <w:rsid w:val="000107A5"/>
    <w:rsid w:val="00012D1E"/>
    <w:rsid w:val="00016778"/>
    <w:rsid w:val="00020778"/>
    <w:rsid w:val="00020CAA"/>
    <w:rsid w:val="0002542F"/>
    <w:rsid w:val="00026C36"/>
    <w:rsid w:val="00033F36"/>
    <w:rsid w:val="00041791"/>
    <w:rsid w:val="00041B89"/>
    <w:rsid w:val="00050D4B"/>
    <w:rsid w:val="00050D99"/>
    <w:rsid w:val="00052901"/>
    <w:rsid w:val="00054BB0"/>
    <w:rsid w:val="00056EF3"/>
    <w:rsid w:val="00060FA6"/>
    <w:rsid w:val="000625C5"/>
    <w:rsid w:val="0006342E"/>
    <w:rsid w:val="00067547"/>
    <w:rsid w:val="000736A0"/>
    <w:rsid w:val="00074F4B"/>
    <w:rsid w:val="0008460C"/>
    <w:rsid w:val="000848E6"/>
    <w:rsid w:val="00085416"/>
    <w:rsid w:val="00087DED"/>
    <w:rsid w:val="00095B29"/>
    <w:rsid w:val="000A5BF9"/>
    <w:rsid w:val="000A6FCD"/>
    <w:rsid w:val="000B3773"/>
    <w:rsid w:val="000C011E"/>
    <w:rsid w:val="000C2FB1"/>
    <w:rsid w:val="000C7ECE"/>
    <w:rsid w:val="000E3F47"/>
    <w:rsid w:val="000F0125"/>
    <w:rsid w:val="000F09C5"/>
    <w:rsid w:val="000F18DF"/>
    <w:rsid w:val="000F1ACD"/>
    <w:rsid w:val="000F2C26"/>
    <w:rsid w:val="00105977"/>
    <w:rsid w:val="00115F74"/>
    <w:rsid w:val="00120CD7"/>
    <w:rsid w:val="0012207E"/>
    <w:rsid w:val="001234B1"/>
    <w:rsid w:val="00127944"/>
    <w:rsid w:val="0013131E"/>
    <w:rsid w:val="00133FB7"/>
    <w:rsid w:val="001378E2"/>
    <w:rsid w:val="00141467"/>
    <w:rsid w:val="00141510"/>
    <w:rsid w:val="00151B4F"/>
    <w:rsid w:val="00155510"/>
    <w:rsid w:val="001641A8"/>
    <w:rsid w:val="00172625"/>
    <w:rsid w:val="00173031"/>
    <w:rsid w:val="00173843"/>
    <w:rsid w:val="00181695"/>
    <w:rsid w:val="00181F49"/>
    <w:rsid w:val="001855A2"/>
    <w:rsid w:val="00192C06"/>
    <w:rsid w:val="001942FA"/>
    <w:rsid w:val="001A0F50"/>
    <w:rsid w:val="001A4ED7"/>
    <w:rsid w:val="001B14DA"/>
    <w:rsid w:val="001B25A1"/>
    <w:rsid w:val="001B30BE"/>
    <w:rsid w:val="001C4553"/>
    <w:rsid w:val="001C5232"/>
    <w:rsid w:val="001D3A49"/>
    <w:rsid w:val="001D60CE"/>
    <w:rsid w:val="001E1019"/>
    <w:rsid w:val="001E699B"/>
    <w:rsid w:val="001F22E1"/>
    <w:rsid w:val="001F23C6"/>
    <w:rsid w:val="001F4AC6"/>
    <w:rsid w:val="001F5AA1"/>
    <w:rsid w:val="002022BE"/>
    <w:rsid w:val="00202B24"/>
    <w:rsid w:val="00202CF2"/>
    <w:rsid w:val="0021089A"/>
    <w:rsid w:val="00210FFE"/>
    <w:rsid w:val="0021212E"/>
    <w:rsid w:val="00213FDF"/>
    <w:rsid w:val="00222EFE"/>
    <w:rsid w:val="00223D03"/>
    <w:rsid w:val="002240D2"/>
    <w:rsid w:val="0023610F"/>
    <w:rsid w:val="00237BB9"/>
    <w:rsid w:val="00241C68"/>
    <w:rsid w:val="002652BE"/>
    <w:rsid w:val="00265DE6"/>
    <w:rsid w:val="00272E07"/>
    <w:rsid w:val="00274CC4"/>
    <w:rsid w:val="00275F46"/>
    <w:rsid w:val="00283C6E"/>
    <w:rsid w:val="00283E8D"/>
    <w:rsid w:val="00285384"/>
    <w:rsid w:val="002935FF"/>
    <w:rsid w:val="00296555"/>
    <w:rsid w:val="00296F31"/>
    <w:rsid w:val="00297815"/>
    <w:rsid w:val="002A0B33"/>
    <w:rsid w:val="002A5272"/>
    <w:rsid w:val="002B0C9D"/>
    <w:rsid w:val="002B3D36"/>
    <w:rsid w:val="002B3EFC"/>
    <w:rsid w:val="002B4544"/>
    <w:rsid w:val="002C5585"/>
    <w:rsid w:val="002C6534"/>
    <w:rsid w:val="002D0805"/>
    <w:rsid w:val="002D1182"/>
    <w:rsid w:val="002D1DCA"/>
    <w:rsid w:val="002D330C"/>
    <w:rsid w:val="002D3A5A"/>
    <w:rsid w:val="002D4AC4"/>
    <w:rsid w:val="002E47BA"/>
    <w:rsid w:val="002E7863"/>
    <w:rsid w:val="002F0288"/>
    <w:rsid w:val="002F042F"/>
    <w:rsid w:val="002F24A4"/>
    <w:rsid w:val="002F2E64"/>
    <w:rsid w:val="002F5184"/>
    <w:rsid w:val="003011F1"/>
    <w:rsid w:val="003043FF"/>
    <w:rsid w:val="00307547"/>
    <w:rsid w:val="00312B58"/>
    <w:rsid w:val="00313DD4"/>
    <w:rsid w:val="0031562F"/>
    <w:rsid w:val="00316180"/>
    <w:rsid w:val="00316CB2"/>
    <w:rsid w:val="00317891"/>
    <w:rsid w:val="00322EFB"/>
    <w:rsid w:val="003300F9"/>
    <w:rsid w:val="00330654"/>
    <w:rsid w:val="0033469C"/>
    <w:rsid w:val="00340267"/>
    <w:rsid w:val="003443A0"/>
    <w:rsid w:val="003456DB"/>
    <w:rsid w:val="00352B92"/>
    <w:rsid w:val="00356524"/>
    <w:rsid w:val="00360133"/>
    <w:rsid w:val="003634DC"/>
    <w:rsid w:val="003652A9"/>
    <w:rsid w:val="003666C4"/>
    <w:rsid w:val="00366AAB"/>
    <w:rsid w:val="003810D4"/>
    <w:rsid w:val="00381B7A"/>
    <w:rsid w:val="003820B2"/>
    <w:rsid w:val="003873B3"/>
    <w:rsid w:val="00391AD9"/>
    <w:rsid w:val="00396CAC"/>
    <w:rsid w:val="00396DE1"/>
    <w:rsid w:val="00397EC9"/>
    <w:rsid w:val="003A3032"/>
    <w:rsid w:val="003B0A6B"/>
    <w:rsid w:val="003B2147"/>
    <w:rsid w:val="003B223D"/>
    <w:rsid w:val="003B3CB4"/>
    <w:rsid w:val="003B55A5"/>
    <w:rsid w:val="003B7035"/>
    <w:rsid w:val="003C58CF"/>
    <w:rsid w:val="003C6FAF"/>
    <w:rsid w:val="003D048C"/>
    <w:rsid w:val="003D14D1"/>
    <w:rsid w:val="003D22DB"/>
    <w:rsid w:val="003D5AA5"/>
    <w:rsid w:val="003E10DB"/>
    <w:rsid w:val="003E2D0E"/>
    <w:rsid w:val="003E4103"/>
    <w:rsid w:val="003E5096"/>
    <w:rsid w:val="003F0C6A"/>
    <w:rsid w:val="003F4513"/>
    <w:rsid w:val="003F7170"/>
    <w:rsid w:val="004015F0"/>
    <w:rsid w:val="00403D67"/>
    <w:rsid w:val="004044CE"/>
    <w:rsid w:val="00407411"/>
    <w:rsid w:val="004075D1"/>
    <w:rsid w:val="004079A8"/>
    <w:rsid w:val="0042365D"/>
    <w:rsid w:val="00423DB2"/>
    <w:rsid w:val="00424C0B"/>
    <w:rsid w:val="00426EAD"/>
    <w:rsid w:val="00427188"/>
    <w:rsid w:val="0043240B"/>
    <w:rsid w:val="004331F1"/>
    <w:rsid w:val="00435ABD"/>
    <w:rsid w:val="00441C6A"/>
    <w:rsid w:val="0044332F"/>
    <w:rsid w:val="00447985"/>
    <w:rsid w:val="00450830"/>
    <w:rsid w:val="00452C10"/>
    <w:rsid w:val="0045452D"/>
    <w:rsid w:val="004552B9"/>
    <w:rsid w:val="00456641"/>
    <w:rsid w:val="004677E7"/>
    <w:rsid w:val="00470CFD"/>
    <w:rsid w:val="00471A7E"/>
    <w:rsid w:val="004733CB"/>
    <w:rsid w:val="004757C5"/>
    <w:rsid w:val="00477582"/>
    <w:rsid w:val="004825DD"/>
    <w:rsid w:val="00484F8F"/>
    <w:rsid w:val="004933CB"/>
    <w:rsid w:val="004941E4"/>
    <w:rsid w:val="004972AC"/>
    <w:rsid w:val="00497B0B"/>
    <w:rsid w:val="004A07B4"/>
    <w:rsid w:val="004A33AC"/>
    <w:rsid w:val="004A66AA"/>
    <w:rsid w:val="004B08AE"/>
    <w:rsid w:val="004B30A4"/>
    <w:rsid w:val="004B56E3"/>
    <w:rsid w:val="004B66B5"/>
    <w:rsid w:val="004C310C"/>
    <w:rsid w:val="004C58FF"/>
    <w:rsid w:val="004C75C6"/>
    <w:rsid w:val="004C75D5"/>
    <w:rsid w:val="004D5176"/>
    <w:rsid w:val="004D629D"/>
    <w:rsid w:val="004E2CF4"/>
    <w:rsid w:val="004E3C3A"/>
    <w:rsid w:val="004E4FBB"/>
    <w:rsid w:val="004E7E24"/>
    <w:rsid w:val="004F1103"/>
    <w:rsid w:val="004F6CB8"/>
    <w:rsid w:val="004F6DBA"/>
    <w:rsid w:val="00501AF3"/>
    <w:rsid w:val="00501DEF"/>
    <w:rsid w:val="00502A8C"/>
    <w:rsid w:val="005030F4"/>
    <w:rsid w:val="00503800"/>
    <w:rsid w:val="005043EB"/>
    <w:rsid w:val="0050444E"/>
    <w:rsid w:val="00504770"/>
    <w:rsid w:val="005051B0"/>
    <w:rsid w:val="00506377"/>
    <w:rsid w:val="00510E1A"/>
    <w:rsid w:val="0051148D"/>
    <w:rsid w:val="0051195B"/>
    <w:rsid w:val="0052180B"/>
    <w:rsid w:val="00522D04"/>
    <w:rsid w:val="00522F3E"/>
    <w:rsid w:val="00523E65"/>
    <w:rsid w:val="00536D0F"/>
    <w:rsid w:val="00537072"/>
    <w:rsid w:val="00540732"/>
    <w:rsid w:val="0054559E"/>
    <w:rsid w:val="005525D1"/>
    <w:rsid w:val="00553407"/>
    <w:rsid w:val="00554DF2"/>
    <w:rsid w:val="0056016B"/>
    <w:rsid w:val="00577AC6"/>
    <w:rsid w:val="005800E6"/>
    <w:rsid w:val="005813BA"/>
    <w:rsid w:val="005817AE"/>
    <w:rsid w:val="00585202"/>
    <w:rsid w:val="00592D1C"/>
    <w:rsid w:val="00596E83"/>
    <w:rsid w:val="005A5E4C"/>
    <w:rsid w:val="005A6DEF"/>
    <w:rsid w:val="005B0A27"/>
    <w:rsid w:val="005B26C6"/>
    <w:rsid w:val="005B3117"/>
    <w:rsid w:val="005C41F8"/>
    <w:rsid w:val="005D3105"/>
    <w:rsid w:val="005D4B47"/>
    <w:rsid w:val="005E15FE"/>
    <w:rsid w:val="005E2ACF"/>
    <w:rsid w:val="005E3F0C"/>
    <w:rsid w:val="005E4819"/>
    <w:rsid w:val="005E6E2F"/>
    <w:rsid w:val="005E7350"/>
    <w:rsid w:val="005F0459"/>
    <w:rsid w:val="005F33EC"/>
    <w:rsid w:val="005F44DE"/>
    <w:rsid w:val="005F587A"/>
    <w:rsid w:val="005F73FA"/>
    <w:rsid w:val="00603C7C"/>
    <w:rsid w:val="006078EA"/>
    <w:rsid w:val="00611379"/>
    <w:rsid w:val="00611735"/>
    <w:rsid w:val="006149E0"/>
    <w:rsid w:val="00615035"/>
    <w:rsid w:val="006152A0"/>
    <w:rsid w:val="006162BD"/>
    <w:rsid w:val="0062365C"/>
    <w:rsid w:val="0062744F"/>
    <w:rsid w:val="006276D6"/>
    <w:rsid w:val="006345C2"/>
    <w:rsid w:val="00635654"/>
    <w:rsid w:val="0064152B"/>
    <w:rsid w:val="00642A5D"/>
    <w:rsid w:val="00645BC5"/>
    <w:rsid w:val="00645CC2"/>
    <w:rsid w:val="006530D0"/>
    <w:rsid w:val="00654C9E"/>
    <w:rsid w:val="00655FA6"/>
    <w:rsid w:val="006567D2"/>
    <w:rsid w:val="00662582"/>
    <w:rsid w:val="00672853"/>
    <w:rsid w:val="00673DDC"/>
    <w:rsid w:val="006761C3"/>
    <w:rsid w:val="00680ED2"/>
    <w:rsid w:val="00683919"/>
    <w:rsid w:val="006844DA"/>
    <w:rsid w:val="00691472"/>
    <w:rsid w:val="006957E7"/>
    <w:rsid w:val="006A368B"/>
    <w:rsid w:val="006A4C9C"/>
    <w:rsid w:val="006A6373"/>
    <w:rsid w:val="006B1A3B"/>
    <w:rsid w:val="006B2815"/>
    <w:rsid w:val="006B3B68"/>
    <w:rsid w:val="006B551B"/>
    <w:rsid w:val="006B712B"/>
    <w:rsid w:val="006B7AFA"/>
    <w:rsid w:val="006C36A3"/>
    <w:rsid w:val="006C36E8"/>
    <w:rsid w:val="006C3EDF"/>
    <w:rsid w:val="006C5314"/>
    <w:rsid w:val="006D0CDC"/>
    <w:rsid w:val="006D1BE4"/>
    <w:rsid w:val="006D4529"/>
    <w:rsid w:val="006E3FCF"/>
    <w:rsid w:val="006F1520"/>
    <w:rsid w:val="007005AB"/>
    <w:rsid w:val="00705C2C"/>
    <w:rsid w:val="00710A18"/>
    <w:rsid w:val="007119B3"/>
    <w:rsid w:val="00714CC3"/>
    <w:rsid w:val="00715B1F"/>
    <w:rsid w:val="00723309"/>
    <w:rsid w:val="00723466"/>
    <w:rsid w:val="00723899"/>
    <w:rsid w:val="00723F42"/>
    <w:rsid w:val="00734727"/>
    <w:rsid w:val="00741D34"/>
    <w:rsid w:val="0074241F"/>
    <w:rsid w:val="00744EC9"/>
    <w:rsid w:val="00745238"/>
    <w:rsid w:val="0075007D"/>
    <w:rsid w:val="00751F6F"/>
    <w:rsid w:val="00756DF1"/>
    <w:rsid w:val="00760EAF"/>
    <w:rsid w:val="0076122B"/>
    <w:rsid w:val="007642AA"/>
    <w:rsid w:val="00772FF5"/>
    <w:rsid w:val="007919CF"/>
    <w:rsid w:val="007A1698"/>
    <w:rsid w:val="007A349E"/>
    <w:rsid w:val="007A5091"/>
    <w:rsid w:val="007A760B"/>
    <w:rsid w:val="007B3A08"/>
    <w:rsid w:val="007B4F26"/>
    <w:rsid w:val="007C1B05"/>
    <w:rsid w:val="007C4EE9"/>
    <w:rsid w:val="007C548D"/>
    <w:rsid w:val="007D0437"/>
    <w:rsid w:val="007D1AE3"/>
    <w:rsid w:val="007E2A3D"/>
    <w:rsid w:val="007E3FD8"/>
    <w:rsid w:val="007F6AFD"/>
    <w:rsid w:val="008066E0"/>
    <w:rsid w:val="00810224"/>
    <w:rsid w:val="00810944"/>
    <w:rsid w:val="00811F7A"/>
    <w:rsid w:val="008143D8"/>
    <w:rsid w:val="008300F5"/>
    <w:rsid w:val="00833543"/>
    <w:rsid w:val="008345D8"/>
    <w:rsid w:val="00834BEC"/>
    <w:rsid w:val="00843B9D"/>
    <w:rsid w:val="00850FEF"/>
    <w:rsid w:val="00860ED3"/>
    <w:rsid w:val="008662DF"/>
    <w:rsid w:val="00870DE0"/>
    <w:rsid w:val="00875150"/>
    <w:rsid w:val="0087658C"/>
    <w:rsid w:val="00876622"/>
    <w:rsid w:val="008767B0"/>
    <w:rsid w:val="00877C7B"/>
    <w:rsid w:val="0088098A"/>
    <w:rsid w:val="0088241B"/>
    <w:rsid w:val="00884E2E"/>
    <w:rsid w:val="00887758"/>
    <w:rsid w:val="00887E35"/>
    <w:rsid w:val="0089012F"/>
    <w:rsid w:val="00890634"/>
    <w:rsid w:val="00891527"/>
    <w:rsid w:val="00891856"/>
    <w:rsid w:val="008A1F7B"/>
    <w:rsid w:val="008A27E0"/>
    <w:rsid w:val="008A3CA6"/>
    <w:rsid w:val="008A7FFB"/>
    <w:rsid w:val="008B104C"/>
    <w:rsid w:val="008C22E5"/>
    <w:rsid w:val="008C634C"/>
    <w:rsid w:val="008C64E5"/>
    <w:rsid w:val="008D31B6"/>
    <w:rsid w:val="008D3301"/>
    <w:rsid w:val="008D3E15"/>
    <w:rsid w:val="008D5456"/>
    <w:rsid w:val="008F08BA"/>
    <w:rsid w:val="008F231B"/>
    <w:rsid w:val="008F67AF"/>
    <w:rsid w:val="008F78C4"/>
    <w:rsid w:val="009008F3"/>
    <w:rsid w:val="00900B2D"/>
    <w:rsid w:val="00903472"/>
    <w:rsid w:val="009041F3"/>
    <w:rsid w:val="00904CEE"/>
    <w:rsid w:val="00910C36"/>
    <w:rsid w:val="00922A6C"/>
    <w:rsid w:val="00924418"/>
    <w:rsid w:val="00932A2A"/>
    <w:rsid w:val="0094016C"/>
    <w:rsid w:val="00941B30"/>
    <w:rsid w:val="00943CD9"/>
    <w:rsid w:val="00952838"/>
    <w:rsid w:val="00953AF5"/>
    <w:rsid w:val="00954972"/>
    <w:rsid w:val="009633CD"/>
    <w:rsid w:val="00963566"/>
    <w:rsid w:val="00971CFB"/>
    <w:rsid w:val="00974DF5"/>
    <w:rsid w:val="00975D8A"/>
    <w:rsid w:val="0098665C"/>
    <w:rsid w:val="009909AD"/>
    <w:rsid w:val="00991573"/>
    <w:rsid w:val="009A1597"/>
    <w:rsid w:val="009A47A5"/>
    <w:rsid w:val="009A6DA7"/>
    <w:rsid w:val="009B0C6C"/>
    <w:rsid w:val="009B11C4"/>
    <w:rsid w:val="009B2296"/>
    <w:rsid w:val="009B273C"/>
    <w:rsid w:val="009B383D"/>
    <w:rsid w:val="009B7C17"/>
    <w:rsid w:val="009C2CFC"/>
    <w:rsid w:val="009D107A"/>
    <w:rsid w:val="009D1414"/>
    <w:rsid w:val="009D458B"/>
    <w:rsid w:val="009D6684"/>
    <w:rsid w:val="009E3099"/>
    <w:rsid w:val="009F05B5"/>
    <w:rsid w:val="009F185F"/>
    <w:rsid w:val="009F413A"/>
    <w:rsid w:val="009F7172"/>
    <w:rsid w:val="00A031E9"/>
    <w:rsid w:val="00A0529E"/>
    <w:rsid w:val="00A05920"/>
    <w:rsid w:val="00A10DEC"/>
    <w:rsid w:val="00A1455C"/>
    <w:rsid w:val="00A14631"/>
    <w:rsid w:val="00A3689C"/>
    <w:rsid w:val="00A41CF4"/>
    <w:rsid w:val="00A42555"/>
    <w:rsid w:val="00A44AFB"/>
    <w:rsid w:val="00A45143"/>
    <w:rsid w:val="00A46BC4"/>
    <w:rsid w:val="00A50EAF"/>
    <w:rsid w:val="00A54425"/>
    <w:rsid w:val="00A54A27"/>
    <w:rsid w:val="00A65F41"/>
    <w:rsid w:val="00A66C29"/>
    <w:rsid w:val="00A678FE"/>
    <w:rsid w:val="00A73971"/>
    <w:rsid w:val="00A75AC2"/>
    <w:rsid w:val="00A81C22"/>
    <w:rsid w:val="00A83286"/>
    <w:rsid w:val="00A86417"/>
    <w:rsid w:val="00A873FC"/>
    <w:rsid w:val="00A908C5"/>
    <w:rsid w:val="00A94183"/>
    <w:rsid w:val="00AA2EB9"/>
    <w:rsid w:val="00AA3844"/>
    <w:rsid w:val="00AA6885"/>
    <w:rsid w:val="00AA77D7"/>
    <w:rsid w:val="00AB0587"/>
    <w:rsid w:val="00AB1994"/>
    <w:rsid w:val="00AB436C"/>
    <w:rsid w:val="00AC3124"/>
    <w:rsid w:val="00AC5A7E"/>
    <w:rsid w:val="00AD01AC"/>
    <w:rsid w:val="00AD3A08"/>
    <w:rsid w:val="00AD7B33"/>
    <w:rsid w:val="00AE136B"/>
    <w:rsid w:val="00AE1B67"/>
    <w:rsid w:val="00AE3DCD"/>
    <w:rsid w:val="00AE658C"/>
    <w:rsid w:val="00AF07C9"/>
    <w:rsid w:val="00B0052E"/>
    <w:rsid w:val="00B0378F"/>
    <w:rsid w:val="00B03A0A"/>
    <w:rsid w:val="00B0421D"/>
    <w:rsid w:val="00B1223A"/>
    <w:rsid w:val="00B151D9"/>
    <w:rsid w:val="00B22C9E"/>
    <w:rsid w:val="00B25C00"/>
    <w:rsid w:val="00B27E33"/>
    <w:rsid w:val="00B3087D"/>
    <w:rsid w:val="00B31CC3"/>
    <w:rsid w:val="00B327AA"/>
    <w:rsid w:val="00B32836"/>
    <w:rsid w:val="00B41E3D"/>
    <w:rsid w:val="00B44136"/>
    <w:rsid w:val="00B45B48"/>
    <w:rsid w:val="00B52D34"/>
    <w:rsid w:val="00B55927"/>
    <w:rsid w:val="00B567D2"/>
    <w:rsid w:val="00B60766"/>
    <w:rsid w:val="00B620E8"/>
    <w:rsid w:val="00B62691"/>
    <w:rsid w:val="00B65231"/>
    <w:rsid w:val="00B6608A"/>
    <w:rsid w:val="00B679BB"/>
    <w:rsid w:val="00B776A3"/>
    <w:rsid w:val="00B80A0A"/>
    <w:rsid w:val="00B8678A"/>
    <w:rsid w:val="00B9047A"/>
    <w:rsid w:val="00B90D0F"/>
    <w:rsid w:val="00B932EE"/>
    <w:rsid w:val="00B9414F"/>
    <w:rsid w:val="00B96BDC"/>
    <w:rsid w:val="00BA0BAD"/>
    <w:rsid w:val="00BA460F"/>
    <w:rsid w:val="00BA46DF"/>
    <w:rsid w:val="00BA657C"/>
    <w:rsid w:val="00BA745D"/>
    <w:rsid w:val="00BB48C9"/>
    <w:rsid w:val="00BB7AB4"/>
    <w:rsid w:val="00BC2079"/>
    <w:rsid w:val="00BC2660"/>
    <w:rsid w:val="00BC6EBB"/>
    <w:rsid w:val="00BD24A9"/>
    <w:rsid w:val="00BD3242"/>
    <w:rsid w:val="00BD7D97"/>
    <w:rsid w:val="00BD7E99"/>
    <w:rsid w:val="00BE65EE"/>
    <w:rsid w:val="00BE7EE0"/>
    <w:rsid w:val="00BF1BB9"/>
    <w:rsid w:val="00BF4B13"/>
    <w:rsid w:val="00BF6197"/>
    <w:rsid w:val="00C02520"/>
    <w:rsid w:val="00C042F2"/>
    <w:rsid w:val="00C13295"/>
    <w:rsid w:val="00C14C3A"/>
    <w:rsid w:val="00C15D64"/>
    <w:rsid w:val="00C179F5"/>
    <w:rsid w:val="00C2263E"/>
    <w:rsid w:val="00C25FBD"/>
    <w:rsid w:val="00C3525A"/>
    <w:rsid w:val="00C4207C"/>
    <w:rsid w:val="00C436AE"/>
    <w:rsid w:val="00C44042"/>
    <w:rsid w:val="00C44166"/>
    <w:rsid w:val="00C45704"/>
    <w:rsid w:val="00C50B24"/>
    <w:rsid w:val="00C521CB"/>
    <w:rsid w:val="00C60E14"/>
    <w:rsid w:val="00C6214B"/>
    <w:rsid w:val="00C624EB"/>
    <w:rsid w:val="00C63494"/>
    <w:rsid w:val="00C67B74"/>
    <w:rsid w:val="00C70210"/>
    <w:rsid w:val="00C74A7B"/>
    <w:rsid w:val="00C76E4E"/>
    <w:rsid w:val="00C81833"/>
    <w:rsid w:val="00C8458F"/>
    <w:rsid w:val="00C93941"/>
    <w:rsid w:val="00C96377"/>
    <w:rsid w:val="00C96E71"/>
    <w:rsid w:val="00CB2477"/>
    <w:rsid w:val="00CB28D8"/>
    <w:rsid w:val="00CB563B"/>
    <w:rsid w:val="00CB6C0A"/>
    <w:rsid w:val="00CC0B35"/>
    <w:rsid w:val="00CC73E1"/>
    <w:rsid w:val="00CC7A7F"/>
    <w:rsid w:val="00CD1774"/>
    <w:rsid w:val="00CD2250"/>
    <w:rsid w:val="00CD5BDF"/>
    <w:rsid w:val="00CD6C0E"/>
    <w:rsid w:val="00CE4B50"/>
    <w:rsid w:val="00CF0581"/>
    <w:rsid w:val="00CF0BD4"/>
    <w:rsid w:val="00CF2B7F"/>
    <w:rsid w:val="00CF3253"/>
    <w:rsid w:val="00CF64CD"/>
    <w:rsid w:val="00D007EA"/>
    <w:rsid w:val="00D00E19"/>
    <w:rsid w:val="00D042CE"/>
    <w:rsid w:val="00D048C1"/>
    <w:rsid w:val="00D13199"/>
    <w:rsid w:val="00D22861"/>
    <w:rsid w:val="00D22E58"/>
    <w:rsid w:val="00D243AA"/>
    <w:rsid w:val="00D31BF1"/>
    <w:rsid w:val="00D3249F"/>
    <w:rsid w:val="00D324DE"/>
    <w:rsid w:val="00D46D88"/>
    <w:rsid w:val="00D520F8"/>
    <w:rsid w:val="00D569F1"/>
    <w:rsid w:val="00D6120B"/>
    <w:rsid w:val="00D65A5F"/>
    <w:rsid w:val="00D671E2"/>
    <w:rsid w:val="00D703C1"/>
    <w:rsid w:val="00D70AD0"/>
    <w:rsid w:val="00D71708"/>
    <w:rsid w:val="00D74B9D"/>
    <w:rsid w:val="00D76606"/>
    <w:rsid w:val="00D84135"/>
    <w:rsid w:val="00D8761A"/>
    <w:rsid w:val="00D91275"/>
    <w:rsid w:val="00D922B0"/>
    <w:rsid w:val="00D931ED"/>
    <w:rsid w:val="00D94093"/>
    <w:rsid w:val="00D9792A"/>
    <w:rsid w:val="00DA0E71"/>
    <w:rsid w:val="00DA50C0"/>
    <w:rsid w:val="00DA57F5"/>
    <w:rsid w:val="00DB17D8"/>
    <w:rsid w:val="00DC1AED"/>
    <w:rsid w:val="00DC2C65"/>
    <w:rsid w:val="00DD7C80"/>
    <w:rsid w:val="00DE149D"/>
    <w:rsid w:val="00DE1791"/>
    <w:rsid w:val="00DE182D"/>
    <w:rsid w:val="00DE47AB"/>
    <w:rsid w:val="00DF042A"/>
    <w:rsid w:val="00DF5FCB"/>
    <w:rsid w:val="00DF7945"/>
    <w:rsid w:val="00E0145B"/>
    <w:rsid w:val="00E01585"/>
    <w:rsid w:val="00E03034"/>
    <w:rsid w:val="00E0464C"/>
    <w:rsid w:val="00E10098"/>
    <w:rsid w:val="00E212CF"/>
    <w:rsid w:val="00E23132"/>
    <w:rsid w:val="00E238E7"/>
    <w:rsid w:val="00E24352"/>
    <w:rsid w:val="00E2677E"/>
    <w:rsid w:val="00E2695F"/>
    <w:rsid w:val="00E3232D"/>
    <w:rsid w:val="00E36211"/>
    <w:rsid w:val="00E36F3C"/>
    <w:rsid w:val="00E374D9"/>
    <w:rsid w:val="00E40E48"/>
    <w:rsid w:val="00E449C8"/>
    <w:rsid w:val="00E454A6"/>
    <w:rsid w:val="00E53263"/>
    <w:rsid w:val="00E53801"/>
    <w:rsid w:val="00E5576F"/>
    <w:rsid w:val="00E617C0"/>
    <w:rsid w:val="00E62E4D"/>
    <w:rsid w:val="00E63DAB"/>
    <w:rsid w:val="00E640CC"/>
    <w:rsid w:val="00E6796A"/>
    <w:rsid w:val="00E729B7"/>
    <w:rsid w:val="00E8008D"/>
    <w:rsid w:val="00E87917"/>
    <w:rsid w:val="00E87C48"/>
    <w:rsid w:val="00E9137F"/>
    <w:rsid w:val="00E94949"/>
    <w:rsid w:val="00EA5F73"/>
    <w:rsid w:val="00EA659A"/>
    <w:rsid w:val="00EA746C"/>
    <w:rsid w:val="00EB0059"/>
    <w:rsid w:val="00EB7230"/>
    <w:rsid w:val="00EC1299"/>
    <w:rsid w:val="00EC7F8F"/>
    <w:rsid w:val="00ED1ECD"/>
    <w:rsid w:val="00ED23F9"/>
    <w:rsid w:val="00ED587E"/>
    <w:rsid w:val="00ED5BF9"/>
    <w:rsid w:val="00EE325B"/>
    <w:rsid w:val="00EE6CBB"/>
    <w:rsid w:val="00EF17B5"/>
    <w:rsid w:val="00EF2F76"/>
    <w:rsid w:val="00F016B1"/>
    <w:rsid w:val="00F03B77"/>
    <w:rsid w:val="00F04045"/>
    <w:rsid w:val="00F040E6"/>
    <w:rsid w:val="00F16568"/>
    <w:rsid w:val="00F22024"/>
    <w:rsid w:val="00F223CB"/>
    <w:rsid w:val="00F23516"/>
    <w:rsid w:val="00F25A77"/>
    <w:rsid w:val="00F25AD9"/>
    <w:rsid w:val="00F26153"/>
    <w:rsid w:val="00F37498"/>
    <w:rsid w:val="00F41C9C"/>
    <w:rsid w:val="00F44658"/>
    <w:rsid w:val="00F4623C"/>
    <w:rsid w:val="00F50BF7"/>
    <w:rsid w:val="00F53D5C"/>
    <w:rsid w:val="00F60CB9"/>
    <w:rsid w:val="00F61D64"/>
    <w:rsid w:val="00F623F2"/>
    <w:rsid w:val="00F70EF1"/>
    <w:rsid w:val="00F75D55"/>
    <w:rsid w:val="00F77232"/>
    <w:rsid w:val="00F8490F"/>
    <w:rsid w:val="00F84F41"/>
    <w:rsid w:val="00F8545B"/>
    <w:rsid w:val="00F86260"/>
    <w:rsid w:val="00F92580"/>
    <w:rsid w:val="00F94AA4"/>
    <w:rsid w:val="00F95742"/>
    <w:rsid w:val="00F96DB8"/>
    <w:rsid w:val="00FA32B4"/>
    <w:rsid w:val="00FA403B"/>
    <w:rsid w:val="00FB4EAA"/>
    <w:rsid w:val="00FC25CE"/>
    <w:rsid w:val="00FC31F2"/>
    <w:rsid w:val="00FC4D5A"/>
    <w:rsid w:val="00FC4EB2"/>
    <w:rsid w:val="00FC5E3A"/>
    <w:rsid w:val="00FC7563"/>
    <w:rsid w:val="00FC789A"/>
    <w:rsid w:val="00FD388A"/>
    <w:rsid w:val="00FE239C"/>
    <w:rsid w:val="00FE6525"/>
    <w:rsid w:val="00FE75B6"/>
    <w:rsid w:val="00FF3CF3"/>
    <w:rsid w:val="00FF4A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B63975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E3C3A"/>
    <w:pPr>
      <w:keepNext/>
      <w:numPr>
        <w:numId w:val="1"/>
      </w:numPr>
      <w:contextualSpacing/>
      <w:outlineLvl w:val="0"/>
    </w:pPr>
    <w:rPr>
      <w:rFonts w:ascii="Verdana" w:hAnsi="Verdana"/>
    </w:rPr>
  </w:style>
  <w:style w:type="paragraph" w:styleId="NoteLevel2">
    <w:name w:val="Note Level 2"/>
    <w:basedOn w:val="Normal"/>
    <w:uiPriority w:val="99"/>
    <w:unhideWhenUsed/>
    <w:rsid w:val="004E3C3A"/>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4E3C3A"/>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4E3C3A"/>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4E3C3A"/>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4E3C3A"/>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E3C3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E3C3A"/>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E3C3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E3C3A"/>
    <w:pPr>
      <w:tabs>
        <w:tab w:val="center" w:pos="4320"/>
        <w:tab w:val="right" w:pos="8640"/>
      </w:tabs>
    </w:pPr>
  </w:style>
  <w:style w:type="character" w:customStyle="1" w:styleId="HeaderChar">
    <w:name w:val="Header Char"/>
    <w:basedOn w:val="DefaultParagraphFont"/>
    <w:link w:val="Header"/>
    <w:uiPriority w:val="99"/>
    <w:rsid w:val="004E3C3A"/>
  </w:style>
  <w:style w:type="paragraph" w:styleId="ListParagraph">
    <w:name w:val="List Paragraph"/>
    <w:basedOn w:val="Normal"/>
    <w:uiPriority w:val="34"/>
    <w:qFormat/>
    <w:rsid w:val="006A6373"/>
    <w:pPr>
      <w:spacing w:after="200" w:line="276" w:lineRule="auto"/>
      <w:ind w:left="720"/>
      <w:contextualSpacing/>
    </w:pPr>
    <w:rPr>
      <w:rFonts w:eastAsiaTheme="minorHAnsi"/>
      <w:sz w:val="22"/>
      <w:szCs w:val="22"/>
      <w:lang w:val="en-CA"/>
    </w:rPr>
  </w:style>
  <w:style w:type="character" w:styleId="Strong">
    <w:name w:val="Strong"/>
    <w:basedOn w:val="DefaultParagraphFont"/>
    <w:uiPriority w:val="22"/>
    <w:qFormat/>
    <w:rsid w:val="0050444E"/>
    <w:rPr>
      <w:b/>
      <w:bCs/>
    </w:rPr>
  </w:style>
  <w:style w:type="paragraph" w:styleId="CommentText">
    <w:name w:val="annotation text"/>
    <w:basedOn w:val="Normal"/>
    <w:link w:val="CommentTextChar"/>
    <w:uiPriority w:val="99"/>
    <w:semiHidden/>
    <w:unhideWhenUsed/>
    <w:rsid w:val="006C3EDF"/>
  </w:style>
  <w:style w:type="character" w:customStyle="1" w:styleId="CommentTextChar">
    <w:name w:val="Comment Text Char"/>
    <w:basedOn w:val="DefaultParagraphFont"/>
    <w:link w:val="CommentText"/>
    <w:uiPriority w:val="99"/>
    <w:semiHidden/>
    <w:rsid w:val="006C3EDF"/>
  </w:style>
  <w:style w:type="character" w:styleId="CommentReference">
    <w:name w:val="annotation reference"/>
    <w:basedOn w:val="DefaultParagraphFont"/>
    <w:uiPriority w:val="99"/>
    <w:semiHidden/>
    <w:unhideWhenUsed/>
    <w:rsid w:val="006C3EDF"/>
    <w:rPr>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E3C3A"/>
    <w:pPr>
      <w:keepNext/>
      <w:numPr>
        <w:numId w:val="1"/>
      </w:numPr>
      <w:contextualSpacing/>
      <w:outlineLvl w:val="0"/>
    </w:pPr>
    <w:rPr>
      <w:rFonts w:ascii="Verdana" w:hAnsi="Verdana"/>
    </w:rPr>
  </w:style>
  <w:style w:type="paragraph" w:styleId="NoteLevel2">
    <w:name w:val="Note Level 2"/>
    <w:basedOn w:val="Normal"/>
    <w:uiPriority w:val="99"/>
    <w:unhideWhenUsed/>
    <w:rsid w:val="004E3C3A"/>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4E3C3A"/>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4E3C3A"/>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4E3C3A"/>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4E3C3A"/>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E3C3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E3C3A"/>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E3C3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E3C3A"/>
    <w:pPr>
      <w:tabs>
        <w:tab w:val="center" w:pos="4320"/>
        <w:tab w:val="right" w:pos="8640"/>
      </w:tabs>
    </w:pPr>
  </w:style>
  <w:style w:type="character" w:customStyle="1" w:styleId="HeaderChar">
    <w:name w:val="Header Char"/>
    <w:basedOn w:val="DefaultParagraphFont"/>
    <w:link w:val="Header"/>
    <w:uiPriority w:val="99"/>
    <w:rsid w:val="004E3C3A"/>
  </w:style>
  <w:style w:type="paragraph" w:styleId="ListParagraph">
    <w:name w:val="List Paragraph"/>
    <w:basedOn w:val="Normal"/>
    <w:uiPriority w:val="34"/>
    <w:qFormat/>
    <w:rsid w:val="006A6373"/>
    <w:pPr>
      <w:spacing w:after="200" w:line="276" w:lineRule="auto"/>
      <w:ind w:left="720"/>
      <w:contextualSpacing/>
    </w:pPr>
    <w:rPr>
      <w:rFonts w:eastAsiaTheme="minorHAnsi"/>
      <w:sz w:val="22"/>
      <w:szCs w:val="22"/>
      <w:lang w:val="en-CA"/>
    </w:rPr>
  </w:style>
  <w:style w:type="character" w:styleId="Strong">
    <w:name w:val="Strong"/>
    <w:basedOn w:val="DefaultParagraphFont"/>
    <w:uiPriority w:val="22"/>
    <w:qFormat/>
    <w:rsid w:val="0050444E"/>
    <w:rPr>
      <w:b/>
      <w:bCs/>
    </w:rPr>
  </w:style>
  <w:style w:type="paragraph" w:styleId="CommentText">
    <w:name w:val="annotation text"/>
    <w:basedOn w:val="Normal"/>
    <w:link w:val="CommentTextChar"/>
    <w:uiPriority w:val="99"/>
    <w:semiHidden/>
    <w:unhideWhenUsed/>
    <w:rsid w:val="006C3EDF"/>
  </w:style>
  <w:style w:type="character" w:customStyle="1" w:styleId="CommentTextChar">
    <w:name w:val="Comment Text Char"/>
    <w:basedOn w:val="DefaultParagraphFont"/>
    <w:link w:val="CommentText"/>
    <w:uiPriority w:val="99"/>
    <w:semiHidden/>
    <w:rsid w:val="006C3EDF"/>
  </w:style>
  <w:style w:type="character" w:styleId="CommentReference">
    <w:name w:val="annotation reference"/>
    <w:basedOn w:val="DefaultParagraphFont"/>
    <w:uiPriority w:val="99"/>
    <w:semiHidden/>
    <w:unhideWhenUsed/>
    <w:rsid w:val="006C3ED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3.xml"/><Relationship Id="rId21" Type="http://schemas.openxmlformats.org/officeDocument/2006/relationships/header" Target="header14.xml"/><Relationship Id="rId22" Type="http://schemas.openxmlformats.org/officeDocument/2006/relationships/header" Target="header15.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1020</TotalTime>
  <Pages>4</Pages>
  <Words>13294</Words>
  <Characters>75776</Characters>
  <Application>Microsoft Macintosh Word</Application>
  <DocSecurity>0</DocSecurity>
  <Lines>631</Lines>
  <Paragraphs>177</Paragraphs>
  <ScaleCrop>false</ScaleCrop>
  <Company/>
  <LinksUpToDate>false</LinksUpToDate>
  <CharactersWithSpaces>88893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Leslie Eckland</dc:creator>
  <cp:keywords/>
  <dc:description/>
  <cp:lastModifiedBy>Leslie Eckland</cp:lastModifiedBy>
  <cp:revision>675</cp:revision>
  <dcterms:created xsi:type="dcterms:W3CDTF">2013-09-10T14:00:00Z</dcterms:created>
  <dcterms:modified xsi:type="dcterms:W3CDTF">2014-04-09T17:10:00Z</dcterms:modified>
</cp:coreProperties>
</file>