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766" w:rsidRPr="00A61766" w:rsidRDefault="007874D4" w:rsidP="00A61766">
      <w:pPr>
        <w:jc w:val="center"/>
        <w:rPr>
          <w:b/>
          <w:sz w:val="28"/>
        </w:rPr>
      </w:pPr>
      <w:r>
        <w:rPr>
          <w:b/>
          <w:sz w:val="28"/>
        </w:rPr>
        <w:t xml:space="preserve">SAMPLE </w:t>
      </w:r>
      <w:bookmarkStart w:id="0" w:name="_GoBack"/>
      <w:bookmarkEnd w:id="0"/>
      <w:r w:rsidR="000B6400">
        <w:rPr>
          <w:b/>
          <w:sz w:val="28"/>
        </w:rPr>
        <w:t>FINAL EXAM</w:t>
      </w:r>
      <w:r w:rsidR="00A61766" w:rsidRPr="00A61766">
        <w:rPr>
          <w:b/>
          <w:sz w:val="28"/>
        </w:rPr>
        <w:t xml:space="preserve"> FORMULA SHEET</w:t>
      </w:r>
    </w:p>
    <w:p w:rsidR="00A61766" w:rsidRPr="00F85265" w:rsidRDefault="005B0659" w:rsidP="00F85265">
      <w:pPr>
        <w:spacing w:after="0"/>
        <w:rPr>
          <w:rFonts w:ascii="Century Gothic" w:hAnsi="Century Gothic"/>
          <w:b/>
          <w:sz w:val="20"/>
          <w:u w:val="single"/>
        </w:rPr>
      </w:pPr>
      <w:r w:rsidRPr="00F85265">
        <w:rPr>
          <w:rFonts w:ascii="Century Gothic" w:hAnsi="Century Gothic"/>
          <w:b/>
          <w:sz w:val="20"/>
          <w:u w:val="single"/>
        </w:rPr>
        <w:t>Interest rates:</w:t>
      </w:r>
    </w:p>
    <w:p w:rsidR="004746F1" w:rsidRDefault="004746F1" w:rsidP="005B065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A61766" w:rsidRPr="00A61766" w:rsidRDefault="00A61766" w:rsidP="005B0659">
      <w:pPr>
        <w:spacing w:after="0"/>
        <w:rPr>
          <w:rFonts w:ascii="Times New Roman" w:hAnsi="Times New Roman" w:cs="Times New Roman"/>
          <w:b/>
        </w:rPr>
      </w:pPr>
      <w:r w:rsidRPr="004746F1">
        <w:rPr>
          <w:rFonts w:ascii="Times New Roman" w:hAnsi="Times New Roman" w:cs="Times New Roman"/>
          <w:b/>
          <w:sz w:val="26"/>
          <w:szCs w:val="26"/>
        </w:rPr>
        <w:t>EAR =</w:t>
      </w:r>
      <w:r w:rsidR="004746F1" w:rsidRPr="004746F1">
        <w:rPr>
          <w:rFonts w:ascii="Times New Roman" w:hAnsi="Times New Roman" w:cs="Times New Roman"/>
          <w:b/>
          <w:sz w:val="26"/>
          <w:szCs w:val="26"/>
        </w:rPr>
        <w:t xml:space="preserve"> (1+ </w:t>
      </w:r>
      <w:r w:rsidR="004746F1" w:rsidRPr="004746F1">
        <w:rPr>
          <w:rFonts w:ascii="Times New Roman" w:hAnsi="Times New Roman" w:cs="Times New Roman"/>
          <w:b/>
          <w:i/>
          <w:sz w:val="26"/>
          <w:szCs w:val="26"/>
        </w:rPr>
        <w:t>QR</w:t>
      </w:r>
      <w:r w:rsidR="004746F1" w:rsidRPr="004746F1">
        <w:rPr>
          <w:rFonts w:ascii="Times New Roman" w:hAnsi="Times New Roman" w:cs="Times New Roman"/>
          <w:b/>
          <w:sz w:val="26"/>
          <w:szCs w:val="26"/>
        </w:rPr>
        <w:t>/</w:t>
      </w:r>
      <w:r w:rsidR="004746F1" w:rsidRPr="004746F1">
        <w:rPr>
          <w:rFonts w:ascii="Times New Roman" w:hAnsi="Times New Roman" w:cs="Times New Roman"/>
          <w:b/>
          <w:i/>
          <w:sz w:val="26"/>
          <w:szCs w:val="26"/>
        </w:rPr>
        <w:t>m</w:t>
      </w:r>
      <w:proofErr w:type="gramStart"/>
      <w:r w:rsidR="004746F1" w:rsidRPr="004746F1">
        <w:rPr>
          <w:rFonts w:ascii="Times New Roman" w:hAnsi="Times New Roman" w:cs="Times New Roman"/>
          <w:b/>
          <w:sz w:val="26"/>
          <w:szCs w:val="26"/>
        </w:rPr>
        <w:t>)</w:t>
      </w:r>
      <w:r w:rsidR="004746F1" w:rsidRPr="004746F1">
        <w:rPr>
          <w:rFonts w:ascii="Times New Roman" w:hAnsi="Times New Roman" w:cs="Times New Roman"/>
          <w:b/>
          <w:i/>
          <w:sz w:val="26"/>
          <w:szCs w:val="26"/>
          <w:vertAlign w:val="superscript"/>
        </w:rPr>
        <w:t>m</w:t>
      </w:r>
      <w:proofErr w:type="gramEnd"/>
      <w:r w:rsidR="004746F1" w:rsidRPr="004746F1">
        <w:rPr>
          <w:rFonts w:ascii="Times New Roman" w:hAnsi="Times New Roman" w:cs="Times New Roman"/>
          <w:b/>
          <w:sz w:val="26"/>
          <w:szCs w:val="26"/>
        </w:rPr>
        <w:t xml:space="preserve"> - 1</w:t>
      </w:r>
      <w:r w:rsidRPr="004746F1">
        <w:rPr>
          <w:rFonts w:ascii="Times New Roman" w:hAnsi="Times New Roman" w:cs="Times New Roman"/>
          <w:b/>
          <w:sz w:val="26"/>
          <w:szCs w:val="26"/>
        </w:rPr>
        <w:tab/>
      </w:r>
      <w:r w:rsidRPr="004746F1">
        <w:rPr>
          <w:rFonts w:ascii="Times New Roman" w:hAnsi="Times New Roman" w:cs="Times New Roman"/>
          <w:b/>
          <w:sz w:val="26"/>
          <w:szCs w:val="26"/>
        </w:rPr>
        <w:tab/>
      </w:r>
      <w:r w:rsidR="004746F1" w:rsidRPr="004746F1">
        <w:rPr>
          <w:rFonts w:ascii="Times New Roman" w:hAnsi="Times New Roman" w:cs="Times New Roman"/>
          <w:b/>
          <w:sz w:val="26"/>
          <w:szCs w:val="26"/>
        </w:rPr>
        <w:t>k = (1+EAR)</w:t>
      </w:r>
      <w:r w:rsidR="004746F1" w:rsidRPr="004746F1">
        <w:rPr>
          <w:rFonts w:ascii="Times New Roman" w:hAnsi="Times New Roman" w:cs="Times New Roman"/>
          <w:b/>
          <w:sz w:val="26"/>
          <w:szCs w:val="26"/>
          <w:vertAlign w:val="superscript"/>
        </w:rPr>
        <w:t>1/</w:t>
      </w:r>
      <w:r w:rsidR="004746F1" w:rsidRPr="004746F1">
        <w:rPr>
          <w:rFonts w:ascii="Times New Roman" w:hAnsi="Times New Roman" w:cs="Times New Roman"/>
          <w:b/>
          <w:i/>
          <w:sz w:val="26"/>
          <w:szCs w:val="26"/>
          <w:vertAlign w:val="superscript"/>
        </w:rPr>
        <w:t>f</w:t>
      </w:r>
      <w:r w:rsidR="004746F1" w:rsidRPr="004746F1">
        <w:rPr>
          <w:rFonts w:ascii="Times New Roman" w:hAnsi="Times New Roman" w:cs="Times New Roman"/>
          <w:b/>
          <w:sz w:val="26"/>
          <w:szCs w:val="26"/>
        </w:rPr>
        <w:t xml:space="preserve"> - 1</w:t>
      </w:r>
      <w:r w:rsidRPr="004746F1">
        <w:rPr>
          <w:sz w:val="28"/>
        </w:rPr>
        <w:t xml:space="preserve">      </w:t>
      </w:r>
      <w:r w:rsidR="004746F1" w:rsidRPr="004746F1">
        <w:rPr>
          <w:sz w:val="28"/>
        </w:rPr>
        <w:t xml:space="preserve"> </w:t>
      </w:r>
      <w:r w:rsidR="001C42B3">
        <w:rPr>
          <w:sz w:val="28"/>
        </w:rPr>
        <w:t xml:space="preserve">          </w:t>
      </w:r>
      <w:r w:rsidR="004746F1" w:rsidRPr="004746F1">
        <w:rPr>
          <w:sz w:val="28"/>
        </w:rPr>
        <w:t xml:space="preserve"> </w:t>
      </w:r>
      <w:r w:rsidRPr="00A61766">
        <w:rPr>
          <w:rFonts w:ascii="Times New Roman" w:hAnsi="Times New Roman" w:cs="Times New Roman"/>
          <w:b/>
          <w:sz w:val="26"/>
          <w:szCs w:val="26"/>
        </w:rPr>
        <w:t xml:space="preserve">k = (1 + </w:t>
      </w:r>
      <w:r w:rsidRPr="00A61766">
        <w:rPr>
          <w:rFonts w:ascii="Times New Roman" w:hAnsi="Times New Roman" w:cs="Times New Roman"/>
          <w:b/>
          <w:i/>
          <w:sz w:val="26"/>
          <w:szCs w:val="26"/>
        </w:rPr>
        <w:t>QR/m</w:t>
      </w:r>
      <w:r w:rsidRPr="00A61766">
        <w:rPr>
          <w:rFonts w:ascii="Times New Roman" w:hAnsi="Times New Roman" w:cs="Times New Roman"/>
          <w:b/>
          <w:sz w:val="26"/>
          <w:szCs w:val="26"/>
        </w:rPr>
        <w:t>)</w:t>
      </w:r>
      <w:r w:rsidRPr="00A61766">
        <w:rPr>
          <w:rFonts w:ascii="Times New Roman" w:hAnsi="Times New Roman" w:cs="Times New Roman"/>
          <w:b/>
          <w:i/>
          <w:sz w:val="26"/>
          <w:szCs w:val="26"/>
          <w:vertAlign w:val="superscript"/>
        </w:rPr>
        <w:t>m</w:t>
      </w:r>
      <w:r>
        <w:rPr>
          <w:rFonts w:ascii="Times New Roman" w:hAnsi="Times New Roman" w:cs="Times New Roman"/>
          <w:b/>
          <w:i/>
          <w:sz w:val="26"/>
          <w:szCs w:val="26"/>
          <w:vertAlign w:val="superscript"/>
        </w:rPr>
        <w:t xml:space="preserve"> </w:t>
      </w:r>
      <w:r w:rsidRPr="00A61766">
        <w:rPr>
          <w:rFonts w:ascii="Times New Roman" w:hAnsi="Times New Roman" w:cs="Times New Roman"/>
          <w:b/>
          <w:i/>
          <w:sz w:val="26"/>
          <w:szCs w:val="26"/>
          <w:vertAlign w:val="superscript"/>
        </w:rPr>
        <w:t>/</w:t>
      </w:r>
      <w:r>
        <w:rPr>
          <w:rFonts w:ascii="Times New Roman" w:hAnsi="Times New Roman" w:cs="Times New Roman"/>
          <w:b/>
          <w:i/>
          <w:sz w:val="26"/>
          <w:szCs w:val="26"/>
          <w:vertAlign w:val="superscript"/>
        </w:rPr>
        <w:t xml:space="preserve"> </w:t>
      </w:r>
      <w:r w:rsidRPr="00A61766">
        <w:rPr>
          <w:rFonts w:ascii="Times New Roman" w:hAnsi="Times New Roman" w:cs="Times New Roman"/>
          <w:b/>
          <w:i/>
          <w:sz w:val="26"/>
          <w:szCs w:val="26"/>
          <w:vertAlign w:val="superscript"/>
        </w:rPr>
        <w:t>f</w:t>
      </w:r>
      <w:r w:rsidRPr="00A61766">
        <w:rPr>
          <w:rFonts w:ascii="Times New Roman" w:hAnsi="Times New Roman" w:cs="Times New Roman"/>
          <w:b/>
          <w:sz w:val="26"/>
          <w:szCs w:val="26"/>
        </w:rPr>
        <w:t xml:space="preserve">  - 1</w:t>
      </w:r>
      <w:r w:rsidRPr="00A61766">
        <w:rPr>
          <w:rFonts w:ascii="Times New Roman" w:hAnsi="Times New Roman" w:cs="Times New Roman"/>
          <w:b/>
          <w:sz w:val="28"/>
        </w:rPr>
        <w:t xml:space="preserve"> </w:t>
      </w:r>
    </w:p>
    <w:p w:rsidR="004746F1" w:rsidRDefault="004746F1" w:rsidP="004746F1">
      <w:pPr>
        <w:spacing w:after="0"/>
      </w:pPr>
    </w:p>
    <w:p w:rsidR="00A61766" w:rsidRDefault="00A61766" w:rsidP="004746F1">
      <w:pPr>
        <w:spacing w:after="0"/>
      </w:pPr>
      <w:r>
        <w:t xml:space="preserve">1 + Nominal </w:t>
      </w:r>
      <w:proofErr w:type="gramStart"/>
      <w:r>
        <w:t>rate  =</w:t>
      </w:r>
      <w:proofErr w:type="gramEnd"/>
      <w:r>
        <w:t xml:space="preserve">  (1 + Real rate) ( 1 + inflation)</w:t>
      </w:r>
      <w:r w:rsidR="004746F1">
        <w:tab/>
      </w:r>
    </w:p>
    <w:p w:rsidR="005B0659" w:rsidRPr="007905DF" w:rsidRDefault="005B0659" w:rsidP="005B0659">
      <w:pPr>
        <w:spacing w:after="0"/>
        <w:rPr>
          <w:rFonts w:ascii="Century Gothic" w:hAnsi="Century Gothic"/>
          <w:b/>
          <w:sz w:val="20"/>
          <w:u w:val="single"/>
        </w:rPr>
      </w:pPr>
    </w:p>
    <w:p w:rsidR="005B0659" w:rsidRPr="007905DF" w:rsidRDefault="005B0659" w:rsidP="005B0659">
      <w:pPr>
        <w:spacing w:after="0"/>
        <w:rPr>
          <w:rFonts w:ascii="Century Gothic" w:hAnsi="Century Gothic"/>
          <w:b/>
          <w:sz w:val="20"/>
          <w:u w:val="single"/>
        </w:rPr>
      </w:pPr>
      <w:r w:rsidRPr="007905DF">
        <w:rPr>
          <w:rFonts w:ascii="Century Gothic" w:hAnsi="Century Gothic"/>
          <w:b/>
          <w:sz w:val="20"/>
          <w:u w:val="single"/>
        </w:rPr>
        <w:t>Time value of money:</w:t>
      </w:r>
    </w:p>
    <w:p w:rsidR="00F310C7" w:rsidRDefault="00A61766">
      <w:r>
        <w:t xml:space="preserve">FV = </w:t>
      </w:r>
      <w:r>
        <w:rPr>
          <w:position w:val="-9"/>
        </w:rPr>
        <w:object w:dxaOrig="21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.75pt;height:18.75pt" o:ole="" filled="t">
            <v:fill color2="black"/>
            <v:imagedata r:id="rId6" o:title=""/>
          </v:shape>
          <o:OLEObject Type="Embed" ProgID="Equation.3" ShapeID="_x0000_i1025" DrawAspect="Content" ObjectID="_1451832879" r:id="rId7"/>
        </w:object>
      </w:r>
      <w:r>
        <w:tab/>
      </w:r>
      <w:r>
        <w:tab/>
        <w:t xml:space="preserve">PV = </w:t>
      </w:r>
      <w:r>
        <w:rPr>
          <w:position w:val="-23"/>
        </w:rPr>
        <w:object w:dxaOrig="1359" w:dyaOrig="660">
          <v:shape id="_x0000_i1026" type="#_x0000_t75" style="width:84.75pt;height:33pt" o:ole="" filled="t">
            <v:fill color2="black"/>
            <v:imagedata r:id="rId8" o:title=""/>
          </v:shape>
          <o:OLEObject Type="Embed" ProgID="Equation.3" ShapeID="_x0000_i1026" DrawAspect="Content" ObjectID="_1451832880" r:id="rId9"/>
        </w:object>
      </w:r>
    </w:p>
    <w:p w:rsidR="00A61766" w:rsidRDefault="00A61766">
      <w:r>
        <w:t xml:space="preserve">PV of a perpetuity =  </w:t>
      </w:r>
      <w:r>
        <w:rPr>
          <w:position w:val="-21"/>
        </w:rPr>
        <w:object w:dxaOrig="279" w:dyaOrig="639">
          <v:shape id="_x0000_i1027" type="#_x0000_t75" style="width:14.25pt;height:32.25pt" o:ole="" filled="t">
            <v:fill color2="black"/>
            <v:imagedata r:id="rId10" o:title=""/>
          </v:shape>
          <o:OLEObject Type="Embed" ProgID="Equation.3" ShapeID="_x0000_i1027" DrawAspect="Content" ObjectID="_1451832881" r:id="rId11"/>
        </w:object>
      </w:r>
      <w:r>
        <w:tab/>
      </w:r>
      <w:r>
        <w:tab/>
        <w:t xml:space="preserve">PV of a growing perpetuity = </w:t>
      </w:r>
      <w:r>
        <w:rPr>
          <w:position w:val="-24"/>
        </w:rPr>
        <w:object w:dxaOrig="580" w:dyaOrig="680">
          <v:shape id="_x0000_i1028" type="#_x0000_t75" style="width:29.25pt;height:33.75pt" o:ole="" filled="t">
            <v:fill color2="black"/>
            <v:imagedata r:id="rId12" o:title=""/>
          </v:shape>
          <o:OLEObject Type="Embed" ProgID="Equation.3" ShapeID="_x0000_i1028" DrawAspect="Content" ObjectID="_1451832882" r:id="rId13"/>
        </w:object>
      </w:r>
    </w:p>
    <w:p w:rsidR="00A61766" w:rsidRDefault="00A61766">
      <w:r>
        <w:t xml:space="preserve">PV of annuity = </w:t>
      </w:r>
      <w:r w:rsidRPr="00751777">
        <w:rPr>
          <w:position w:val="-32"/>
        </w:rPr>
        <w:object w:dxaOrig="1700" w:dyaOrig="760">
          <v:shape id="_x0000_i1029" type="#_x0000_t75" style="width:84.75pt;height:38.25pt" o:ole="" filled="t">
            <v:fill color2="black"/>
            <v:imagedata r:id="rId14" o:title=""/>
          </v:shape>
          <o:OLEObject Type="Embed" ProgID="Equation.3" ShapeID="_x0000_i1029" DrawAspect="Content" ObjectID="_1451832883" r:id="rId15"/>
        </w:object>
      </w:r>
      <w:r>
        <w:t xml:space="preserve">   = </w:t>
      </w:r>
      <w:r w:rsidRPr="00751777">
        <w:rPr>
          <w:position w:val="-32"/>
        </w:rPr>
        <w:object w:dxaOrig="1740" w:dyaOrig="760">
          <v:shape id="_x0000_i1030" type="#_x0000_t75" style="width:87pt;height:38.25pt" o:ole="" filled="t">
            <v:fill color2="black"/>
            <v:imagedata r:id="rId16" o:title=""/>
          </v:shape>
          <o:OLEObject Type="Embed" ProgID="Equation.3" ShapeID="_x0000_i1030" DrawAspect="Content" ObjectID="_1451832884" r:id="rId17"/>
        </w:object>
      </w:r>
      <w:r>
        <w:t xml:space="preserve">            FV of annuity = </w:t>
      </w:r>
      <w:r>
        <w:rPr>
          <w:position w:val="-28"/>
        </w:rPr>
        <w:object w:dxaOrig="1740" w:dyaOrig="760">
          <v:shape id="_x0000_i1031" type="#_x0000_t75" style="width:87pt;height:38.25pt" o:ole="" filled="t">
            <v:fill color2="black"/>
            <v:imagedata r:id="rId18" o:title=""/>
          </v:shape>
          <o:OLEObject Type="Embed" ProgID="Equation.3" ShapeID="_x0000_i1031" DrawAspect="Content" ObjectID="_1451832885" r:id="rId19"/>
        </w:object>
      </w:r>
    </w:p>
    <w:p w:rsidR="00A61766" w:rsidRDefault="00A61766">
      <w:r>
        <w:t xml:space="preserve">PV of growing annuity = </w:t>
      </w:r>
      <w:r>
        <w:rPr>
          <w:position w:val="-32"/>
        </w:rPr>
        <w:object w:dxaOrig="2160" w:dyaOrig="840">
          <v:shape id="_x0000_i1032" type="#_x0000_t75" style="width:108pt;height:42pt" o:ole="" filled="t">
            <v:fill color2="black"/>
            <v:imagedata r:id="rId20" o:title=""/>
          </v:shape>
          <o:OLEObject Type="Embed" ProgID="Equation.3" ShapeID="_x0000_i1032" DrawAspect="Content" ObjectID="_1451832886" r:id="rId21"/>
        </w:object>
      </w:r>
    </w:p>
    <w:p w:rsidR="005B0659" w:rsidRPr="007905DF" w:rsidRDefault="005B0659" w:rsidP="005B0659">
      <w:pPr>
        <w:spacing w:after="0"/>
        <w:rPr>
          <w:rFonts w:ascii="Century Gothic" w:hAnsi="Century Gothic"/>
          <w:b/>
          <w:sz w:val="20"/>
          <w:u w:val="single"/>
        </w:rPr>
      </w:pPr>
    </w:p>
    <w:p w:rsidR="00A61766" w:rsidRPr="007905DF" w:rsidRDefault="005B0659" w:rsidP="005B0659">
      <w:pPr>
        <w:spacing w:after="0"/>
        <w:rPr>
          <w:rFonts w:ascii="Century Gothic" w:hAnsi="Century Gothic"/>
          <w:b/>
          <w:sz w:val="20"/>
          <w:u w:val="single"/>
        </w:rPr>
      </w:pPr>
      <w:r w:rsidRPr="007905DF">
        <w:rPr>
          <w:rFonts w:ascii="Century Gothic" w:hAnsi="Century Gothic"/>
          <w:b/>
          <w:sz w:val="20"/>
          <w:u w:val="single"/>
        </w:rPr>
        <w:t>Bond valuation:</w:t>
      </w:r>
    </w:p>
    <w:p w:rsidR="00A61766" w:rsidRDefault="00A61766">
      <w:r>
        <w:t xml:space="preserve">Price of a Bond = </w:t>
      </w:r>
      <w:r>
        <w:rPr>
          <w:position w:val="-28"/>
        </w:rPr>
        <w:object w:dxaOrig="3300" w:dyaOrig="760">
          <v:shape id="_x0000_i1033" type="#_x0000_t75" style="width:165pt;height:38.25pt" o:ole="" filled="t">
            <v:fill color2="black"/>
            <v:imagedata r:id="rId22" o:title=""/>
          </v:shape>
          <o:OLEObject Type="Embed" ProgID="Equation.3" ShapeID="_x0000_i1033" DrawAspect="Content" ObjectID="_1451832887" r:id="rId23"/>
        </w:object>
      </w:r>
      <w:r>
        <w:t xml:space="preserve">   =    </w:t>
      </w:r>
      <w:r w:rsidRPr="00751777">
        <w:rPr>
          <w:position w:val="-32"/>
        </w:rPr>
        <w:object w:dxaOrig="1700" w:dyaOrig="760">
          <v:shape id="_x0000_i1034" type="#_x0000_t75" style="width:84.75pt;height:38.25pt" o:ole="" filled="t">
            <v:fill color2="black"/>
            <v:imagedata r:id="rId14" o:title=""/>
          </v:shape>
          <o:OLEObject Type="Embed" ProgID="Equation.3" ShapeID="_x0000_i1034" DrawAspect="Content" ObjectID="_1451832888" r:id="rId24"/>
        </w:object>
      </w:r>
      <w:r>
        <w:t xml:space="preserve">   +  </w:t>
      </w:r>
      <w:r>
        <w:rPr>
          <w:position w:val="-23"/>
        </w:rPr>
        <w:object w:dxaOrig="1359" w:dyaOrig="660">
          <v:shape id="_x0000_i1035" type="#_x0000_t75" style="width:84.75pt;height:33pt" o:ole="" filled="t">
            <v:fill color2="black"/>
            <v:imagedata r:id="rId8" o:title=""/>
          </v:shape>
          <o:OLEObject Type="Embed" ProgID="Equation.3" ShapeID="_x0000_i1035" DrawAspect="Content" ObjectID="_1451832889" r:id="rId25"/>
        </w:object>
      </w:r>
    </w:p>
    <w:p w:rsidR="00A61766" w:rsidRDefault="00A61766">
      <w:pPr>
        <w:rPr>
          <w:rFonts w:ascii="Times New Roman" w:hAnsi="Times New Roman" w:cs="Times New Roman"/>
          <w:b/>
          <w:i/>
          <w:sz w:val="26"/>
          <w:szCs w:val="26"/>
          <w:vertAlign w:val="superscript"/>
        </w:rPr>
      </w:pPr>
      <w:r>
        <w:t xml:space="preserve">If </w:t>
      </w:r>
      <w:r>
        <w:rPr>
          <w:i/>
        </w:rPr>
        <w:t>f</w:t>
      </w:r>
      <w:r>
        <w:t xml:space="preserve"> is the </w:t>
      </w:r>
      <w:r>
        <w:rPr>
          <w:i/>
        </w:rPr>
        <w:t>m</w:t>
      </w:r>
      <w:r>
        <w:t xml:space="preserve">-year forward rate in </w:t>
      </w:r>
      <w:r>
        <w:rPr>
          <w:i/>
        </w:rPr>
        <w:t>n</w:t>
      </w:r>
      <w:r>
        <w:t xml:space="preserve"> years, then:  </w:t>
      </w:r>
      <w:r w:rsidRPr="00A61766">
        <w:rPr>
          <w:rFonts w:ascii="Times New Roman" w:hAnsi="Times New Roman" w:cs="Times New Roman"/>
          <w:b/>
          <w:sz w:val="26"/>
          <w:szCs w:val="26"/>
        </w:rPr>
        <w:t xml:space="preserve">(1 + </w:t>
      </w:r>
      <w:proofErr w:type="spellStart"/>
      <w:r w:rsidRPr="00A61766">
        <w:rPr>
          <w:rFonts w:ascii="Times New Roman" w:hAnsi="Times New Roman" w:cs="Times New Roman"/>
          <w:b/>
          <w:i/>
          <w:sz w:val="26"/>
          <w:szCs w:val="26"/>
        </w:rPr>
        <w:t>r</w:t>
      </w:r>
      <w:r w:rsidRPr="00A61766">
        <w:rPr>
          <w:rFonts w:ascii="Times New Roman" w:hAnsi="Times New Roman" w:cs="Times New Roman"/>
          <w:b/>
          <w:i/>
          <w:sz w:val="26"/>
          <w:szCs w:val="26"/>
          <w:vertAlign w:val="subscript"/>
        </w:rPr>
        <w:t>n</w:t>
      </w:r>
      <w:proofErr w:type="spellEnd"/>
      <w:proofErr w:type="gramStart"/>
      <w:r w:rsidRPr="00A61766">
        <w:rPr>
          <w:rFonts w:ascii="Times New Roman" w:hAnsi="Times New Roman" w:cs="Times New Roman"/>
          <w:b/>
          <w:sz w:val="26"/>
          <w:szCs w:val="26"/>
        </w:rPr>
        <w:t>)</w:t>
      </w:r>
      <w:r w:rsidRPr="00A61766">
        <w:rPr>
          <w:rFonts w:ascii="Times New Roman" w:hAnsi="Times New Roman" w:cs="Times New Roman"/>
          <w:b/>
          <w:i/>
          <w:sz w:val="26"/>
          <w:szCs w:val="26"/>
          <w:vertAlign w:val="superscript"/>
        </w:rPr>
        <w:t>n</w:t>
      </w:r>
      <w:proofErr w:type="gramEnd"/>
      <w:r w:rsidRPr="00A61766">
        <w:rPr>
          <w:rFonts w:ascii="Times New Roman" w:hAnsi="Times New Roman" w:cs="Times New Roman"/>
          <w:b/>
          <w:sz w:val="26"/>
          <w:szCs w:val="26"/>
        </w:rPr>
        <w:t xml:space="preserve">(1 + </w:t>
      </w:r>
      <w:r w:rsidRPr="00A61766">
        <w:rPr>
          <w:rFonts w:ascii="Times New Roman" w:hAnsi="Times New Roman" w:cs="Times New Roman"/>
          <w:b/>
          <w:i/>
          <w:sz w:val="26"/>
          <w:szCs w:val="26"/>
        </w:rPr>
        <w:t>f</w:t>
      </w:r>
      <w:r w:rsidRPr="00A61766">
        <w:rPr>
          <w:rFonts w:ascii="Times New Roman" w:hAnsi="Times New Roman" w:cs="Times New Roman"/>
          <w:b/>
          <w:sz w:val="26"/>
          <w:szCs w:val="26"/>
        </w:rPr>
        <w:t>)</w:t>
      </w:r>
      <w:r w:rsidRPr="00A61766">
        <w:rPr>
          <w:rFonts w:ascii="Times New Roman" w:hAnsi="Times New Roman" w:cs="Times New Roman"/>
          <w:b/>
          <w:sz w:val="26"/>
          <w:szCs w:val="26"/>
          <w:vertAlign w:val="superscript"/>
        </w:rPr>
        <w:t>m</w:t>
      </w:r>
      <w:r w:rsidRPr="00A61766">
        <w:rPr>
          <w:rFonts w:ascii="Times New Roman" w:hAnsi="Times New Roman" w:cs="Times New Roman"/>
          <w:b/>
          <w:sz w:val="26"/>
          <w:szCs w:val="26"/>
        </w:rPr>
        <w:t xml:space="preserve"> = (1 + </w:t>
      </w:r>
      <w:proofErr w:type="spellStart"/>
      <w:r w:rsidRPr="00A61766">
        <w:rPr>
          <w:rFonts w:ascii="Times New Roman" w:hAnsi="Times New Roman" w:cs="Times New Roman"/>
          <w:b/>
          <w:i/>
          <w:sz w:val="26"/>
          <w:szCs w:val="26"/>
        </w:rPr>
        <w:t>r</w:t>
      </w:r>
      <w:r w:rsidRPr="00A61766">
        <w:rPr>
          <w:rFonts w:ascii="Times New Roman" w:hAnsi="Times New Roman" w:cs="Times New Roman"/>
          <w:b/>
          <w:i/>
          <w:sz w:val="26"/>
          <w:szCs w:val="26"/>
          <w:vertAlign w:val="subscript"/>
        </w:rPr>
        <w:t>m</w:t>
      </w:r>
      <w:proofErr w:type="spellEnd"/>
      <w:r w:rsidRPr="00A61766">
        <w:rPr>
          <w:rFonts w:ascii="Times New Roman" w:hAnsi="Times New Roman" w:cs="Times New Roman"/>
          <w:b/>
          <w:i/>
          <w:sz w:val="26"/>
          <w:szCs w:val="26"/>
          <w:vertAlign w:val="subscript"/>
        </w:rPr>
        <w:t xml:space="preserve"> + n</w:t>
      </w:r>
      <w:r w:rsidRPr="00A61766">
        <w:rPr>
          <w:rFonts w:ascii="Times New Roman" w:hAnsi="Times New Roman" w:cs="Times New Roman"/>
          <w:b/>
          <w:sz w:val="26"/>
          <w:szCs w:val="26"/>
        </w:rPr>
        <w:t>)</w:t>
      </w:r>
      <w:r w:rsidRPr="00A61766">
        <w:rPr>
          <w:rFonts w:ascii="Times New Roman" w:hAnsi="Times New Roman" w:cs="Times New Roman"/>
          <w:b/>
          <w:i/>
          <w:sz w:val="26"/>
          <w:szCs w:val="26"/>
          <w:vertAlign w:val="superscript"/>
        </w:rPr>
        <w:t>m + n</w:t>
      </w:r>
    </w:p>
    <w:p w:rsidR="005B0659" w:rsidRDefault="005B0659" w:rsidP="005B0659">
      <w:pPr>
        <w:spacing w:after="0"/>
        <w:rPr>
          <w:rFonts w:ascii="Century Gothic" w:hAnsi="Century Gothic"/>
          <w:sz w:val="20"/>
          <w:u w:val="single"/>
        </w:rPr>
      </w:pPr>
    </w:p>
    <w:p w:rsidR="005B0659" w:rsidRDefault="005B0659" w:rsidP="005B0659">
      <w:pPr>
        <w:spacing w:after="0"/>
        <w:rPr>
          <w:rFonts w:ascii="Century Gothic" w:hAnsi="Century Gothic"/>
          <w:b/>
          <w:sz w:val="20"/>
          <w:u w:val="single"/>
        </w:rPr>
      </w:pPr>
      <w:bookmarkStart w:id="1" w:name="OLE_LINK1"/>
      <w:bookmarkStart w:id="2" w:name="OLE_LINK2"/>
      <w:r w:rsidRPr="007905DF">
        <w:rPr>
          <w:rFonts w:ascii="Century Gothic" w:hAnsi="Century Gothic"/>
          <w:b/>
          <w:sz w:val="20"/>
          <w:u w:val="single"/>
        </w:rPr>
        <w:t>Dividend discount model:</w:t>
      </w:r>
    </w:p>
    <w:p w:rsidR="00F85265" w:rsidRPr="007905DF" w:rsidRDefault="00F85265" w:rsidP="005B0659">
      <w:pPr>
        <w:spacing w:after="0"/>
        <w:rPr>
          <w:rFonts w:ascii="Century Gothic" w:hAnsi="Century Gothic"/>
          <w:b/>
          <w:sz w:val="20"/>
          <w:u w:val="single"/>
        </w:rPr>
      </w:pPr>
    </w:p>
    <w:p w:rsidR="00A61766" w:rsidRPr="00DC31BD" w:rsidRDefault="00A61766" w:rsidP="000B6400">
      <w:pPr>
        <w:spacing w:after="0"/>
        <w:rPr>
          <w:b/>
        </w:rPr>
      </w:pPr>
      <w:r>
        <w:t xml:space="preserve">Price of a share = </w:t>
      </w:r>
      <w:r>
        <w:rPr>
          <w:position w:val="-25"/>
        </w:rPr>
        <w:object w:dxaOrig="4599" w:dyaOrig="700">
          <v:shape id="_x0000_i1036" type="#_x0000_t75" style="width:230.25pt;height:35.25pt" o:ole="" filled="t">
            <v:fill color2="black"/>
            <v:imagedata r:id="rId26" o:title=""/>
          </v:shape>
          <o:OLEObject Type="Embed" ProgID="Equation.3" ShapeID="_x0000_i1036" DrawAspect="Content" ObjectID="_1451832890" r:id="rId27"/>
        </w:object>
      </w:r>
      <w:r>
        <w:t xml:space="preserve">  </w:t>
      </w:r>
      <w:r>
        <w:tab/>
      </w:r>
      <w:r>
        <w:tab/>
      </w:r>
      <w:r w:rsidRPr="00DC31BD">
        <w:rPr>
          <w:b/>
        </w:rPr>
        <w:t>g = ROE x b</w:t>
      </w:r>
    </w:p>
    <w:p w:rsidR="000B6400" w:rsidRDefault="000B6400" w:rsidP="000B6400">
      <w:pPr>
        <w:spacing w:after="0" w:line="360" w:lineRule="auto"/>
        <w:jc w:val="both"/>
      </w:pPr>
      <w:r w:rsidRPr="000B6400">
        <w:t>No-Growth Dividend Discount Model:</w:t>
      </w:r>
      <w:r>
        <w:t xml:space="preserve"> </w:t>
      </w:r>
      <w:r>
        <w:rPr>
          <w:position w:val="-24"/>
        </w:rPr>
        <w:object w:dxaOrig="1140" w:dyaOrig="639">
          <v:shape id="_x0000_i1037" type="#_x0000_t75" style="width:57pt;height:32.25pt" o:ole="">
            <v:imagedata r:id="rId28" o:title=""/>
          </v:shape>
          <o:OLEObject Type="Embed" ProgID="Equation.3" ShapeID="_x0000_i1037" DrawAspect="Content" ObjectID="_1451832891" r:id="rId29"/>
        </w:object>
      </w:r>
    </w:p>
    <w:p w:rsidR="000B6400" w:rsidRDefault="000B6400" w:rsidP="000B6400">
      <w:pPr>
        <w:spacing w:after="0" w:line="360" w:lineRule="auto"/>
        <w:jc w:val="both"/>
      </w:pPr>
      <w:r w:rsidRPr="000B6400">
        <w:t>Constant-Growth Dividend Discount Model</w:t>
      </w:r>
      <w:r>
        <w:t xml:space="preserve">: </w:t>
      </w:r>
      <w:r>
        <w:rPr>
          <w:position w:val="-28"/>
        </w:rPr>
        <w:object w:dxaOrig="1300" w:dyaOrig="680">
          <v:shape id="_x0000_i1038" type="#_x0000_t75" style="width:65.25pt;height:33.75pt" o:ole="">
            <v:imagedata r:id="rId30" o:title=""/>
          </v:shape>
          <o:OLEObject Type="Embed" ProgID="Equation.3" ShapeID="_x0000_i1038" DrawAspect="Content" ObjectID="_1451832892" r:id="rId31"/>
        </w:object>
      </w:r>
    </w:p>
    <w:p w:rsidR="000B6400" w:rsidRDefault="000B6400" w:rsidP="000B6400">
      <w:pPr>
        <w:spacing w:after="0"/>
      </w:pPr>
      <w:r w:rsidRPr="000B6400">
        <w:t>Expected Rate of Return Formula:</w:t>
      </w:r>
      <w:r>
        <w:t xml:space="preserve">   </w:t>
      </w:r>
      <w:r>
        <w:rPr>
          <w:position w:val="-30"/>
        </w:rPr>
        <w:object w:dxaOrig="3180" w:dyaOrig="700">
          <v:shape id="_x0000_i1039" type="#_x0000_t75" style="width:159pt;height:35.25pt" o:ole="">
            <v:imagedata r:id="rId32" o:title=""/>
          </v:shape>
          <o:OLEObject Type="Embed" ProgID="Equation.3" ShapeID="_x0000_i1039" DrawAspect="Content" ObjectID="_1451832893" r:id="rId33"/>
        </w:object>
      </w:r>
    </w:p>
    <w:bookmarkEnd w:id="1"/>
    <w:bookmarkEnd w:id="2"/>
    <w:p w:rsidR="00F85265" w:rsidRDefault="00F85265" w:rsidP="00F85265">
      <w:pPr>
        <w:spacing w:after="0"/>
        <w:rPr>
          <w:rFonts w:ascii="Century Gothic" w:hAnsi="Century Gothic"/>
          <w:b/>
          <w:sz w:val="20"/>
          <w:u w:val="single"/>
        </w:rPr>
      </w:pPr>
    </w:p>
    <w:p w:rsidR="000B6400" w:rsidRPr="00F85265" w:rsidRDefault="000B6400" w:rsidP="00F85265">
      <w:pPr>
        <w:spacing w:after="0"/>
        <w:rPr>
          <w:rFonts w:ascii="Century Gothic" w:hAnsi="Century Gothic"/>
          <w:b/>
          <w:sz w:val="20"/>
          <w:u w:val="single"/>
        </w:rPr>
      </w:pPr>
      <w:r w:rsidRPr="00F85265">
        <w:rPr>
          <w:rFonts w:ascii="Century Gothic" w:hAnsi="Century Gothic"/>
          <w:b/>
          <w:sz w:val="20"/>
          <w:u w:val="single"/>
        </w:rPr>
        <w:t xml:space="preserve">Capital Budgeting </w:t>
      </w:r>
    </w:p>
    <w:tbl>
      <w:tblPr>
        <w:tblW w:w="10080" w:type="dxa"/>
        <w:jc w:val="center"/>
        <w:tblInd w:w="-252" w:type="dxa"/>
        <w:tblLook w:val="01E0" w:firstRow="1" w:lastRow="1" w:firstColumn="1" w:lastColumn="1" w:noHBand="0" w:noVBand="0"/>
      </w:tblPr>
      <w:tblGrid>
        <w:gridCol w:w="10080"/>
      </w:tblGrid>
      <w:tr w:rsidR="000B6400" w:rsidTr="00F85265">
        <w:trPr>
          <w:jc w:val="center"/>
        </w:trPr>
        <w:tc>
          <w:tcPr>
            <w:tcW w:w="10080" w:type="dxa"/>
          </w:tcPr>
          <w:p w:rsidR="000B6400" w:rsidRDefault="007D2F75" w:rsidP="00F85265">
            <w:pPr>
              <w:spacing w:after="0" w:line="360" w:lineRule="auto"/>
              <w:ind w:left="252"/>
              <w:jc w:val="both"/>
            </w:pPr>
            <w:r>
              <w:t>Pres</w:t>
            </w:r>
            <w:r w:rsidR="000B6400">
              <w:t xml:space="preserve">ent value of CCA tax shield with the half-year rule = </w:t>
            </w:r>
            <w:r w:rsidR="000B6400">
              <w:rPr>
                <w:position w:val="-32"/>
              </w:rPr>
              <w:object w:dxaOrig="3640" w:dyaOrig="760">
                <v:shape id="_x0000_i1040" type="#_x0000_t75" style="width:182.25pt;height:38.25pt" o:ole="">
                  <v:imagedata r:id="rId34" o:title=""/>
                </v:shape>
                <o:OLEObject Type="Embed" ProgID="Equation.3" ShapeID="_x0000_i1040" DrawAspect="Content" ObjectID="_1451832894" r:id="rId35"/>
              </w:object>
            </w:r>
          </w:p>
        </w:tc>
      </w:tr>
    </w:tbl>
    <w:p w:rsidR="002609C7" w:rsidRDefault="002609C7" w:rsidP="00F85265">
      <w:pPr>
        <w:spacing w:after="0"/>
        <w:rPr>
          <w:rFonts w:ascii="Century Gothic" w:hAnsi="Century Gothic"/>
          <w:b/>
          <w:sz w:val="20"/>
          <w:u w:val="single"/>
        </w:rPr>
      </w:pPr>
    </w:p>
    <w:p w:rsidR="000B6400" w:rsidRDefault="000B6400" w:rsidP="00F85265">
      <w:pPr>
        <w:spacing w:after="0"/>
        <w:rPr>
          <w:rFonts w:ascii="Century Gothic" w:hAnsi="Century Gothic"/>
          <w:b/>
          <w:sz w:val="20"/>
          <w:u w:val="single"/>
        </w:rPr>
      </w:pPr>
      <w:r w:rsidRPr="00F85265">
        <w:rPr>
          <w:rFonts w:ascii="Century Gothic" w:hAnsi="Century Gothic"/>
          <w:b/>
          <w:sz w:val="20"/>
          <w:u w:val="single"/>
        </w:rPr>
        <w:t>Risk and Return and Cost of Capital</w:t>
      </w:r>
    </w:p>
    <w:p w:rsidR="003E3C5A" w:rsidRDefault="003E3C5A" w:rsidP="00F85265">
      <w:pPr>
        <w:spacing w:after="0"/>
        <w:rPr>
          <w:rFonts w:ascii="Century Gothic" w:hAnsi="Century Gothic"/>
          <w:b/>
          <w:sz w:val="20"/>
          <w:u w:val="single"/>
        </w:rPr>
      </w:pPr>
    </w:p>
    <w:p w:rsidR="000275C5" w:rsidRDefault="003E3C5A" w:rsidP="003E3C5A">
      <w:pPr>
        <w:spacing w:after="0"/>
        <w:ind w:left="-270" w:firstLine="270"/>
      </w:pPr>
      <w:r>
        <w:rPr>
          <w:noProof/>
        </w:rPr>
        <w:t xml:space="preserve">Arithmetic average:       </w:t>
      </w:r>
      <w:r>
        <w:rPr>
          <w:noProof/>
          <w:lang w:val="en-CA" w:eastAsia="en-CA"/>
        </w:rPr>
        <w:drawing>
          <wp:inline distT="0" distB="0" distL="0" distR="0">
            <wp:extent cx="819150" cy="364067"/>
            <wp:effectExtent l="0" t="0" r="0" b="0"/>
            <wp:docPr id="5" name="Picture 5" descr="A:=\frac{1}{n}\sum_{i=1}^{n} a_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A:=\frac{1}{n}\sum_{i=1}^{n} a_i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36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5FD9">
        <w:t xml:space="preserve">   </w:t>
      </w:r>
      <w:r>
        <w:t xml:space="preserve">         </w:t>
      </w:r>
      <w:r>
        <w:rPr>
          <w:noProof/>
          <w:lang w:val="en-CA" w:eastAsia="en-CA"/>
        </w:rPr>
        <w:drawing>
          <wp:inline distT="0" distB="0" distL="0" distR="0" wp14:anchorId="0067E1EC" wp14:editId="2C52CDE9">
            <wp:extent cx="3123565" cy="276225"/>
            <wp:effectExtent l="0" t="0" r="63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65FD9">
        <w:t xml:space="preserve">                        </w:t>
      </w:r>
    </w:p>
    <w:p w:rsidR="00B014A1" w:rsidRDefault="00B014A1" w:rsidP="00F85265">
      <w:pPr>
        <w:spacing w:after="0"/>
        <w:ind w:left="-270" w:firstLine="270"/>
        <w:jc w:val="both"/>
      </w:pPr>
      <w:r>
        <w:t xml:space="preserve">      </w:t>
      </w:r>
    </w:p>
    <w:p w:rsidR="00B014A1" w:rsidRDefault="004746F1" w:rsidP="00F85265">
      <w:pPr>
        <w:spacing w:after="0"/>
        <w:ind w:left="-270" w:firstLine="270"/>
        <w:jc w:val="both"/>
      </w:pPr>
      <w:r>
        <w:rPr>
          <w:noProof/>
          <w:lang w:val="en-CA" w:eastAsia="en-CA"/>
        </w:rPr>
        <w:drawing>
          <wp:inline distT="0" distB="0" distL="0" distR="0" wp14:anchorId="2B4ABA98">
            <wp:extent cx="2628900" cy="46333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6" t="25275" b="24176"/>
                    <a:stretch/>
                  </pic:blipFill>
                  <pic:spPr bwMode="auto">
                    <a:xfrm>
                      <a:off x="0" y="0"/>
                      <a:ext cx="2632252" cy="463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14A1" w:rsidRDefault="007874D4" w:rsidP="00F85265">
      <w:pPr>
        <w:spacing w:after="0"/>
        <w:ind w:left="-270" w:firstLine="270"/>
        <w:jc w:val="both"/>
      </w:pPr>
      <w:r>
        <w:rPr>
          <w:noProof/>
        </w:rPr>
        <w:pict w14:anchorId="45BA1195">
          <v:shape id="Object 3" o:spid="_x0000_s1088" type="#_x0000_t75" style="position:absolute;left:0;text-align:left;margin-left:182.9pt;margin-top:24.2pt;width:187.9pt;height:35.7pt;z-index:251658240;visibility:visible" fillcolor="#ff9" strokecolor="#fc0">
            <v:imagedata r:id="rId39" o:title=""/>
          </v:shape>
          <o:OLEObject Type="Embed" ProgID="Equation.3" ShapeID="Object 3" DrawAspect="Content" ObjectID="_1451832901" r:id="rId40"/>
        </w:pict>
      </w:r>
      <w:r w:rsidR="00B014A1">
        <w:rPr>
          <w:noProof/>
          <w:lang w:val="en-CA" w:eastAsia="en-CA"/>
        </w:rPr>
        <w:drawing>
          <wp:inline distT="0" distB="0" distL="0" distR="0" wp14:anchorId="452DBD28" wp14:editId="06BE74A3">
            <wp:extent cx="2181225" cy="762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52" b="12196"/>
                    <a:stretch/>
                  </pic:blipFill>
                  <pic:spPr bwMode="auto">
                    <a:xfrm>
                      <a:off x="0" y="0"/>
                      <a:ext cx="21812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14A1" w:rsidRDefault="00B014A1" w:rsidP="00F85265">
      <w:pPr>
        <w:spacing w:after="0"/>
        <w:ind w:left="-270" w:firstLine="270"/>
        <w:jc w:val="both"/>
      </w:pPr>
      <w:r>
        <w:tab/>
      </w:r>
      <w:r>
        <w:tab/>
      </w:r>
      <w:r>
        <w:tab/>
      </w:r>
      <w:r>
        <w:tab/>
      </w:r>
    </w:p>
    <w:p w:rsidR="006C18E5" w:rsidRDefault="006C18E5" w:rsidP="00F85265">
      <w:pPr>
        <w:spacing w:after="0"/>
        <w:ind w:left="-270" w:firstLine="270"/>
        <w:jc w:val="both"/>
      </w:pPr>
      <w:r>
        <w:t>Portfolio standard deviation</w:t>
      </w:r>
      <w:r w:rsidR="00B014A1">
        <w:rPr>
          <w:position w:val="-16"/>
        </w:rPr>
        <w:object w:dxaOrig="3940" w:dyaOrig="480">
          <v:shape id="_x0000_i1041" type="#_x0000_t75" style="width:211.5pt;height:24pt" o:ole="">
            <v:imagedata r:id="rId42" o:title=""/>
          </v:shape>
          <o:OLEObject Type="Embed" ProgID="Equation.3" ShapeID="_x0000_i1041" DrawAspect="Content" ObjectID="_1451832895" r:id="rId43"/>
        </w:object>
      </w:r>
    </w:p>
    <w:p w:rsidR="00F65FD9" w:rsidRDefault="00F65FD9" w:rsidP="00F85265">
      <w:pPr>
        <w:spacing w:after="0"/>
        <w:ind w:left="-270" w:firstLine="270"/>
        <w:jc w:val="both"/>
      </w:pPr>
    </w:p>
    <w:p w:rsidR="00F65FD9" w:rsidRDefault="007874D4" w:rsidP="00F85265">
      <w:pPr>
        <w:spacing w:after="0"/>
        <w:ind w:left="-270" w:firstLine="270"/>
        <w:jc w:val="both"/>
      </w:pPr>
      <w:r>
        <w:rPr>
          <w:rFonts w:cstheme="minorHAnsi"/>
          <w:noProof/>
        </w:rPr>
        <w:pict w14:anchorId="268F31DD">
          <v:shape id="_x0000_s1093" type="#_x0000_t75" style="position:absolute;left:0;text-align:left;margin-left:.4pt;margin-top:9.55pt;width:148pt;height:36pt;z-index:251660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" strokecolor="#039" strokeweight="2pt">
            <v:imagedata r:id="rId44" o:title=""/>
          </v:shape>
          <o:OLEObject Type="Embed" ProgID="Unknown" ShapeID="_x0000_s1093" DrawAspect="Content" ObjectID="_1451832902" r:id="rId45"/>
        </w:pict>
      </w:r>
    </w:p>
    <w:p w:rsidR="00F65FD9" w:rsidRDefault="00F65FD9" w:rsidP="00F85265">
      <w:pPr>
        <w:spacing w:after="0"/>
        <w:ind w:left="-270" w:firstLine="270"/>
        <w:jc w:val="both"/>
      </w:pPr>
    </w:p>
    <w:p w:rsidR="00F65FD9" w:rsidRDefault="00F65FD9" w:rsidP="00F85265">
      <w:pPr>
        <w:spacing w:after="0"/>
        <w:ind w:left="-270" w:firstLine="270"/>
        <w:jc w:val="both"/>
      </w:pPr>
    </w:p>
    <w:p w:rsidR="00DE053E" w:rsidRDefault="00DE053E" w:rsidP="00F85265">
      <w:pPr>
        <w:spacing w:after="0"/>
        <w:ind w:left="-270" w:firstLine="270"/>
        <w:jc w:val="both"/>
        <w:rPr>
          <w:rFonts w:eastAsiaTheme="minorEastAsia"/>
        </w:rPr>
      </w:pPr>
    </w:p>
    <w:p w:rsidR="00B014A1" w:rsidRPr="00DE053E" w:rsidRDefault="007874D4" w:rsidP="00DE053E">
      <w:pPr>
        <w:spacing w:after="0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COV</m:t>
              </m:r>
            </m:e>
            <m:sub>
              <m:r>
                <w:rPr>
                  <w:rFonts w:ascii="Cambria Math" w:hAnsi="Cambria Math" w:cs="Times New Roman"/>
                </w:rPr>
                <m:t>AB</m:t>
              </m:r>
            </m:sub>
          </m:sSub>
          <m:r>
            <w:rPr>
              <w:rFonts w:ascii="Cambria Math" w:hAnsi="Cambria Math" w:cs="Times New Roman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</w:rPr>
                <m:t>i=1</m:t>
              </m:r>
            </m:sub>
            <m:sup>
              <m:r>
                <w:rPr>
                  <w:rFonts w:ascii="Cambria Math" w:eastAsiaTheme="minorEastAsia" w:hAnsi="Cambria Math" w:cs="Times New Roman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Prob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i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</w:rPr>
            <m:t>(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A,i</m:t>
              </m:r>
            </m:sub>
          </m:sSub>
          <m:r>
            <w:rPr>
              <w:rFonts w:ascii="Cambria Math" w:eastAsiaTheme="minorEastAsia" w:hAnsi="Cambria Math" w:cs="Times New Roman"/>
            </w:rPr>
            <m:t xml:space="preserve">- </m:t>
          </m:r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A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</w:rPr>
            <m:t>)(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B,i</m:t>
              </m:r>
            </m:sub>
          </m:sSub>
          <m:r>
            <w:rPr>
              <w:rFonts w:ascii="Cambria Math" w:eastAsiaTheme="minorEastAsia" w:hAnsi="Cambria Math" w:cs="Times New Roman"/>
            </w:rPr>
            <m:t xml:space="preserve">- </m:t>
          </m:r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B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</w:rPr>
            <m:t>)</m:t>
          </m:r>
        </m:oMath>
      </m:oMathPara>
    </w:p>
    <w:p w:rsidR="00B014A1" w:rsidRDefault="006C18E5" w:rsidP="00F85265">
      <w:pPr>
        <w:spacing w:after="0"/>
        <w:ind w:left="-270" w:firstLine="270"/>
        <w:jc w:val="both"/>
      </w:pPr>
      <w:r>
        <w:t xml:space="preserve">Covariance:   </w:t>
      </w:r>
      <w:r w:rsidR="00B014A1">
        <w:rPr>
          <w:position w:val="-14"/>
        </w:rPr>
        <w:object w:dxaOrig="2320" w:dyaOrig="380">
          <v:shape id="_x0000_i1042" type="#_x0000_t75" style="width:116.25pt;height:18.75pt" o:ole="">
            <v:imagedata r:id="rId46" o:title=""/>
          </v:shape>
          <o:OLEObject Type="Embed" ProgID="Equation.3" ShapeID="_x0000_i1042" DrawAspect="Content" ObjectID="_1451832896" r:id="rId47"/>
        </w:object>
      </w:r>
      <w:r>
        <w:t xml:space="preserve">               Correlation:    </w:t>
      </w:r>
      <w:r>
        <w:rPr>
          <w:position w:val="-32"/>
        </w:rPr>
        <w:object w:dxaOrig="1860" w:dyaOrig="740">
          <v:shape id="_x0000_i1043" type="#_x0000_t75" style="width:93pt;height:36.75pt" o:ole="">
            <v:imagedata r:id="rId48" o:title=""/>
          </v:shape>
          <o:OLEObject Type="Embed" ProgID="Equation.3" ShapeID="_x0000_i1043" DrawAspect="Content" ObjectID="_1451832897" r:id="rId49"/>
        </w:object>
      </w:r>
      <w:r>
        <w:t xml:space="preserve">            </w:t>
      </w:r>
    </w:p>
    <w:p w:rsidR="00B014A1" w:rsidRDefault="00B014A1" w:rsidP="00F85265">
      <w:pPr>
        <w:spacing w:after="0"/>
        <w:ind w:left="-270" w:firstLine="270"/>
        <w:jc w:val="both"/>
      </w:pPr>
      <w:r>
        <w:t xml:space="preserve">Sharpe ratio:  </w:t>
      </w:r>
      <w:r w:rsidRPr="00054AC3">
        <w:t>(ER</w:t>
      </w:r>
      <w:r w:rsidRPr="00054AC3">
        <w:rPr>
          <w:vertAlign w:val="subscript"/>
        </w:rPr>
        <w:t>A</w:t>
      </w:r>
      <w:r w:rsidRPr="00054AC3">
        <w:t xml:space="preserve"> - </w:t>
      </w:r>
      <w:proofErr w:type="spellStart"/>
      <w:proofErr w:type="gramStart"/>
      <w:r w:rsidRPr="00054AC3">
        <w:t>R</w:t>
      </w:r>
      <w:r w:rsidRPr="00054AC3">
        <w:rPr>
          <w:vertAlign w:val="subscript"/>
        </w:rPr>
        <w:t>f</w:t>
      </w:r>
      <w:proofErr w:type="spellEnd"/>
      <w:proofErr w:type="gramEnd"/>
      <w:r w:rsidRPr="00054AC3">
        <w:t>)/</w:t>
      </w:r>
      <w:r>
        <w:rPr>
          <w:lang w:val="fr-CA"/>
        </w:rPr>
        <w:t>σ</w:t>
      </w:r>
      <w:r w:rsidRPr="00054AC3">
        <w:rPr>
          <w:vertAlign w:val="subscript"/>
        </w:rPr>
        <w:t>A</w:t>
      </w:r>
      <w:r w:rsidR="006C18E5">
        <w:t xml:space="preserve">  </w:t>
      </w:r>
    </w:p>
    <w:p w:rsidR="00B014A1" w:rsidRDefault="00B014A1" w:rsidP="00F85265">
      <w:pPr>
        <w:spacing w:after="0"/>
        <w:ind w:left="-270" w:firstLine="270"/>
        <w:jc w:val="both"/>
      </w:pPr>
    </w:p>
    <w:p w:rsidR="007905DF" w:rsidRDefault="007905DF" w:rsidP="00F85265">
      <w:pPr>
        <w:spacing w:after="0"/>
        <w:rPr>
          <w:rFonts w:ascii="Century Gothic" w:hAnsi="Century Gothic"/>
          <w:b/>
          <w:sz w:val="20"/>
          <w:u w:val="single"/>
        </w:rPr>
      </w:pPr>
      <w:r w:rsidRPr="00F85265">
        <w:rPr>
          <w:rFonts w:ascii="Century Gothic" w:hAnsi="Century Gothic"/>
          <w:b/>
          <w:sz w:val="20"/>
          <w:u w:val="single"/>
        </w:rPr>
        <w:t xml:space="preserve">The capital asset pricing model (CAPM): </w:t>
      </w:r>
    </w:p>
    <w:p w:rsidR="00F85265" w:rsidRPr="00F85265" w:rsidRDefault="00F85265" w:rsidP="00F85265">
      <w:pPr>
        <w:spacing w:after="0"/>
        <w:rPr>
          <w:rFonts w:ascii="Century Gothic" w:hAnsi="Century Gothic"/>
          <w:b/>
          <w:sz w:val="20"/>
          <w:u w:val="single"/>
        </w:rPr>
      </w:pPr>
    </w:p>
    <w:p w:rsidR="00A61766" w:rsidRDefault="00B014A1" w:rsidP="000B6400">
      <w:pPr>
        <w:spacing w:after="0"/>
      </w:pPr>
      <w:r w:rsidRPr="00B014A1">
        <w:rPr>
          <w:position w:val="-14"/>
        </w:rPr>
        <w:object w:dxaOrig="1880" w:dyaOrig="380">
          <v:shape id="_x0000_i1044" type="#_x0000_t75" style="width:115.5pt;height:24pt" o:ole="">
            <v:imagedata r:id="rId50" o:title=""/>
          </v:shape>
          <o:OLEObject Type="Embed" ProgID="Equation.3" ShapeID="_x0000_i1044" DrawAspect="Content" ObjectID="_1451832898" r:id="rId51"/>
        </w:object>
      </w:r>
    </w:p>
    <w:p w:rsidR="00B014A1" w:rsidRDefault="00B014A1" w:rsidP="00B014A1">
      <w:pPr>
        <w:spacing w:after="0"/>
        <w:ind w:left="-270" w:firstLine="270"/>
        <w:jc w:val="both"/>
      </w:pPr>
      <w:r>
        <w:t xml:space="preserve">Beta of stock </w:t>
      </w:r>
      <w:r>
        <w:rPr>
          <w:i/>
        </w:rPr>
        <w:t>j</w:t>
      </w:r>
      <w:r>
        <w:t xml:space="preserve">:            </w:t>
      </w:r>
      <w:r>
        <w:rPr>
          <w:position w:val="-30"/>
        </w:rPr>
        <w:object w:dxaOrig="1280" w:dyaOrig="720">
          <v:shape id="_x0000_i1045" type="#_x0000_t75" style="width:63.75pt;height:36pt" o:ole="">
            <v:imagedata r:id="rId52" o:title=""/>
          </v:shape>
          <o:OLEObject Type="Embed" ProgID="Equation.3" ShapeID="_x0000_i1045" DrawAspect="Content" ObjectID="_1451832899" r:id="rId53"/>
        </w:object>
      </w:r>
      <w:r>
        <w:t xml:space="preserve">           or </w:t>
      </w:r>
      <w:r>
        <w:rPr>
          <w:position w:val="-30"/>
        </w:rPr>
        <w:object w:dxaOrig="1680" w:dyaOrig="720">
          <v:shape id="_x0000_i1046" type="#_x0000_t75" style="width:84pt;height:36pt" o:ole="">
            <v:imagedata r:id="rId54" o:title=""/>
          </v:shape>
          <o:OLEObject Type="Embed" ProgID="Equation.3" ShapeID="_x0000_i1046" DrawAspect="Content" ObjectID="_1451832900" r:id="rId55"/>
        </w:object>
      </w:r>
    </w:p>
    <w:p w:rsidR="00B014A1" w:rsidRPr="00B014A1" w:rsidRDefault="00B014A1" w:rsidP="00B014A1">
      <w:pPr>
        <w:rPr>
          <w:sz w:val="28"/>
        </w:rPr>
      </w:pPr>
      <w:r>
        <w:rPr>
          <w:lang w:val="fr-CA"/>
        </w:rPr>
        <w:t xml:space="preserve">Beta of a portfolio:    </w:t>
      </w:r>
      <w:r w:rsidRPr="003E3C5A">
        <w:rPr>
          <w:rFonts w:ascii="Times New Roman" w:hAnsi="Times New Roman" w:cs="Times New Roman"/>
          <w:sz w:val="24"/>
          <w:lang w:val="fr-CA"/>
        </w:rPr>
        <w:t>β</w:t>
      </w:r>
      <w:r w:rsidRPr="003E3C5A">
        <w:rPr>
          <w:rFonts w:ascii="Times New Roman" w:hAnsi="Times New Roman" w:cs="Times New Roman"/>
          <w:sz w:val="24"/>
          <w:vertAlign w:val="subscript"/>
        </w:rPr>
        <w:t>P</w:t>
      </w:r>
      <w:r w:rsidRPr="003E3C5A">
        <w:rPr>
          <w:rFonts w:ascii="Times New Roman" w:hAnsi="Times New Roman" w:cs="Times New Roman"/>
          <w:sz w:val="24"/>
        </w:rPr>
        <w:t xml:space="preserve"> = w</w:t>
      </w:r>
      <w:r w:rsidRPr="003E3C5A">
        <w:rPr>
          <w:rFonts w:ascii="Times New Roman" w:hAnsi="Times New Roman" w:cs="Times New Roman"/>
          <w:sz w:val="24"/>
          <w:vertAlign w:val="subscript"/>
        </w:rPr>
        <w:t>1</w:t>
      </w:r>
      <w:r w:rsidRPr="003E3C5A">
        <w:rPr>
          <w:rFonts w:ascii="Times New Roman" w:hAnsi="Times New Roman" w:cs="Times New Roman"/>
          <w:sz w:val="24"/>
          <w:lang w:val="fr-CA"/>
        </w:rPr>
        <w:t>β</w:t>
      </w:r>
      <w:r w:rsidRPr="003E3C5A">
        <w:rPr>
          <w:rFonts w:ascii="Times New Roman" w:hAnsi="Times New Roman" w:cs="Times New Roman"/>
          <w:sz w:val="24"/>
          <w:vertAlign w:val="subscript"/>
        </w:rPr>
        <w:t>1</w:t>
      </w:r>
      <w:r w:rsidRPr="003E3C5A">
        <w:rPr>
          <w:rFonts w:ascii="Times New Roman" w:hAnsi="Times New Roman" w:cs="Times New Roman"/>
          <w:sz w:val="24"/>
        </w:rPr>
        <w:t xml:space="preserve"> + w</w:t>
      </w:r>
      <w:r w:rsidRPr="003E3C5A">
        <w:rPr>
          <w:rFonts w:ascii="Times New Roman" w:hAnsi="Times New Roman" w:cs="Times New Roman"/>
          <w:sz w:val="24"/>
          <w:vertAlign w:val="subscript"/>
        </w:rPr>
        <w:t>2</w:t>
      </w:r>
      <w:r w:rsidRPr="003E3C5A">
        <w:rPr>
          <w:rFonts w:ascii="Times New Roman" w:hAnsi="Times New Roman" w:cs="Times New Roman"/>
          <w:sz w:val="24"/>
          <w:lang w:val="fr-CA"/>
        </w:rPr>
        <w:t>β</w:t>
      </w:r>
      <w:r w:rsidRPr="003E3C5A">
        <w:rPr>
          <w:rFonts w:ascii="Times New Roman" w:hAnsi="Times New Roman" w:cs="Times New Roman"/>
          <w:sz w:val="24"/>
          <w:vertAlign w:val="subscript"/>
        </w:rPr>
        <w:t>2</w:t>
      </w:r>
      <w:r w:rsidRPr="003E3C5A">
        <w:rPr>
          <w:rFonts w:ascii="Times New Roman" w:hAnsi="Times New Roman" w:cs="Times New Roman"/>
          <w:sz w:val="24"/>
        </w:rPr>
        <w:t xml:space="preserve"> + … </w:t>
      </w:r>
      <w:proofErr w:type="spellStart"/>
      <w:r w:rsidRPr="003E3C5A">
        <w:rPr>
          <w:rFonts w:ascii="Times New Roman" w:hAnsi="Times New Roman" w:cs="Times New Roman"/>
          <w:sz w:val="24"/>
        </w:rPr>
        <w:t>w</w:t>
      </w:r>
      <w:r w:rsidRPr="003E3C5A">
        <w:rPr>
          <w:rFonts w:ascii="Times New Roman" w:hAnsi="Times New Roman" w:cs="Times New Roman"/>
          <w:sz w:val="24"/>
          <w:vertAlign w:val="subscript"/>
        </w:rPr>
        <w:t>n</w:t>
      </w:r>
      <w:proofErr w:type="spellEnd"/>
      <w:r w:rsidRPr="003E3C5A">
        <w:rPr>
          <w:rFonts w:ascii="Times New Roman" w:hAnsi="Times New Roman" w:cs="Times New Roman"/>
          <w:sz w:val="24"/>
          <w:lang w:val="fr-CA"/>
        </w:rPr>
        <w:t>β</w:t>
      </w:r>
      <w:r w:rsidRPr="003E3C5A">
        <w:rPr>
          <w:rFonts w:ascii="Times New Roman" w:hAnsi="Times New Roman" w:cs="Times New Roman"/>
          <w:sz w:val="24"/>
          <w:vertAlign w:val="subscript"/>
        </w:rPr>
        <w:t>n</w:t>
      </w:r>
    </w:p>
    <w:sectPr w:rsidR="00B014A1" w:rsidRPr="00B014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5622"/>
    <w:multiLevelType w:val="hybridMultilevel"/>
    <w:tmpl w:val="21481450"/>
    <w:lvl w:ilvl="0" w:tplc="6366DBB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WAFVersion" w:val="5.0"/>
  </w:docVars>
  <w:rsids>
    <w:rsidRoot w:val="00A61766"/>
    <w:rsid w:val="000275C5"/>
    <w:rsid w:val="000B6400"/>
    <w:rsid w:val="001453A4"/>
    <w:rsid w:val="001C42B3"/>
    <w:rsid w:val="002609C7"/>
    <w:rsid w:val="0032397C"/>
    <w:rsid w:val="00376C3F"/>
    <w:rsid w:val="003E3C5A"/>
    <w:rsid w:val="004746F1"/>
    <w:rsid w:val="004B51E6"/>
    <w:rsid w:val="00574C61"/>
    <w:rsid w:val="005B0659"/>
    <w:rsid w:val="006646D1"/>
    <w:rsid w:val="006C18E5"/>
    <w:rsid w:val="006D4ABB"/>
    <w:rsid w:val="00741033"/>
    <w:rsid w:val="00751773"/>
    <w:rsid w:val="007874D4"/>
    <w:rsid w:val="007905DF"/>
    <w:rsid w:val="007D2F75"/>
    <w:rsid w:val="009126A2"/>
    <w:rsid w:val="00A61766"/>
    <w:rsid w:val="00AA19A4"/>
    <w:rsid w:val="00B014A1"/>
    <w:rsid w:val="00B9593B"/>
    <w:rsid w:val="00D82A71"/>
    <w:rsid w:val="00DC31BD"/>
    <w:rsid w:val="00DE053E"/>
    <w:rsid w:val="00F310C7"/>
    <w:rsid w:val="00F65FD9"/>
    <w:rsid w:val="00F8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66"/>
  </w:style>
  <w:style w:type="paragraph" w:styleId="Heading1">
    <w:name w:val="heading 1"/>
    <w:basedOn w:val="Normal"/>
    <w:next w:val="Normal"/>
    <w:link w:val="Heading1Char"/>
    <w:autoRedefine/>
    <w:qFormat/>
    <w:rsid w:val="00741033"/>
    <w:pPr>
      <w:keepNext/>
      <w:spacing w:after="0" w:line="240" w:lineRule="auto"/>
      <w:ind w:left="720" w:hanging="360"/>
      <w:jc w:val="both"/>
      <w:outlineLvl w:val="0"/>
    </w:pPr>
    <w:rPr>
      <w:rFonts w:eastAsia="Times New Roman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1033"/>
    <w:rPr>
      <w:rFonts w:eastAsia="Times New Roman" w:cs="Times New Roman"/>
      <w:b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76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746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66"/>
  </w:style>
  <w:style w:type="paragraph" w:styleId="Heading1">
    <w:name w:val="heading 1"/>
    <w:basedOn w:val="Normal"/>
    <w:next w:val="Normal"/>
    <w:link w:val="Heading1Char"/>
    <w:autoRedefine/>
    <w:qFormat/>
    <w:rsid w:val="00741033"/>
    <w:pPr>
      <w:keepNext/>
      <w:spacing w:after="0" w:line="240" w:lineRule="auto"/>
      <w:ind w:left="720" w:hanging="360"/>
      <w:jc w:val="both"/>
      <w:outlineLvl w:val="0"/>
    </w:pPr>
    <w:rPr>
      <w:rFonts w:eastAsia="Times New Roman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1033"/>
    <w:rPr>
      <w:rFonts w:eastAsia="Times New Roman" w:cs="Times New Roman"/>
      <w:b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76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746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0.wmf"/><Relationship Id="rId39" Type="http://schemas.openxmlformats.org/officeDocument/2006/relationships/image" Target="media/image18.wmf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4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png"/><Relationship Id="rId46" Type="http://schemas.openxmlformats.org/officeDocument/2006/relationships/image" Target="media/image22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3.bin"/><Relationship Id="rId41" Type="http://schemas.openxmlformats.org/officeDocument/2006/relationships/image" Target="media/image19.png"/><Relationship Id="rId54" Type="http://schemas.openxmlformats.org/officeDocument/2006/relationships/image" Target="media/image2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image" Target="media/image13.wmf"/><Relationship Id="rId37" Type="http://schemas.openxmlformats.org/officeDocument/2006/relationships/image" Target="media/image16.png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image" Target="media/image15.png"/><Relationship Id="rId49" Type="http://schemas.openxmlformats.org/officeDocument/2006/relationships/oleObject" Target="embeddings/oleObject21.bin"/><Relationship Id="rId57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3.wmf"/><Relationship Id="rId56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LenovoX200s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LenovoX200s</dc:creator>
  <cp:lastModifiedBy>Tanya Kirsch</cp:lastModifiedBy>
  <cp:revision>2</cp:revision>
  <cp:lastPrinted>2013-03-19T14:17:00Z</cp:lastPrinted>
  <dcterms:created xsi:type="dcterms:W3CDTF">2014-01-21T23:07:00Z</dcterms:created>
  <dcterms:modified xsi:type="dcterms:W3CDTF">2014-01-21T23:07:00Z</dcterms:modified>
</cp:coreProperties>
</file>