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CEE" w:rsidRPr="00940E78" w:rsidRDefault="00660CEE" w:rsidP="007361A9">
      <w:pPr>
        <w:spacing w:after="0" w:line="240" w:lineRule="auto"/>
        <w:contextualSpacing/>
        <w:jc w:val="center"/>
        <w:rPr>
          <w:rFonts w:ascii="Times New Roman" w:hAnsi="Times New Roman" w:cs="Times New Roman"/>
          <w:b/>
          <w:bCs/>
        </w:rPr>
      </w:pPr>
      <w:r w:rsidRPr="00940E78">
        <w:rPr>
          <w:rFonts w:ascii="Times New Roman" w:hAnsi="Times New Roman" w:cs="Times New Roman"/>
          <w:b/>
          <w:bCs/>
        </w:rPr>
        <w:t>HUMR – EXAM PREP</w:t>
      </w:r>
    </w:p>
    <w:p w:rsidR="00660CEE" w:rsidRPr="00940E78" w:rsidRDefault="00660CEE" w:rsidP="007361A9">
      <w:pPr>
        <w:spacing w:after="0" w:line="240" w:lineRule="auto"/>
        <w:contextualSpacing/>
        <w:jc w:val="center"/>
        <w:rPr>
          <w:rFonts w:ascii="Times New Roman" w:hAnsi="Times New Roman" w:cs="Times New Roman"/>
          <w:b/>
          <w:bCs/>
          <w:i/>
          <w:iCs/>
        </w:rPr>
      </w:pPr>
      <w:r w:rsidRPr="00940E78">
        <w:rPr>
          <w:rFonts w:ascii="Times New Roman" w:hAnsi="Times New Roman" w:cs="Times New Roman"/>
          <w:b/>
          <w:bCs/>
          <w:i/>
          <w:iCs/>
        </w:rPr>
        <w:t>(Answers to Sample Questions Provided)</w:t>
      </w:r>
    </w:p>
    <w:p w:rsidR="00660CEE" w:rsidRPr="00940E78" w:rsidRDefault="00660CEE" w:rsidP="007361A9">
      <w:pPr>
        <w:spacing w:after="0" w:line="240" w:lineRule="auto"/>
        <w:contextualSpacing/>
        <w:jc w:val="center"/>
        <w:rPr>
          <w:rFonts w:ascii="Times New Roman" w:hAnsi="Times New Roman" w:cs="Times New Roman"/>
          <w:b/>
          <w:bCs/>
          <w:i/>
          <w:iCs/>
        </w:rPr>
      </w:pPr>
    </w:p>
    <w:p w:rsidR="00660CEE" w:rsidRPr="00940E78" w:rsidRDefault="00660CEE" w:rsidP="007361A9">
      <w:pPr>
        <w:spacing w:after="0" w:line="240" w:lineRule="auto"/>
        <w:contextualSpacing/>
        <w:jc w:val="center"/>
        <w:rPr>
          <w:rFonts w:ascii="Times New Roman" w:hAnsi="Times New Roman" w:cs="Times New Roman"/>
          <w:b/>
          <w:bCs/>
          <w:i/>
          <w:i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i/>
          <w:iCs/>
        </w:rPr>
        <w:t>l. Pages 64 - 73</w:t>
      </w:r>
      <w:r w:rsidRPr="00940E78">
        <w:rPr>
          <w:rFonts w:ascii="Times New Roman" w:hAnsi="Times New Roman" w:cs="Times New Roman"/>
          <w:b/>
          <w:bCs/>
        </w:rPr>
        <w:t xml:space="preserve"> of “Seasonal Agricultural Workers” (reading 1), contain several criticisms of the SAWP (Seasonal Agricultural Workers Program) and TFWP (Temporary Foreign Worker Program). </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i/>
          <w:iCs/>
        </w:rPr>
        <w:t xml:space="preserve">Q: </w:t>
      </w:r>
      <w:r w:rsidRPr="00940E78">
        <w:rPr>
          <w:rFonts w:ascii="Times New Roman" w:hAnsi="Times New Roman" w:cs="Times New Roman"/>
          <w:b/>
          <w:bCs/>
        </w:rPr>
        <w:t>What are SIX different criticisms made in these pages?</w:t>
      </w:r>
      <w:r w:rsidRPr="00940E78">
        <w:rPr>
          <w:rFonts w:ascii="Times New Roman" w:hAnsi="Times New Roman" w:cs="Times New Roman"/>
          <w:b/>
          <w:bCs/>
          <w:i/>
          <w:iCs/>
        </w:rPr>
        <w:t xml:space="preserve">  </w:t>
      </w:r>
      <w:r w:rsidRPr="00940E78">
        <w:rPr>
          <w:rFonts w:ascii="Times New Roman" w:hAnsi="Times New Roman" w:cs="Times New Roman"/>
          <w:b/>
          <w:bCs/>
        </w:rPr>
        <w:t>(W1)</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i/>
          <w:iCs/>
        </w:rPr>
      </w:pPr>
      <w:r w:rsidRPr="00940E78">
        <w:rPr>
          <w:rFonts w:ascii="Times New Roman" w:hAnsi="Times New Roman" w:cs="Times New Roman"/>
          <w:b/>
          <w:bCs/>
          <w:i/>
          <w:iCs/>
        </w:rPr>
        <w:t>ANSWER:</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i/>
          <w:iCs/>
        </w:rPr>
      </w:pPr>
    </w:p>
    <w:tbl>
      <w:tblPr>
        <w:tblW w:w="1161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50"/>
        <w:gridCol w:w="10260"/>
      </w:tblGrid>
      <w:tr w:rsidR="00660CEE" w:rsidRPr="001A0A66">
        <w:tc>
          <w:tcPr>
            <w:tcW w:w="135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i/>
                <w:iCs/>
              </w:rPr>
            </w:pPr>
            <w:r w:rsidRPr="001A0A66">
              <w:rPr>
                <w:rFonts w:ascii="Times New Roman" w:hAnsi="Times New Roman" w:cs="Times New Roman"/>
                <w:b/>
                <w:bCs/>
                <w:i/>
                <w:iCs/>
              </w:rPr>
              <w:t>Criticism</w:t>
            </w:r>
          </w:p>
        </w:tc>
        <w:tc>
          <w:tcPr>
            <w:tcW w:w="1026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i/>
                <w:iCs/>
              </w:rPr>
            </w:pPr>
            <w:r w:rsidRPr="001A0A66">
              <w:rPr>
                <w:rFonts w:ascii="Times New Roman" w:hAnsi="Times New Roman" w:cs="Times New Roman"/>
                <w:b/>
                <w:bCs/>
                <w:i/>
                <w:iCs/>
              </w:rPr>
              <w:t>Supporting Info</w:t>
            </w:r>
          </w:p>
        </w:tc>
      </w:tr>
      <w:tr w:rsidR="00660CEE" w:rsidRPr="001A0A66">
        <w:tc>
          <w:tcPr>
            <w:tcW w:w="135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r w:rsidRPr="001A0A66">
              <w:rPr>
                <w:rFonts w:ascii="Times New Roman" w:hAnsi="Times New Roman" w:cs="Times New Roman"/>
                <w:i/>
                <w:iCs/>
              </w:rPr>
              <w:t xml:space="preserve">1) Power imbalance between employer and worker </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i/>
                <w:iCs/>
              </w:rPr>
              <w:t>“indentured relationships”</w:t>
            </w:r>
          </w:p>
        </w:tc>
        <w:tc>
          <w:tcPr>
            <w:tcW w:w="1026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xml:space="preserve">(Coursepack pg. 12) </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Workers condition is to be housed on site as part of the program stipulations. Workers rely on their employer for housing, food and basic needs. Their interactions with others and mail on site is often monitored. The ability to challenge their boss is often affected by the power imbalance</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“There’s an atmosphere of fear among his co-workers – they know that if they stand up to the boss, they risk getting sent home fast” (pg. 64 of reading)</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Often a worker will be coerced to sign non-compliance documents that say they are breaching their contracts and get sent home.</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xml:space="preserve">- Employers have the power to “name” a worker or “ban” them. People are hired mostly through being named. If a worker is banned little investigation into why is done.  Workers fear conflict with boss or personal actions because if the relationship is bad they can be banned, if it is good they can be named.  – Intimidation tactics </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Employers often hold the official documents such as health cards of workers</w:t>
            </w:r>
          </w:p>
        </w:tc>
      </w:tr>
      <w:tr w:rsidR="00660CEE" w:rsidRPr="001A0A66">
        <w:tc>
          <w:tcPr>
            <w:tcW w:w="135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r w:rsidRPr="001A0A66">
              <w:rPr>
                <w:rFonts w:ascii="Times New Roman" w:hAnsi="Times New Roman" w:cs="Times New Roman"/>
                <w:i/>
                <w:iCs/>
              </w:rPr>
              <w:t>2)Mistreatment of workers.</w:t>
            </w:r>
          </w:p>
        </w:tc>
        <w:tc>
          <w:tcPr>
            <w:tcW w:w="1026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(coursepack pg. 12)</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w:t>
            </w:r>
            <w:r w:rsidRPr="001A0A66">
              <w:rPr>
                <w:rFonts w:ascii="Times New Roman" w:hAnsi="Times New Roman" w:cs="Times New Roman"/>
                <w:i/>
                <w:iCs/>
              </w:rPr>
              <w:t>Mistreatment:</w:t>
            </w:r>
            <w:r w:rsidRPr="001A0A66">
              <w:rPr>
                <w:rFonts w:ascii="Times New Roman" w:hAnsi="Times New Roman" w:cs="Times New Roman"/>
              </w:rPr>
              <w:t xml:space="preserve">  *Strong chemicals used. Having to harvest agriculture the day after being sprayed with the harsh chemicals. A worker recalls his hands being covered in blisters. This worker also remembers that one Mexican worker got sick from the chemicals and was sent home because of it. Also remembers that if dirt gets sprayed into eyes the employers barely bring water to flush it out. (pg. 64 of the reader)</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“The living conditions are crowded and substandard, he resents his boss and is outraged by the deductions that the Canadian government takes off his paycheck.” (pg.64 of the reading)</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Holding of documents and invasions of privacy and false accusations are also forms of mistreatment</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w:t>
            </w:r>
            <w:r w:rsidRPr="001A0A66">
              <w:rPr>
                <w:rFonts w:ascii="Times New Roman" w:hAnsi="Times New Roman" w:cs="Times New Roman"/>
                <w:i/>
                <w:iCs/>
              </w:rPr>
              <w:t xml:space="preserve">Overworked: </w:t>
            </w:r>
            <w:r w:rsidRPr="001A0A66">
              <w:rPr>
                <w:rFonts w:ascii="Times New Roman" w:hAnsi="Times New Roman" w:cs="Times New Roman"/>
              </w:rPr>
              <w:t>Long hours of work often without breaks.</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-Scenario: A worker who worked 14 hour days worked so hard that his legs could not function. He wanted to go home because he could not work anymore. The consulate said he could not return home and if he did he would need to pay the full airfare, he offered to pay and they still would not let him leave. (pg. 66 of the reading)</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p>
        </w:tc>
      </w:tr>
      <w:tr w:rsidR="00660CEE" w:rsidRPr="001A0A66">
        <w:tc>
          <w:tcPr>
            <w:tcW w:w="135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r w:rsidRPr="001A0A66">
              <w:rPr>
                <w:rFonts w:ascii="Times New Roman" w:hAnsi="Times New Roman" w:cs="Times New Roman"/>
                <w:i/>
                <w:iCs/>
              </w:rPr>
              <w:t>3)Lack of Government initiative to inform workers of their rights</w:t>
            </w:r>
          </w:p>
        </w:tc>
        <w:tc>
          <w:tcPr>
            <w:tcW w:w="1026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(coursepack pg. 12)</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“Minimal efforts are made by the governments coordinating the program to inform participants of their rights; it is primarily thanks to groups like the Centre d’appui that they get that information.” (pg. 64 of the reading)</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-This factor also leads to mistreatment and the power imbalance between worker and employer.</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p>
        </w:tc>
      </w:tr>
      <w:tr w:rsidR="00660CEE" w:rsidRPr="001A0A66">
        <w:trPr>
          <w:trHeight w:val="782"/>
        </w:trPr>
        <w:tc>
          <w:tcPr>
            <w:tcW w:w="135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r w:rsidRPr="001A0A66">
              <w:rPr>
                <w:rFonts w:ascii="Times New Roman" w:hAnsi="Times New Roman" w:cs="Times New Roman"/>
                <w:i/>
                <w:iCs/>
              </w:rPr>
              <w:t>4)Lack of support for workers</w:t>
            </w:r>
          </w:p>
        </w:tc>
        <w:tc>
          <w:tcPr>
            <w:tcW w:w="1026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xml:space="preserve">-Even with knowledge of rights, due to power imbalance and the competition for jobs, workers do not demand these rights. What one worker does not accept to be good living standards, another will not complain about and therefore just take his place.  </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The worker who was not allowed home when his legs could no longer function scenario is an example also of lack of support (pg. 64 of the reading)</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“Every year we lose our jobs. We return to Mexico and live like we’re unemployed. We receive absolutely no benefits, no extra money. Now I’m claiming a pension – I’m going to get seventy-one dollars a month. That’s an insult. I’m not going to find work anymore. I have three small children to support.” (pg. 67 of the reading) – Worker is 63 years of age and spent 18 seasons working in Canada</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“The consulate is supposed to defend us but really it’s the consulate and the bosses that help each other” (pg. 67 of the reading)</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Staffing of the consulates that support the SAWP workers is inadequate. Brief office hours and a ratio of approximately 3 staff at the consulate to 3000 workers in the SAWP program.</w:t>
            </w:r>
          </w:p>
        </w:tc>
      </w:tr>
      <w:tr w:rsidR="00660CEE" w:rsidRPr="001A0A66">
        <w:tc>
          <w:tcPr>
            <w:tcW w:w="135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r w:rsidRPr="001A0A66">
              <w:rPr>
                <w:rFonts w:ascii="Times New Roman" w:hAnsi="Times New Roman" w:cs="Times New Roman"/>
                <w:i/>
                <w:iCs/>
              </w:rPr>
              <w:t>5)Funds of paycheck displaced through taxes</w:t>
            </w:r>
          </w:p>
        </w:tc>
        <w:tc>
          <w:tcPr>
            <w:tcW w:w="1026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 “We pay all this insurance money and we go back to Mexico and once we get there we need to find a way to pay for the medical treatment. We need to get over what working here does to our bodies.” (pg.67 of the reading)</w:t>
            </w:r>
          </w:p>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rPr>
              <w:t>-Workers pay Canadian taxes contributing to programs such as EI but are not eligible for it.</w:t>
            </w:r>
          </w:p>
        </w:tc>
      </w:tr>
      <w:tr w:rsidR="00660CEE" w:rsidRPr="001A0A66">
        <w:trPr>
          <w:trHeight w:val="1520"/>
        </w:trPr>
        <w:tc>
          <w:tcPr>
            <w:tcW w:w="135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r w:rsidRPr="001A0A66">
              <w:rPr>
                <w:rFonts w:ascii="Times New Roman" w:hAnsi="Times New Roman" w:cs="Times New Roman"/>
                <w:i/>
                <w:iCs/>
              </w:rPr>
              <w:t>6)Activists have Demands for improvement for the rights and resources for workers</w:t>
            </w:r>
          </w:p>
        </w:tc>
        <w:tc>
          <w:tcPr>
            <w:tcW w:w="10260" w:type="dxa"/>
          </w:tcPr>
          <w:p w:rsidR="00660CEE" w:rsidRPr="001A0A66" w:rsidRDefault="00660CEE" w:rsidP="001A0A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1A0A66">
              <w:rPr>
                <w:rFonts w:ascii="Times New Roman" w:hAnsi="Times New Roman" w:cs="Times New Roman"/>
                <w:b/>
                <w:bCs/>
              </w:rPr>
              <w:t xml:space="preserve">- </w:t>
            </w:r>
            <w:r w:rsidRPr="001A0A66">
              <w:rPr>
                <w:rFonts w:ascii="Times New Roman" w:hAnsi="Times New Roman" w:cs="Times New Roman"/>
              </w:rPr>
              <w:t>“Demands to government include provisions in the programs for workers to apply for citizenship, tighter enforcement of the safeguards that exist on paper, and an independent third party to mediate disputes.” (pg. 68 of the reading)</w:t>
            </w:r>
          </w:p>
        </w:tc>
      </w:tr>
    </w:tbl>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 xml:space="preserve">3. Paul Farmer asserts in reading A (“Challenging Orthodoxies: The Road Ahead for Health and Human Rights”) that “Gender inequality and poverty – together, not apart – are the cause of almost all deaths during childbirth: half a million women die each year in childbirth, but these deaths are registered almost exclusively amongst poor women.” Farmer also argues however that these deaths can be prevented. </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Q: Please present the most pertinent points he makes in building this argument in the section of the reading entitled “The case of maternal mortality.” (W2)</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ANSWER:</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u w:val="single"/>
        </w:rPr>
      </w:pPr>
      <w:r w:rsidRPr="00940E78">
        <w:rPr>
          <w:rFonts w:ascii="Times New Roman" w:hAnsi="Times New Roman" w:cs="Times New Roman"/>
          <w:i/>
          <w:iCs/>
          <w:u w:val="single"/>
        </w:rPr>
        <w:t>Main Points of Farmer’s Argument:</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u w:val="single"/>
        </w:rPr>
      </w:pPr>
    </w:p>
    <w:p w:rsidR="00660CEE" w:rsidRPr="00940E78" w:rsidRDefault="00660CEE" w:rsidP="007361A9">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 xml:space="preserve">(pg. 9 of the article) Lack of “modern obstetrics” leads to maternal mortality. </w:t>
      </w:r>
    </w:p>
    <w:p w:rsidR="00660CEE" w:rsidRPr="00940E78" w:rsidRDefault="00660CEE" w:rsidP="007361A9">
      <w:pPr>
        <w:pStyle w:val="ListParagraph"/>
        <w:numPr>
          <w:ilvl w:val="1"/>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examples: Clean hospitals and equipment, blood for transfusions, electricity, proper facilities such as operating rooms, post-operative care units</w:t>
      </w:r>
    </w:p>
    <w:p w:rsidR="00660CEE" w:rsidRPr="00940E78" w:rsidRDefault="00660CEE" w:rsidP="007361A9">
      <w:pPr>
        <w:pStyle w:val="ListParagraph"/>
        <w:numPr>
          <w:ilvl w:val="1"/>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Example provided: In Malawi a visit to a hospital and interview with obstetrician Tarek Meguid</w:t>
      </w:r>
    </w:p>
    <w:p w:rsidR="00660CEE" w:rsidRPr="00940E78" w:rsidRDefault="00660CEE" w:rsidP="007361A9">
      <w:pPr>
        <w:pStyle w:val="ListParagraph"/>
        <w:numPr>
          <w:ilvl w:val="2"/>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Hospital was clean but lacked supplies and personnel</w:t>
      </w:r>
    </w:p>
    <w:p w:rsidR="00660CEE" w:rsidRPr="00940E78" w:rsidRDefault="00660CEE" w:rsidP="007361A9">
      <w:pPr>
        <w:pStyle w:val="ListParagraph"/>
        <w:numPr>
          <w:ilvl w:val="2"/>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“Outside the doors of a single OR was a gurney piled high with surgical drapes in tatter. He referred to the hallway as ‘post-op’” (pg.9 of the article)</w:t>
      </w:r>
    </w:p>
    <w:p w:rsidR="00660CEE" w:rsidRPr="00940E78" w:rsidRDefault="00660CEE" w:rsidP="007361A9">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 xml:space="preserve">Lack of initiatives for disease prevention can lead to an increased rate of maternal mortality as well. </w:t>
      </w:r>
    </w:p>
    <w:p w:rsidR="00660CEE" w:rsidRPr="00940E78" w:rsidRDefault="00660CEE" w:rsidP="007361A9">
      <w:pPr>
        <w:pStyle w:val="ListParagraph"/>
        <w:numPr>
          <w:ilvl w:val="1"/>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“preventing maternal death in regions of high HIV endemicity will also require improving coverage levels for prevention and treatment of major infectious disease, including aids, tuberculosis, and malaria, which have been shown to contribute substantially to maternal mortality rates in some area” (pg. 9 of the article)</w:t>
      </w:r>
    </w:p>
    <w:p w:rsidR="00660CEE" w:rsidRPr="00940E78" w:rsidRDefault="00660CEE" w:rsidP="007361A9">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Political bodies, human rights activist groups, and private institutions need to be pressured to disperse resources that are needed to countries with high infant mortality rates. Without the materials to run the hospitals, how can making the rights important be of value?</w:t>
      </w:r>
    </w:p>
    <w:p w:rsidR="00660CEE" w:rsidRPr="00940E78" w:rsidRDefault="00660CEE" w:rsidP="007361A9">
      <w:pPr>
        <w:pStyle w:val="ListParagraph"/>
        <w:numPr>
          <w:ilvl w:val="0"/>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Safe child-birth needs to be established as a human right</w:t>
      </w:r>
    </w:p>
    <w:p w:rsidR="00660CEE" w:rsidRPr="00940E78" w:rsidRDefault="00660CEE" w:rsidP="007361A9">
      <w:pPr>
        <w:pStyle w:val="ListParagraph"/>
        <w:numPr>
          <w:ilvl w:val="1"/>
          <w:numId w:val="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“In short, as a public health activist I advocate challenging the present priorities, which place civil and legal rights first and adjourn substantive rights for another day. It is when people are able to eat and be well that they have a chance to build democratic institutions” (pg. 11 of the article)</w:t>
      </w:r>
    </w:p>
    <w:p w:rsidR="00660CEE" w:rsidRPr="00940E78" w:rsidRDefault="00660CEE" w:rsidP="007361A9">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ind w:left="1440"/>
        <w:rPr>
          <w:rFonts w:ascii="Times New Roman" w:hAnsi="Times New Roman" w:cs="Times New Roman"/>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 xml:space="preserve">4. Q Part one) Based on reading 7 (“Notes on Torture’s Objectives, Means, and Symptoms”), list FOUR of the objectives of torture. </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Q Part two) Then list FOUR ways by which torturers characteristically achieve these goals, illustrating each way with an example of how they apply to the torture of Marcos Arruda as reported in A Torture in Brazil@ (reading 8: “Torture in Brazil” by Amnesty International, pgs. 58-61 in Voices for Freedom). (W4)</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ANSWER:</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rPr>
      </w:pPr>
      <w:r w:rsidRPr="00940E78">
        <w:rPr>
          <w:rFonts w:ascii="Times New Roman" w:hAnsi="Times New Roman" w:cs="Times New Roman"/>
          <w:i/>
          <w:iCs/>
        </w:rPr>
        <w:t>Part One:</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u w:val="single"/>
        </w:rPr>
      </w:pPr>
      <w:r w:rsidRPr="00940E78">
        <w:rPr>
          <w:rFonts w:ascii="Times New Roman" w:hAnsi="Times New Roman" w:cs="Times New Roman"/>
          <w:i/>
          <w:iCs/>
          <w:u w:val="single"/>
        </w:rPr>
        <w:t>Objectives of Torture</w:t>
      </w:r>
    </w:p>
    <w:p w:rsidR="00660CEE" w:rsidRPr="00940E78" w:rsidRDefault="00660CEE" w:rsidP="007361A9">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i/>
          <w:iCs/>
        </w:rPr>
      </w:pPr>
    </w:p>
    <w:p w:rsidR="00660CEE" w:rsidRPr="00940E78" w:rsidRDefault="00660CEE" w:rsidP="007361A9">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i/>
          <w:iCs/>
        </w:rPr>
      </w:pPr>
      <w:r w:rsidRPr="00940E78">
        <w:rPr>
          <w:rFonts w:ascii="Times New Roman" w:hAnsi="Times New Roman" w:cs="Times New Roman"/>
          <w:i/>
          <w:iCs/>
        </w:rPr>
        <w:t>Copied directly from pg. 64 of the coursepack</w:t>
      </w:r>
    </w:p>
    <w:p w:rsidR="00660CEE" w:rsidRPr="00940E78" w:rsidRDefault="00660CEE" w:rsidP="007361A9">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i/>
          <w:i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 Punish dissidents</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-Gather information</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-Force the prisoner to incriminate others</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-Indoctrinate the prisoner in an effort to compel them to change their beliefs and loyalties</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-Perhaps most importantly, deter the prisoner and others from political activity</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rPr>
      </w:pPr>
    </w:p>
    <w:p w:rsidR="00660CEE"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rPr>
      </w:pPr>
      <w:r w:rsidRPr="00940E78">
        <w:rPr>
          <w:rFonts w:ascii="Times New Roman" w:hAnsi="Times New Roman" w:cs="Times New Roman"/>
          <w:i/>
          <w:iCs/>
        </w:rPr>
        <w:t>Part Two:</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u w:val="single"/>
        </w:rPr>
      </w:pPr>
      <w:r w:rsidRPr="00940E78">
        <w:rPr>
          <w:rFonts w:ascii="Times New Roman" w:hAnsi="Times New Roman" w:cs="Times New Roman"/>
          <w:i/>
          <w:iCs/>
          <w:u w:val="single"/>
        </w:rPr>
        <w:t>Four Ways Torturers Characteristically Achieve Objectives/Marcos Arruda Examples</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i/>
          <w:iCs/>
          <w:u w:val="single"/>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 xml:space="preserve">1) Abuse prisoners to cause physical and mental suffering </w:t>
      </w:r>
    </w:p>
    <w:p w:rsidR="00660CEE" w:rsidRPr="00940E78" w:rsidRDefault="00660CEE" w:rsidP="007361A9">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Example: They humiliated him in front of others, and when the electrics shocks produced smoke they laughed at him and suggested other places to shock him. They put him in a room with other captives who were naked.</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2) Degrade and humiliate the prisoner</w:t>
      </w:r>
    </w:p>
    <w:p w:rsidR="00660CEE" w:rsidRPr="00940E78" w:rsidRDefault="00660CEE" w:rsidP="007361A9">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Example: Making him and others be naked in front of other people, calling him names</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3) Keep prisoner in constant state of fear and anxiety</w:t>
      </w:r>
    </w:p>
    <w:p w:rsidR="00660CEE" w:rsidRPr="00940E78" w:rsidRDefault="00660CEE" w:rsidP="007361A9">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Example: They would revive him with water when he would pass out from pain; constantly they threatened him with putting a gun in his mouth or face. They had another captor sent into the room and sent him in named as “Frankenstein”. They told this captive to tell him that if he did not talk then he would be killed. When he was sent to the hospital they continued to interrogate him, threaten him and attempted to murder him in the hospital.</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4) Making the prisoner believe that their fate is entirely in the hands of their captors.</w:t>
      </w:r>
    </w:p>
    <w:p w:rsidR="00660CEE" w:rsidRPr="00940E78" w:rsidRDefault="00660CEE" w:rsidP="007361A9">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Example: Threatening to kill him and also almost killing him while at the hospital</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 xml:space="preserve">7. Under the heading “Criminalization of Political Dissent” on pages 94 – 96 of reading 15 (“Police Violence and State Repression at the Toronto G20: The Facts”), the authors provide FOUR examples of how political dissent was criminalized at the Toronto G20 meetings. </w:t>
      </w:r>
    </w:p>
    <w:p w:rsidR="00660CEE"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Q: Name and thoroughly describe each of the four examples. (W7)</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940E78">
        <w:rPr>
          <w:rFonts w:ascii="Times New Roman" w:hAnsi="Times New Roman" w:cs="Times New Roman"/>
          <w:b/>
          <w:bCs/>
        </w:rPr>
        <w:t>ANSWER:</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u w:val="single"/>
        </w:rPr>
      </w:pPr>
      <w:r w:rsidRPr="00940E78">
        <w:rPr>
          <w:rFonts w:ascii="Times New Roman" w:hAnsi="Times New Roman" w:cs="Times New Roman"/>
          <w:u w:val="single"/>
        </w:rPr>
        <w:t>Four Ways Political Dissent was Criminalized During Toronto G20</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jc w:val="center"/>
        <w:rPr>
          <w:rFonts w:ascii="Times New Roman" w:hAnsi="Times New Roman" w:cs="Times New Roman"/>
          <w:u w:val="single"/>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r w:rsidRPr="00940E78">
        <w:rPr>
          <w:rFonts w:ascii="Times New Roman" w:hAnsi="Times New Roman" w:cs="Times New Roman"/>
          <w:i/>
          <w:iCs/>
        </w:rPr>
        <w:t>*pg. 123-124 of the coursepack/ 95-96 of the article</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i/>
          <w:iCs/>
        </w:rPr>
      </w:pP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 xml:space="preserve">1) “The criminalization of political thought and expression” </w:t>
      </w:r>
    </w:p>
    <w:p w:rsidR="00660CEE" w:rsidRPr="00940E78" w:rsidRDefault="00660CEE" w:rsidP="007361A9">
      <w:pPr>
        <w:pStyle w:val="ListParagraph"/>
        <w:numPr>
          <w:ilvl w:val="0"/>
          <w:numId w:val="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Arrested and held a young activist on seven counts of mischief when they caught him posting up signs in relation to the G20 – Media reports of anarchist sent message of political belief being criminal acts</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2) “The criminalization of Community Organizers”</w:t>
      </w:r>
    </w:p>
    <w:p w:rsidR="00660CEE" w:rsidRPr="00940E78" w:rsidRDefault="00660CEE" w:rsidP="007361A9">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 xml:space="preserve">Treatment of community organizers as dangerous criminals. </w:t>
      </w:r>
    </w:p>
    <w:p w:rsidR="00660CEE" w:rsidRPr="00940E78" w:rsidRDefault="00660CEE" w:rsidP="007361A9">
      <w:pPr>
        <w:pStyle w:val="ListParagraph"/>
        <w:numPr>
          <w:ilvl w:val="0"/>
          <w:numId w:val="1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Police harassment and CISIS interrogation at home and workplace weeks prior to G20</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 xml:space="preserve">3) “The criminalization of ‘knowing your rights’” </w:t>
      </w:r>
    </w:p>
    <w:p w:rsidR="00660CEE" w:rsidRPr="00940E78" w:rsidRDefault="00660CEE" w:rsidP="007361A9">
      <w:pPr>
        <w:pStyle w:val="ListParagraph"/>
        <w:numPr>
          <w:ilvl w:val="1"/>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MDC advocate protestors wrote a legal support line on their arms and were arrested for criminal intent. The rationale behind arrests was that law abiding citizens do not need legal support and having a lawyer’s contact information on hand proves intent to commit crimes.</w:t>
      </w:r>
    </w:p>
    <w:p w:rsidR="00660CEE" w:rsidRPr="00940E78" w:rsidRDefault="00660CEE" w:rsidP="007361A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rPr>
      </w:pPr>
      <w:r w:rsidRPr="00940E78">
        <w:rPr>
          <w:rFonts w:ascii="Times New Roman" w:hAnsi="Times New Roman" w:cs="Times New Roman"/>
        </w:rPr>
        <w:t>4) “The criminalization of the protest”</w:t>
      </w:r>
    </w:p>
    <w:p w:rsidR="00660CEE" w:rsidRPr="00940E78" w:rsidRDefault="00660CEE" w:rsidP="007361A9">
      <w:pPr>
        <w:pStyle w:val="ListParagraph"/>
        <w:numPr>
          <w:ilvl w:val="1"/>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Police seized property of items commonly used in protests/public demonstration such as goggles, water bottles, bamboo sticks and other items deemed relevant.</w:t>
      </w:r>
    </w:p>
    <w:p w:rsidR="00660CEE" w:rsidRDefault="00660CEE" w:rsidP="007361A9">
      <w:pPr>
        <w:pStyle w:val="ListParagraph"/>
        <w:numPr>
          <w:ilvl w:val="1"/>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40E78">
        <w:rPr>
          <w:rFonts w:ascii="Times New Roman" w:hAnsi="Times New Roman" w:cs="Times New Roman"/>
        </w:rPr>
        <w:t xml:space="preserve">The rationale behind seizures of property was that possession of such items proved “intent to cause mischief” </w:t>
      </w:r>
    </w:p>
    <w:p w:rsidR="00660CEE" w:rsidRDefault="00660CEE" w:rsidP="008E763A">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ind w:left="1440"/>
        <w:rPr>
          <w:rFonts w:ascii="Times New Roman" w:hAnsi="Times New Roman" w:cs="Times New Roman"/>
        </w:rPr>
      </w:pPr>
    </w:p>
    <w:p w:rsidR="00660CEE" w:rsidRDefault="00660CEE" w:rsidP="00ED1B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r w:rsidRPr="008E763A">
        <w:rPr>
          <w:rFonts w:ascii="Times New Roman" w:hAnsi="Times New Roman" w:cs="Times New Roman"/>
          <w:b/>
          <w:bCs/>
        </w:rPr>
        <w:t xml:space="preserve">9.  Utilizing information presented on pages 75 - 84 of reading 20 (“War Crimes Against Iraq’s Civilian Population”), </w:t>
      </w:r>
    </w:p>
    <w:p w:rsidR="00660CEE" w:rsidRDefault="00660CEE" w:rsidP="00ED1B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Default="00660CEE" w:rsidP="00ED1B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r>
        <w:rPr>
          <w:rFonts w:ascii="Times New Roman" w:hAnsi="Times New Roman" w:cs="Times New Roman"/>
          <w:b/>
          <w:bCs/>
        </w:rPr>
        <w:t xml:space="preserve">Q: </w:t>
      </w:r>
      <w:r w:rsidRPr="008E763A">
        <w:rPr>
          <w:rFonts w:ascii="Times New Roman" w:hAnsi="Times New Roman" w:cs="Times New Roman"/>
          <w:b/>
          <w:bCs/>
        </w:rPr>
        <w:t>indicate SIX distinct ways that sanctions had a negative impact on the well-being of Iraq’s civilian population. (W9)</w:t>
      </w:r>
    </w:p>
    <w:p w:rsidR="00660CEE" w:rsidRDefault="00660CEE" w:rsidP="00ED1B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Default="00660CEE" w:rsidP="00ED1B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r>
        <w:rPr>
          <w:rFonts w:ascii="Times New Roman" w:hAnsi="Times New Roman" w:cs="Times New Roman"/>
          <w:b/>
          <w:bCs/>
        </w:rPr>
        <w:t>ANSWER:</w:t>
      </w:r>
    </w:p>
    <w:p w:rsidR="00660CEE" w:rsidRDefault="00660CEE" w:rsidP="00ED1B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Pr="00910384" w:rsidRDefault="00660CEE" w:rsidP="00910384">
      <w:pPr>
        <w:pStyle w:val="ListParagraph"/>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10384">
        <w:rPr>
          <w:rFonts w:ascii="Times New Roman" w:hAnsi="Times New Roman" w:cs="Times New Roman"/>
        </w:rPr>
        <w:t>“Prevented Iraq from restoring vital services….reduced Iraq to a pre-industrial state.”(Pg. 170 of the coursepack/ 75 of the)  Prior to the war, bombings and sanctions, Iraq had a profitable future in the oil industry.</w:t>
      </w:r>
    </w:p>
    <w:p w:rsidR="00660CEE" w:rsidRPr="00910384" w:rsidRDefault="00660CEE" w:rsidP="00910384">
      <w:pPr>
        <w:pStyle w:val="ListParagraph"/>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10384">
        <w:rPr>
          <w:rFonts w:ascii="Times New Roman" w:hAnsi="Times New Roman" w:cs="Times New Roman"/>
        </w:rPr>
        <w:t xml:space="preserve"> “UN- sponsored sanctions imposed in earl August made Iraq far more vulnerable before the bombing began, reducing medical supplies, impairing health conditions, eroding food reserves, and effectively shutting down much of its economy.” (Pg. 171 of the coursepack/76 of the article)</w:t>
      </w:r>
    </w:p>
    <w:p w:rsidR="00660CEE" w:rsidRPr="00910384" w:rsidRDefault="00660CEE" w:rsidP="00910384">
      <w:pPr>
        <w:pStyle w:val="ListParagraph"/>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10384">
        <w:rPr>
          <w:rFonts w:ascii="Times New Roman" w:hAnsi="Times New Roman" w:cs="Times New Roman"/>
        </w:rPr>
        <w:t>Export/Import restricted – shortages to hospitals on medical supplies and food for citizens. Natural feed from farms depleted.</w:t>
      </w:r>
    </w:p>
    <w:p w:rsidR="00660CEE" w:rsidRDefault="00660CEE" w:rsidP="00910384">
      <w:pPr>
        <w:pStyle w:val="ListParagraph"/>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910384">
        <w:rPr>
          <w:rFonts w:ascii="Times New Roman" w:hAnsi="Times New Roman" w:cs="Times New Roman"/>
        </w:rPr>
        <w:t>“Sanctions also meant that Iraq could not rebuild its productive facilities. The factories that remained were mostly idled, as the domestic market had collapsed and no exports were allowed.”</w:t>
      </w:r>
      <w:r>
        <w:rPr>
          <w:rFonts w:ascii="Times New Roman" w:hAnsi="Times New Roman" w:cs="Times New Roman"/>
        </w:rPr>
        <w:t xml:space="preserve"> (pg. 172 of the coursepack/ 79 of the article)</w:t>
      </w:r>
    </w:p>
    <w:p w:rsidR="00660CEE" w:rsidRDefault="00660CEE" w:rsidP="00F97F33">
      <w:pPr>
        <w:pStyle w:val="ListParagraph"/>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“Child mortality tripled through 1991 and in some areas quadrupled” (pg. 172 of the coursepack/ 79 of the article)</w:t>
      </w: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r w:rsidRPr="009D2860">
        <w:rPr>
          <w:rFonts w:ascii="Times New Roman" w:hAnsi="Times New Roman" w:cs="Times New Roman"/>
          <w:b/>
          <w:bCs/>
        </w:rPr>
        <w:t xml:space="preserve">11. Making use of readings J (“Justice in Tiers: Security Certificate Detention in Canada”) and L (“Mohamed Harkat condemned </w:t>
      </w:r>
      <w:r>
        <w:rPr>
          <w:rFonts w:ascii="Times New Roman" w:hAnsi="Times New Roman" w:cs="Times New Roman"/>
          <w:b/>
          <w:bCs/>
        </w:rPr>
        <w:t>by a secret system of justice”)</w:t>
      </w: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r>
        <w:rPr>
          <w:rFonts w:ascii="Times New Roman" w:hAnsi="Times New Roman" w:cs="Times New Roman"/>
          <w:b/>
          <w:bCs/>
        </w:rPr>
        <w:t>Q:</w:t>
      </w:r>
      <w:r w:rsidRPr="009D2860">
        <w:rPr>
          <w:rFonts w:ascii="Times New Roman" w:hAnsi="Times New Roman" w:cs="Times New Roman"/>
          <w:b/>
          <w:bCs/>
        </w:rPr>
        <w:t xml:space="preserve"> briefly describe SIX different criticisms of the Security Certificate process. (W11)</w:t>
      </w: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r>
        <w:rPr>
          <w:rFonts w:ascii="Times New Roman" w:hAnsi="Times New Roman" w:cs="Times New Roman"/>
          <w:b/>
          <w:bCs/>
        </w:rPr>
        <w:t>ANSWER:</w:t>
      </w: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Pr="00AC7BBF" w:rsidRDefault="00660CEE" w:rsidP="00AC7BB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jc w:val="center"/>
        <w:rPr>
          <w:rFonts w:ascii="Times New Roman" w:hAnsi="Times New Roman" w:cs="Times New Roman"/>
          <w:i/>
          <w:iCs/>
        </w:rPr>
      </w:pPr>
      <w:r>
        <w:rPr>
          <w:rFonts w:ascii="Times New Roman" w:hAnsi="Times New Roman" w:cs="Times New Roman"/>
          <w:i/>
          <w:iCs/>
        </w:rPr>
        <w:t>reading</w:t>
      </w:r>
      <w:r w:rsidRPr="00AC7BBF">
        <w:rPr>
          <w:rFonts w:ascii="Times New Roman" w:hAnsi="Times New Roman" w:cs="Times New Roman"/>
          <w:i/>
          <w:iCs/>
        </w:rPr>
        <w:t xml:space="preserve"> J (“Justice in Tiers: Security Certificate Detention in Canada”)</w:t>
      </w:r>
      <w:r>
        <w:rPr>
          <w:rFonts w:ascii="Times New Roman" w:hAnsi="Times New Roman" w:cs="Times New Roman"/>
          <w:i/>
          <w:iCs/>
        </w:rPr>
        <w:t xml:space="preserve"> - Notes</w:t>
      </w:r>
    </w:p>
    <w:p w:rsidR="00660CEE" w:rsidRDefault="00660CEE" w:rsidP="00E5245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Pr="002473E4" w:rsidRDefault="00660CEE" w:rsidP="002473E4">
      <w:pPr>
        <w:pStyle w:val="ListParagraph"/>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2473E4">
        <w:rPr>
          <w:rFonts w:ascii="Times New Roman" w:hAnsi="Times New Roman" w:cs="Times New Roman"/>
        </w:rPr>
        <w:t>SOPHIE: “We do have a two-tiered system in Canada. Security certificates target only non-status individuals, refugees and immigrants, and they allow for indefinite detention, in most cases for years - without access to the evidence.” (pg. 2 of the article)</w:t>
      </w:r>
    </w:p>
    <w:p w:rsidR="00660CEE" w:rsidRPr="002473E4" w:rsidRDefault="00660CEE" w:rsidP="002473E4">
      <w:pPr>
        <w:pStyle w:val="ListParagraph"/>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2473E4">
        <w:rPr>
          <w:rFonts w:ascii="Times New Roman" w:hAnsi="Times New Roman" w:cs="Times New Roman"/>
        </w:rPr>
        <w:t>SOPHIE: “We have a criminal justice system in place, but instead of using it, the government has chosen to adopt a system that leaves non-citizens without rights, in the dark, and at risk of deportation and torture or death.” (pg. 2 of the article)</w:t>
      </w:r>
    </w:p>
    <w:p w:rsidR="00660CEE" w:rsidRPr="002473E4" w:rsidRDefault="00660CEE" w:rsidP="002473E4">
      <w:pPr>
        <w:pStyle w:val="ListParagraph"/>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2473E4">
        <w:rPr>
          <w:rFonts w:ascii="Times New Roman" w:hAnsi="Times New Roman" w:cs="Times New Roman"/>
        </w:rPr>
        <w:t>MOE: “These cases really frustrate me. They show how governments will never willfully admit to their mistakes. If you look at the Arar case, the RCMP clearly acted inappropriately. They knew it all along, but they only owned up to it after a full public inquiry. The government ignores the psychological damage that this does to the people who are labeled “suspicious” (pg 3 of the article)</w:t>
      </w:r>
    </w:p>
    <w:p w:rsidR="00660CEE" w:rsidRPr="00E70629" w:rsidRDefault="00660CEE" w:rsidP="000246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p>
    <w:p w:rsidR="00660CEE" w:rsidRPr="00E70629" w:rsidRDefault="00660CEE" w:rsidP="00E706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jc w:val="center"/>
        <w:rPr>
          <w:rFonts w:ascii="Times New Roman" w:hAnsi="Times New Roman" w:cs="Times New Roman"/>
          <w:i/>
          <w:iCs/>
        </w:rPr>
      </w:pPr>
      <w:r w:rsidRPr="00E70629">
        <w:rPr>
          <w:rFonts w:ascii="Times New Roman" w:hAnsi="Times New Roman" w:cs="Times New Roman"/>
          <w:i/>
          <w:iCs/>
        </w:rPr>
        <w:t xml:space="preserve">Reading L (“Mohamed Harkat condemned </w:t>
      </w:r>
      <w:r>
        <w:rPr>
          <w:rFonts w:ascii="Times New Roman" w:hAnsi="Times New Roman" w:cs="Times New Roman"/>
          <w:i/>
          <w:iCs/>
        </w:rPr>
        <w:t>by a secret system of justice”)- Notes</w:t>
      </w:r>
    </w:p>
    <w:p w:rsidR="00660CEE" w:rsidRDefault="00660CEE" w:rsidP="0002460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p>
    <w:p w:rsidR="00660CEE" w:rsidRPr="002473E4" w:rsidRDefault="00660CEE" w:rsidP="002473E4">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2473E4">
        <w:rPr>
          <w:rFonts w:ascii="Times New Roman" w:hAnsi="Times New Roman" w:cs="Times New Roman"/>
        </w:rPr>
        <w:t>“The standard of proof in such hearings (which only apply to refugees and immigrants) is the lowest of any court in Canada, and a judge may accept as evidence anything not normally admissible in a court of law.”</w:t>
      </w:r>
    </w:p>
    <w:p w:rsidR="00660CEE" w:rsidRDefault="00660CEE" w:rsidP="002473E4">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sidRPr="002473E4">
        <w:rPr>
          <w:rFonts w:ascii="Times New Roman" w:hAnsi="Times New Roman" w:cs="Times New Roman"/>
        </w:rPr>
        <w:t>”</w:t>
      </w:r>
      <w:r w:rsidRPr="00F479FB">
        <w:t xml:space="preserve"> </w:t>
      </w:r>
      <w:r w:rsidRPr="002473E4">
        <w:rPr>
          <w:rFonts w:ascii="Times New Roman" w:hAnsi="Times New Roman" w:cs="Times New Roman"/>
        </w:rPr>
        <w:t>Due to a system based on secret allegations that neither accused nor lawyers can contest, Harkat has, for eight years, been subject to a "security certificate," a measure by which individuals can be detained, held indefinitely without charge, and ultimately be deported, despite the risk of torture.”</w:t>
      </w:r>
    </w:p>
    <w:p w:rsidR="00660CEE" w:rsidRDefault="00660CEE" w:rsidP="002473E4">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w:t>
      </w:r>
      <w:r w:rsidRPr="008D0EF6">
        <w:rPr>
          <w:rFonts w:ascii="Times New Roman" w:hAnsi="Times New Roman" w:cs="Times New Roman"/>
        </w:rPr>
        <w:t>Despite a unanimous 2007 supreme court ruling that found the secret-trials process to be unconstitutional, parliament simply reintroduced new legislation that mirrored the old. Despite a limited (and many claimed a sham) process of consultation with parliamentarians, during which leading legal experts, academics, and human rights organizations showed in stark terms how the new law would not withstand a Charter of Rights and Freedoms challenge, the bill sailed through parliament and, in 2008, resulted in new certificates being issued against Harkat and four other Muslim men. Two of these certificates have since been quashed.</w:t>
      </w:r>
      <w:r>
        <w:rPr>
          <w:rFonts w:ascii="Times New Roman" w:hAnsi="Times New Roman" w:cs="Times New Roman"/>
        </w:rPr>
        <w:t>”</w:t>
      </w:r>
    </w:p>
    <w:p w:rsidR="00660CEE" w:rsidRDefault="00660CEE" w:rsidP="002473E4">
      <w:pPr>
        <w:pStyle w:val="ListParagraph"/>
        <w:numPr>
          <w:ilvl w:val="0"/>
          <w:numId w:val="1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w:t>
      </w:r>
      <w:r w:rsidRPr="00DC6EF6">
        <w:rPr>
          <w:rFonts w:ascii="Times New Roman" w:hAnsi="Times New Roman" w:cs="Times New Roman"/>
        </w:rPr>
        <w:t>In his ruling on constitutional issues, Noel does acknowledge that Harkat's Charter rights have been violated by the current process, stating that Harkat "is deprived of his liberty and eventually, depending on future decisions, of his right to the security of the person as well."</w:t>
      </w: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jc w:val="center"/>
        <w:rPr>
          <w:rFonts w:ascii="Times New Roman" w:hAnsi="Times New Roman" w:cs="Times New Roman"/>
          <w:u w:val="single"/>
        </w:rPr>
      </w:pPr>
      <w:r w:rsidRPr="00347EAA">
        <w:rPr>
          <w:rFonts w:ascii="Times New Roman" w:hAnsi="Times New Roman" w:cs="Times New Roman"/>
          <w:u w:val="single"/>
        </w:rPr>
        <w:t>Summary of Criticisms</w:t>
      </w: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jc w:val="center"/>
        <w:rPr>
          <w:rFonts w:ascii="Times New Roman" w:hAnsi="Times New Roman" w:cs="Times New Roman"/>
          <w:u w:val="single"/>
        </w:rPr>
      </w:pP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1) Unconstitutional violation of human rights – 2007 supreme court ruled secret trial process as unconstitutional. Harhat’s charter rights breached in his security certificate case: liberty and security of the person</w:t>
      </w: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 xml:space="preserve">2) No set sentencing for the accused leads to indefinite jail time. </w:t>
      </w: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3) Secret trial process leads to an inability to defend yourself if held on a security certificate</w:t>
      </w: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 xml:space="preserve">4) Corruption – security certificates allow RCMP and other bodies of law enforcement to breach a person’s rights and act unconstitutionally. Enforces racism. Evidence submitted to judge is subjected to lower standards of quality than a normal legal case. </w:t>
      </w: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 xml:space="preserve">5) Destroys families: The trial process has emotional impacts on families and effecting everyone close to the accused. </w:t>
      </w:r>
    </w:p>
    <w:p w:rsidR="00660CEE"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r>
        <w:rPr>
          <w:rFonts w:ascii="Times New Roman" w:hAnsi="Times New Roman" w:cs="Times New Roman"/>
        </w:rPr>
        <w:t>6) It targets specifically non-citizens</w:t>
      </w:r>
    </w:p>
    <w:p w:rsidR="00660CEE" w:rsidRPr="00347EAA" w:rsidRDefault="00660CEE" w:rsidP="00347EA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p>
    <w:p w:rsidR="00660CEE" w:rsidRDefault="00660CEE" w:rsidP="008956C9">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p>
    <w:p w:rsidR="00660CEE" w:rsidRPr="00910384" w:rsidRDefault="00660CEE" w:rsidP="00F97F33">
      <w:pPr>
        <w:pStyle w:val="ListParagraph"/>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rPr>
      </w:pPr>
    </w:p>
    <w:p w:rsidR="00660CEE" w:rsidRPr="008E763A" w:rsidRDefault="00660CEE" w:rsidP="00ED1B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rPr>
          <w:rFonts w:ascii="Times New Roman" w:hAnsi="Times New Roman" w:cs="Times New Roman"/>
          <w:b/>
          <w:bCs/>
        </w:rPr>
      </w:pPr>
    </w:p>
    <w:p w:rsidR="00660CEE" w:rsidRPr="00A95DFB" w:rsidRDefault="00660CEE" w:rsidP="00A95DF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spacing w:after="0" w:line="240" w:lineRule="auto"/>
        <w:contextualSpacing/>
        <w:rPr>
          <w:rFonts w:ascii="Times New Roman" w:hAnsi="Times New Roman" w:cs="Times New Roman"/>
          <w:b/>
          <w:bCs/>
        </w:rPr>
      </w:pPr>
      <w:r w:rsidRPr="008E763A">
        <w:rPr>
          <w:rFonts w:ascii="Times New Roman" w:hAnsi="Times New Roman" w:cs="Times New Roman"/>
          <w:b/>
          <w:bCs/>
        </w:rPr>
        <w:t xml:space="preserve"> </w:t>
      </w:r>
      <w:bookmarkStart w:id="0" w:name="_GoBack"/>
      <w:bookmarkEnd w:id="0"/>
    </w:p>
    <w:sectPr w:rsidR="00660CEE" w:rsidRPr="00A95DFB" w:rsidSect="008C2CED">
      <w:pgSz w:w="12240" w:h="15840"/>
      <w:pgMar w:top="270" w:right="540" w:bottom="180" w:left="9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A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27E03"/>
    <w:multiLevelType w:val="hybridMultilevel"/>
    <w:tmpl w:val="9F2CDC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E086F"/>
    <w:multiLevelType w:val="hybridMultilevel"/>
    <w:tmpl w:val="605067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nsid w:val="1308539F"/>
    <w:multiLevelType w:val="hybridMultilevel"/>
    <w:tmpl w:val="A1E0BA88"/>
    <w:lvl w:ilvl="0" w:tplc="415CC8C4">
      <w:start w:val="1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14EC667E"/>
    <w:multiLevelType w:val="hybridMultilevel"/>
    <w:tmpl w:val="7B5ABF48"/>
    <w:lvl w:ilvl="0" w:tplc="3AF42060">
      <w:start w:val="1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nsid w:val="1720573A"/>
    <w:multiLevelType w:val="hybridMultilevel"/>
    <w:tmpl w:val="CC6010F6"/>
    <w:lvl w:ilvl="0" w:tplc="FA08A6D6">
      <w:start w:val="1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175C6380"/>
    <w:multiLevelType w:val="hybridMultilevel"/>
    <w:tmpl w:val="902EB50C"/>
    <w:lvl w:ilvl="0" w:tplc="F9E213F8">
      <w:start w:val="1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nsid w:val="221D6392"/>
    <w:multiLevelType w:val="hybridMultilevel"/>
    <w:tmpl w:val="589CE5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nsid w:val="29031022"/>
    <w:multiLevelType w:val="hybridMultilevel"/>
    <w:tmpl w:val="3E98BA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8">
    <w:nsid w:val="3DC033AA"/>
    <w:multiLevelType w:val="hybridMultilevel"/>
    <w:tmpl w:val="D61EF5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4B6F2022"/>
    <w:multiLevelType w:val="hybridMultilevel"/>
    <w:tmpl w:val="3756300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nsid w:val="50DC4D56"/>
    <w:multiLevelType w:val="hybridMultilevel"/>
    <w:tmpl w:val="1F381EA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nsid w:val="569028E9"/>
    <w:multiLevelType w:val="hybridMultilevel"/>
    <w:tmpl w:val="8678418E"/>
    <w:lvl w:ilvl="0" w:tplc="04090001">
      <w:start w:val="1"/>
      <w:numFmt w:val="bullet"/>
      <w:lvlText w:val=""/>
      <w:lvlJc w:val="left"/>
      <w:pPr>
        <w:ind w:left="780" w:hanging="360"/>
      </w:pPr>
      <w:rPr>
        <w:rFonts w:ascii="Symbol" w:hAnsi="Symbol" w:cs="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cs="Wingdings" w:hint="default"/>
      </w:rPr>
    </w:lvl>
    <w:lvl w:ilvl="3" w:tplc="04090001" w:tentative="1">
      <w:start w:val="1"/>
      <w:numFmt w:val="bullet"/>
      <w:lvlText w:val=""/>
      <w:lvlJc w:val="left"/>
      <w:pPr>
        <w:ind w:left="2940" w:hanging="360"/>
      </w:pPr>
      <w:rPr>
        <w:rFonts w:ascii="Symbol" w:hAnsi="Symbol" w:cs="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cs="Wingdings" w:hint="default"/>
      </w:rPr>
    </w:lvl>
    <w:lvl w:ilvl="6" w:tplc="04090001" w:tentative="1">
      <w:start w:val="1"/>
      <w:numFmt w:val="bullet"/>
      <w:lvlText w:val=""/>
      <w:lvlJc w:val="left"/>
      <w:pPr>
        <w:ind w:left="5100" w:hanging="360"/>
      </w:pPr>
      <w:rPr>
        <w:rFonts w:ascii="Symbol" w:hAnsi="Symbol" w:cs="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cs="Wingdings" w:hint="default"/>
      </w:rPr>
    </w:lvl>
  </w:abstractNum>
  <w:abstractNum w:abstractNumId="12">
    <w:nsid w:val="66324A39"/>
    <w:multiLevelType w:val="hybridMultilevel"/>
    <w:tmpl w:val="1E58679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3">
    <w:nsid w:val="69B9381E"/>
    <w:multiLevelType w:val="hybridMultilevel"/>
    <w:tmpl w:val="0F745372"/>
    <w:lvl w:ilvl="0" w:tplc="6ABC4964">
      <w:start w:val="1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nsid w:val="7EC47FD1"/>
    <w:multiLevelType w:val="hybridMultilevel"/>
    <w:tmpl w:val="126E5E9E"/>
    <w:lvl w:ilvl="0" w:tplc="83689942">
      <w:start w:val="1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nsid w:val="7F50636D"/>
    <w:multiLevelType w:val="hybridMultilevel"/>
    <w:tmpl w:val="189C90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3"/>
  </w:num>
  <w:num w:numId="3">
    <w:abstractNumId w:val="13"/>
  </w:num>
  <w:num w:numId="4">
    <w:abstractNumId w:val="2"/>
  </w:num>
  <w:num w:numId="5">
    <w:abstractNumId w:val="4"/>
  </w:num>
  <w:num w:numId="6">
    <w:abstractNumId w:val="14"/>
  </w:num>
  <w:num w:numId="7">
    <w:abstractNumId w:val="1"/>
  </w:num>
  <w:num w:numId="8">
    <w:abstractNumId w:val="6"/>
  </w:num>
  <w:num w:numId="9">
    <w:abstractNumId w:val="12"/>
  </w:num>
  <w:num w:numId="10">
    <w:abstractNumId w:val="7"/>
  </w:num>
  <w:num w:numId="11">
    <w:abstractNumId w:val="10"/>
  </w:num>
  <w:num w:numId="12">
    <w:abstractNumId w:val="8"/>
  </w:num>
  <w:num w:numId="13">
    <w:abstractNumId w:val="15"/>
  </w:num>
  <w:num w:numId="14">
    <w:abstractNumId w:val="0"/>
  </w:num>
  <w:num w:numId="15">
    <w:abstractNumId w:val="11"/>
  </w:num>
  <w:num w:numId="1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04BD"/>
    <w:rsid w:val="000108E0"/>
    <w:rsid w:val="000176B2"/>
    <w:rsid w:val="00024606"/>
    <w:rsid w:val="0002748A"/>
    <w:rsid w:val="000364A9"/>
    <w:rsid w:val="00060647"/>
    <w:rsid w:val="000634E7"/>
    <w:rsid w:val="00064A81"/>
    <w:rsid w:val="000662F6"/>
    <w:rsid w:val="000663D0"/>
    <w:rsid w:val="000F49FA"/>
    <w:rsid w:val="000F6515"/>
    <w:rsid w:val="00115EF6"/>
    <w:rsid w:val="0013039A"/>
    <w:rsid w:val="0018464D"/>
    <w:rsid w:val="001A0A66"/>
    <w:rsid w:val="001A14F9"/>
    <w:rsid w:val="001A1D57"/>
    <w:rsid w:val="001A6C12"/>
    <w:rsid w:val="001E30CB"/>
    <w:rsid w:val="001E5144"/>
    <w:rsid w:val="001F2D0D"/>
    <w:rsid w:val="001F41CB"/>
    <w:rsid w:val="00207DBC"/>
    <w:rsid w:val="00221DEE"/>
    <w:rsid w:val="002232DA"/>
    <w:rsid w:val="0022675C"/>
    <w:rsid w:val="002307F4"/>
    <w:rsid w:val="00234BCD"/>
    <w:rsid w:val="00240381"/>
    <w:rsid w:val="002473E4"/>
    <w:rsid w:val="00252706"/>
    <w:rsid w:val="00256858"/>
    <w:rsid w:val="00264CA7"/>
    <w:rsid w:val="002732A1"/>
    <w:rsid w:val="002770BC"/>
    <w:rsid w:val="00281703"/>
    <w:rsid w:val="00287085"/>
    <w:rsid w:val="002A5F66"/>
    <w:rsid w:val="002C2A8A"/>
    <w:rsid w:val="002D40C6"/>
    <w:rsid w:val="002F24E3"/>
    <w:rsid w:val="002F4434"/>
    <w:rsid w:val="002F63EF"/>
    <w:rsid w:val="00300F36"/>
    <w:rsid w:val="003237F7"/>
    <w:rsid w:val="003352E5"/>
    <w:rsid w:val="003412C3"/>
    <w:rsid w:val="00347EAA"/>
    <w:rsid w:val="00371A93"/>
    <w:rsid w:val="00395E96"/>
    <w:rsid w:val="003A219D"/>
    <w:rsid w:val="003A751E"/>
    <w:rsid w:val="003B1D31"/>
    <w:rsid w:val="003B6883"/>
    <w:rsid w:val="003B69F7"/>
    <w:rsid w:val="003C2F45"/>
    <w:rsid w:val="003C3F9F"/>
    <w:rsid w:val="003D0434"/>
    <w:rsid w:val="003D4477"/>
    <w:rsid w:val="003E54B0"/>
    <w:rsid w:val="0041199D"/>
    <w:rsid w:val="004362C0"/>
    <w:rsid w:val="004375FD"/>
    <w:rsid w:val="00453671"/>
    <w:rsid w:val="004675E6"/>
    <w:rsid w:val="00486155"/>
    <w:rsid w:val="004952F6"/>
    <w:rsid w:val="004A31F2"/>
    <w:rsid w:val="004A499B"/>
    <w:rsid w:val="004B1E40"/>
    <w:rsid w:val="004D1BCE"/>
    <w:rsid w:val="004E39DE"/>
    <w:rsid w:val="004F581F"/>
    <w:rsid w:val="004F5882"/>
    <w:rsid w:val="005109A0"/>
    <w:rsid w:val="00520F56"/>
    <w:rsid w:val="00523927"/>
    <w:rsid w:val="00525D3B"/>
    <w:rsid w:val="00530062"/>
    <w:rsid w:val="00540892"/>
    <w:rsid w:val="00540F79"/>
    <w:rsid w:val="00571D1E"/>
    <w:rsid w:val="00577D31"/>
    <w:rsid w:val="00582300"/>
    <w:rsid w:val="005A42BD"/>
    <w:rsid w:val="005A58F9"/>
    <w:rsid w:val="005C4F3A"/>
    <w:rsid w:val="005D4970"/>
    <w:rsid w:val="006578D0"/>
    <w:rsid w:val="00660CEE"/>
    <w:rsid w:val="00672CE2"/>
    <w:rsid w:val="00694382"/>
    <w:rsid w:val="006C1B52"/>
    <w:rsid w:val="006C345C"/>
    <w:rsid w:val="006C3B01"/>
    <w:rsid w:val="006C61AB"/>
    <w:rsid w:val="006E48E7"/>
    <w:rsid w:val="0071028B"/>
    <w:rsid w:val="007204BD"/>
    <w:rsid w:val="00721331"/>
    <w:rsid w:val="007337C3"/>
    <w:rsid w:val="007361A9"/>
    <w:rsid w:val="00745A7C"/>
    <w:rsid w:val="007520F6"/>
    <w:rsid w:val="00753E15"/>
    <w:rsid w:val="00760EE2"/>
    <w:rsid w:val="0077423F"/>
    <w:rsid w:val="007D229F"/>
    <w:rsid w:val="007E2F3D"/>
    <w:rsid w:val="007F0334"/>
    <w:rsid w:val="007F21AD"/>
    <w:rsid w:val="007F41A4"/>
    <w:rsid w:val="0084101B"/>
    <w:rsid w:val="00860927"/>
    <w:rsid w:val="008630F6"/>
    <w:rsid w:val="00873954"/>
    <w:rsid w:val="008760B5"/>
    <w:rsid w:val="00881EDB"/>
    <w:rsid w:val="008911B1"/>
    <w:rsid w:val="008956C9"/>
    <w:rsid w:val="00895EA1"/>
    <w:rsid w:val="00896A29"/>
    <w:rsid w:val="008A7BDB"/>
    <w:rsid w:val="008B7F00"/>
    <w:rsid w:val="008C2CED"/>
    <w:rsid w:val="008C3893"/>
    <w:rsid w:val="008C39AD"/>
    <w:rsid w:val="008D0EF6"/>
    <w:rsid w:val="008D5664"/>
    <w:rsid w:val="008E763A"/>
    <w:rsid w:val="008F7D94"/>
    <w:rsid w:val="00910384"/>
    <w:rsid w:val="009203D9"/>
    <w:rsid w:val="00940E78"/>
    <w:rsid w:val="00946D72"/>
    <w:rsid w:val="0095355E"/>
    <w:rsid w:val="009671EF"/>
    <w:rsid w:val="009A1EC4"/>
    <w:rsid w:val="009A5B73"/>
    <w:rsid w:val="009C149E"/>
    <w:rsid w:val="009C26FB"/>
    <w:rsid w:val="009D2860"/>
    <w:rsid w:val="00A0619E"/>
    <w:rsid w:val="00A14CAE"/>
    <w:rsid w:val="00A35AA7"/>
    <w:rsid w:val="00A36D9F"/>
    <w:rsid w:val="00A61048"/>
    <w:rsid w:val="00A901EF"/>
    <w:rsid w:val="00A910B6"/>
    <w:rsid w:val="00A95DFB"/>
    <w:rsid w:val="00A960D9"/>
    <w:rsid w:val="00AA3F4E"/>
    <w:rsid w:val="00AB7252"/>
    <w:rsid w:val="00AC7BBF"/>
    <w:rsid w:val="00AD0CA8"/>
    <w:rsid w:val="00AE0528"/>
    <w:rsid w:val="00AF127D"/>
    <w:rsid w:val="00AF164D"/>
    <w:rsid w:val="00AF68BE"/>
    <w:rsid w:val="00B041FB"/>
    <w:rsid w:val="00B136E3"/>
    <w:rsid w:val="00B15509"/>
    <w:rsid w:val="00B26F5F"/>
    <w:rsid w:val="00B37F38"/>
    <w:rsid w:val="00B60A6A"/>
    <w:rsid w:val="00B660A1"/>
    <w:rsid w:val="00B75CFA"/>
    <w:rsid w:val="00B775FB"/>
    <w:rsid w:val="00B952E2"/>
    <w:rsid w:val="00BB082D"/>
    <w:rsid w:val="00BB5629"/>
    <w:rsid w:val="00BD08DD"/>
    <w:rsid w:val="00BD4958"/>
    <w:rsid w:val="00BD4E77"/>
    <w:rsid w:val="00BE07A0"/>
    <w:rsid w:val="00C13BB8"/>
    <w:rsid w:val="00C524AB"/>
    <w:rsid w:val="00C61DA5"/>
    <w:rsid w:val="00C74D22"/>
    <w:rsid w:val="00C80418"/>
    <w:rsid w:val="00C81F60"/>
    <w:rsid w:val="00C94A1C"/>
    <w:rsid w:val="00C96E47"/>
    <w:rsid w:val="00CA23F1"/>
    <w:rsid w:val="00CA3C50"/>
    <w:rsid w:val="00CB5E43"/>
    <w:rsid w:val="00CC15F4"/>
    <w:rsid w:val="00CC190D"/>
    <w:rsid w:val="00CE0ABF"/>
    <w:rsid w:val="00CE11F3"/>
    <w:rsid w:val="00CE2A6A"/>
    <w:rsid w:val="00CE53CB"/>
    <w:rsid w:val="00D04876"/>
    <w:rsid w:val="00D17F69"/>
    <w:rsid w:val="00D429E9"/>
    <w:rsid w:val="00D50D23"/>
    <w:rsid w:val="00D52AA4"/>
    <w:rsid w:val="00D532A1"/>
    <w:rsid w:val="00D55706"/>
    <w:rsid w:val="00D6260D"/>
    <w:rsid w:val="00D71910"/>
    <w:rsid w:val="00D76437"/>
    <w:rsid w:val="00D77084"/>
    <w:rsid w:val="00D85B57"/>
    <w:rsid w:val="00DC6EF6"/>
    <w:rsid w:val="00DD1C82"/>
    <w:rsid w:val="00DD530B"/>
    <w:rsid w:val="00DD6783"/>
    <w:rsid w:val="00DE0276"/>
    <w:rsid w:val="00DF0FA1"/>
    <w:rsid w:val="00E0656C"/>
    <w:rsid w:val="00E1372B"/>
    <w:rsid w:val="00E1692C"/>
    <w:rsid w:val="00E23EED"/>
    <w:rsid w:val="00E33F2F"/>
    <w:rsid w:val="00E458D2"/>
    <w:rsid w:val="00E52451"/>
    <w:rsid w:val="00E55A15"/>
    <w:rsid w:val="00E61165"/>
    <w:rsid w:val="00E62032"/>
    <w:rsid w:val="00E631AC"/>
    <w:rsid w:val="00E70629"/>
    <w:rsid w:val="00E80A78"/>
    <w:rsid w:val="00E81A3F"/>
    <w:rsid w:val="00E81CD6"/>
    <w:rsid w:val="00E9358D"/>
    <w:rsid w:val="00EA6D19"/>
    <w:rsid w:val="00ED1BBD"/>
    <w:rsid w:val="00ED7E55"/>
    <w:rsid w:val="00EE3B5D"/>
    <w:rsid w:val="00EE4867"/>
    <w:rsid w:val="00EF2B6B"/>
    <w:rsid w:val="00F12873"/>
    <w:rsid w:val="00F2193E"/>
    <w:rsid w:val="00F4020D"/>
    <w:rsid w:val="00F479FB"/>
    <w:rsid w:val="00F51F74"/>
    <w:rsid w:val="00F61BDE"/>
    <w:rsid w:val="00F61E91"/>
    <w:rsid w:val="00F71ED6"/>
    <w:rsid w:val="00F75EEB"/>
    <w:rsid w:val="00F76B8E"/>
    <w:rsid w:val="00F77A3C"/>
    <w:rsid w:val="00F92E29"/>
    <w:rsid w:val="00F97F33"/>
    <w:rsid w:val="00F97F69"/>
    <w:rsid w:val="00FA37C7"/>
    <w:rsid w:val="00FB1A4E"/>
    <w:rsid w:val="00FB7F38"/>
    <w:rsid w:val="00FD307F"/>
    <w:rsid w:val="00FD35CF"/>
    <w:rsid w:val="00FD53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0A1"/>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D71910"/>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672CE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2283</Words>
  <Characters>13019</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HUMR – EXAM PREP</dc:title>
  <dc:subject/>
  <dc:creator>sabrina</dc:creator>
  <cp:keywords/>
  <dc:description/>
  <cp:lastModifiedBy>Elaine Elmhirst</cp:lastModifiedBy>
  <cp:revision>2</cp:revision>
  <dcterms:created xsi:type="dcterms:W3CDTF">2013-12-08T01:32:00Z</dcterms:created>
  <dcterms:modified xsi:type="dcterms:W3CDTF">2013-12-08T01:32:00Z</dcterms:modified>
</cp:coreProperties>
</file>